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August 6,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6, 2015, Fluidigm Corporation issued a press release reporting its financial results for the second quarter ended June 30, 2015. A copy of the press release is furnished herewith as Exhibit 99.1.</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June 30, 2015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August 6, 2015</w:t>
      </w:r>
    </w:p>
    <w:p>
      <w:pPr>
        <w:sectPr>
          <w:pgSz w:w="11900" w:h="16838" w:orient="portrait"/>
          <w:cols w:equalWidth="0" w:num="1">
            <w:col w:w="9699"/>
          </w:cols>
          <w:pgMar w:left="7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REPORTS Q2 2015 FINANCIAL RESULTS</w:t>
      </w:r>
    </w:p>
    <w:p>
      <w:pPr>
        <w:spacing w:after="0" w:line="226"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SOUTH SAN FRANCISCO, Calif. - August 6, 2015 - Fluidigm Corporation (NASDAQ:FLDM) today announced its financial results for the second quarter ended June 30, 2015.</w:t>
      </w:r>
    </w:p>
    <w:p>
      <w:pPr>
        <w:spacing w:after="0" w:line="175"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Total revenue for the second quarter of 2015 was $28.6 million, an increase of 4% from $27.6 million in the second quarter of 2014. On a constant-currency basis, total revenue increased 11% year-over-year.</w:t>
      </w:r>
    </w:p>
    <w:p>
      <w:pPr>
        <w:spacing w:after="0" w:line="175" w:lineRule="exact"/>
        <w:rPr>
          <w:sz w:val="20"/>
          <w:szCs w:val="20"/>
          <w:color w:val="auto"/>
        </w:rPr>
      </w:pPr>
    </w:p>
    <w:p>
      <w:pPr>
        <w:jc w:val="both"/>
        <w:ind w:right="300"/>
        <w:spacing w:after="0" w:line="271" w:lineRule="auto"/>
        <w:rPr>
          <w:sz w:val="20"/>
          <w:szCs w:val="20"/>
          <w:color w:val="auto"/>
        </w:rPr>
      </w:pPr>
      <w:r>
        <w:rPr>
          <w:rFonts w:ascii="Arial" w:cs="Arial" w:eastAsia="Arial" w:hAnsi="Arial"/>
          <w:sz w:val="21"/>
          <w:szCs w:val="21"/>
          <w:color w:val="auto"/>
        </w:rPr>
        <w:t>Net loss for the second quarter of 2015 was $15.2 million, compared to a net loss of $12.7 million in the second quarter of 2014. Non-GAAP net loss for the second quarter of 2015 was $5.8 million, compared with non-GAAP net loss of $1.7 million for the second quarter of 2014 (see accompanying table for reconciliation of GAAP and non-GAAP measures).</w:t>
      </w:r>
    </w:p>
    <w:p>
      <w:pPr>
        <w:spacing w:after="0" w:line="16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“2015 continues to be a challenging year for Fluidigm. While our single-cell proteomics product line performed well in the second quarter, our results were pressured by decreased sales of consumables to production genomics customers and a decline in single-cell genomics instrument sales. We have implemented an action plan to address the underlying issues,” said Gajus Worthington, Fluidigm President and Chief Executive Officer.</w:t>
      </w:r>
    </w:p>
    <w:p>
      <w:pPr>
        <w:spacing w:after="0" w:line="229"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“We have initiated organizational changes to regain our strong commercial execution focused on our large market opportunities. However, we believe the remainder of 2015 will be challenged from a growth and visibility perspective as these changes will take time before they begin to materially impact our top-line results. Therefore, we are reducing our annual revenue guidance range to reflect these near-term uncertainties,” continued Worthington.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 and Analysis</w:t>
      </w:r>
    </w:p>
    <w:p>
      <w:pPr>
        <w:spacing w:after="0" w:line="28" w:lineRule="exact"/>
        <w:rPr>
          <w:sz w:val="20"/>
          <w:szCs w:val="20"/>
          <w:color w:val="auto"/>
        </w:rPr>
      </w:pPr>
    </w:p>
    <w:p>
      <w:pPr>
        <w:ind w:left="340" w:right="78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9"/>
          <w:szCs w:val="19"/>
          <w:color w:val="auto"/>
        </w:rPr>
        <w:t>Instrument revenue grew 13% year-on-year in the quarter, driven by increased sales from CyTOF™ systems (including Helios™ systems) and contribution from new products, partly offset by Biomark™ HD systems and C1™ systems.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9"/>
          <w:szCs w:val="19"/>
          <w:color w:val="auto"/>
        </w:rPr>
        <w:t>Approximately 90% of the Biomark HD system sales during the quarter were motivated by single-cell biology research.</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Approximately 20% of C1 system sales were combined with a Biomark HD system in the quarter.</w:t>
      </w:r>
    </w:p>
    <w:p>
      <w:pPr>
        <w:spacing w:after="0" w:line="3" w:lineRule="exact"/>
        <w:rPr>
          <w:rFonts w:ascii="Arial" w:cs="Arial" w:eastAsia="Arial" w:hAnsi="Arial"/>
          <w:sz w:val="18"/>
          <w:szCs w:val="18"/>
          <w:color w:val="auto"/>
        </w:rPr>
      </w:pPr>
    </w:p>
    <w:p>
      <w:pPr>
        <w:ind w:left="340" w:right="74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Consumables revenue declined 8% year-on-year in the quarter, negatively impacted by decreased sales from production genomics applications, partly offset by single-cell biology applications.</w:t>
      </w:r>
    </w:p>
    <w:p>
      <w:pPr>
        <w:ind w:left="980" w:right="2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IFC (integrated fluidic circuit) pull-through in the quarter was below its historical range of $40,000 - $50,000 per instrument/year for genomics analytical systems and within its historical range of $15,000 - $25,000 per instrument/year for genomics preparatory systems.</w:t>
      </w:r>
    </w:p>
    <w:p>
      <w:pPr>
        <w:spacing w:after="0" w:line="1" w:lineRule="exact"/>
        <w:rPr>
          <w:rFonts w:ascii="Arial" w:cs="Arial" w:eastAsia="Arial" w:hAnsi="Arial"/>
          <w:sz w:val="18"/>
          <w:szCs w:val="18"/>
          <w:color w:val="auto"/>
        </w:rPr>
      </w:pPr>
    </w:p>
    <w:p>
      <w:pPr>
        <w:ind w:left="980" w:right="22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Consumables pull-through for proteomics analytical systems in the quarter was within its historical range of $50,000 - $70,000 per instrument/year.</w:t>
      </w:r>
    </w:p>
    <w:p>
      <w:pPr>
        <w:ind w:left="340" w:right="32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Geographic revenue as a percent of total product revenue in the second quarter of 2015 was as follows: United States - 50%; Europe - 31%; Japan - 3%; Asia-Pacific - 10%; and Other - 6%.</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Fluidigm’s total instrument installed base was approximately 1,485 units at the end of the quarter.</w:t>
      </w:r>
    </w:p>
    <w:p>
      <w:pPr>
        <w:spacing w:after="0" w:line="3" w:lineRule="exact"/>
        <w:rPr>
          <w:rFonts w:ascii="Arial" w:cs="Arial" w:eastAsia="Arial" w:hAnsi="Arial"/>
          <w:sz w:val="18"/>
          <w:szCs w:val="18"/>
          <w:color w:val="auto"/>
        </w:rPr>
      </w:pPr>
    </w:p>
    <w:p>
      <w:pPr>
        <w:ind w:left="980" w:right="88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Fifty-three percent of the total installed base was analytical, compared to 54% in Q1, with the remainder being preparatory systems.</w:t>
      </w:r>
    </w:p>
    <w:p>
      <w:pPr>
        <w:ind w:left="980" w:right="480" w:hanging="324"/>
        <w:spacing w:after="0" w:line="246"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Single-cell biology systems (includes C1, Polaris™, Helios, CyTOF, CyTOF 2, Biomark and Biomark HD systems motivated by single-cell research) represented approximately 710 units.</w:t>
      </w:r>
    </w:p>
    <w:p>
      <w:pPr>
        <w:sectPr>
          <w:pgSz w:w="11900" w:h="16838" w:orient="portrait"/>
          <w:cols w:equalWidth="0" w:num="1">
            <w:col w:w="11420"/>
          </w:cols>
          <w:pgMar w:left="240" w:top="585" w:right="239" w:bottom="1440" w:gutter="0" w:footer="0" w:header="0"/>
        </w:sectPr>
      </w:pPr>
    </w:p>
    <w:bookmarkStart w:id="5" w:name="page6"/>
    <w:bookmarkEnd w:id="5"/>
    <w:p>
      <w:pPr>
        <w:ind w:left="340" w:right="40" w:hanging="332"/>
        <w:spacing w:after="0" w:line="25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21"/>
          <w:szCs w:val="21"/>
          <w:color w:val="auto"/>
        </w:rPr>
        <w:t>GAAP product margin was 58.1% in the second quarter of 2015, versus 63.8% in the year ago period. Non-GAAP product margin was 70.7% in the second quarter of 2015, versus 77.0% in the year ago period. Non-GAAP product margin excludes the effects of amortization of developed technology, depreciation and amortization, and stock-based compensation expense (see accompanying table for reconciliation of GAAP and non-GAAP product margins).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Fluidigm ended June 30, 2015 with approximately $127.0 million in cash, cash equivalents, and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Since Fluidigm’s Last Earnings Release</w:t>
      </w:r>
    </w:p>
    <w:p>
      <w:pPr>
        <w:spacing w:after="0" w:line="28" w:lineRule="exact"/>
        <w:rPr>
          <w:sz w:val="20"/>
          <w:szCs w:val="20"/>
          <w:color w:val="auto"/>
        </w:rPr>
      </w:pPr>
    </w:p>
    <w:p>
      <w:pPr>
        <w:jc w:val="both"/>
        <w:ind w:left="340" w:right="2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Expanded our strategic collaboration with OpGen to develop multi-drug resistance organism tests (MRDO) utilizing Fluidigm’s Juno™ instrument for automating SNP genotyping assays and Fluidigm’s Biomark HD systems for endpoint and real-time PCR detection.</w:t>
      </w:r>
    </w:p>
    <w:p>
      <w:pPr>
        <w:spacing w:after="0" w:line="1" w:lineRule="exact"/>
        <w:rPr>
          <w:rFonts w:ascii="Arial" w:cs="Arial" w:eastAsia="Arial" w:hAnsi="Arial"/>
          <w:sz w:val="18"/>
          <w:szCs w:val="18"/>
          <w:color w:val="auto"/>
        </w:rPr>
      </w:pPr>
    </w:p>
    <w:p>
      <w:pPr>
        <w:ind w:left="340" w:right="8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Introduced the Helios, a platform that delivers enhancements to our CyTOF technology. Key improvements include improved cell transmission efficiency, higher throughput, and enhanced workflow and software interface. We also announced a new barcoding kit for Helios and CyTOF customers that accommodates up to 20 unique samples to be processed in one multiplexed run.</w:t>
      </w:r>
    </w:p>
    <w:p>
      <w:pPr>
        <w:spacing w:after="0" w:line="1" w:lineRule="exact"/>
        <w:rPr>
          <w:rFonts w:ascii="Arial" w:cs="Arial" w:eastAsia="Arial" w:hAnsi="Arial"/>
          <w:sz w:val="18"/>
          <w:szCs w:val="18"/>
          <w:color w:val="auto"/>
        </w:rPr>
      </w:pPr>
    </w:p>
    <w:p>
      <w:pPr>
        <w:ind w:left="340" w:right="220" w:hanging="332"/>
        <w:spacing w:after="0" w:line="24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Announced the availability of Single-Cell ATAC-seq, an epigenetics application for the C1 system allowing researchers to explore the regulatory systems that drive cellular function. This application is available to researchers on Script Hub™, a new web portal within Fluidigm’s C1 Open App™ program.</w:t>
      </w:r>
    </w:p>
    <w:p>
      <w:pPr>
        <w:spacing w:after="0" w:line="2"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total number of single-cell biology publications referencing Fluidigm increased to 322, which includes 96 publications citing mass cytometry technology.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8"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Fluidigm is projecting total revenue to be between $110 million and $115 million versus prior guidance of between $133 million and $143 million. 2015 revenue projections incorporate an estimated negative currency related impact of approximately 4 to 5 percent at the midpoint of the range.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Company now projects 2015 operating expenses on a GAAP basis to be between $123 and $128 million versus prior guidance of between $129 and $134 million. Non-GAAP operating expenses, excluding approximately $17 million of estimated stock-based compensation expense, and $5 million of estimated depreciation and amortization expense, is expected to be between $101 million and $106 million, compared to prior guidance of between $105 and $110 million (also, see accompanying table for reconciliation of GAAP and non-GAAP operating expenses for the second quarter results of 2015 and 2014). Interest expense is projected to be approximately $6 million and capital spending is projected to be between $6 and $8 million versus prior guidance of between $6 and $9 million.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Fluidigm will host a conference call today, August 6, 2015 at 2:00 p.m. PDT (5:00 p.m. EDT). The call can be accessed by calling</w:t>
      </w:r>
    </w:p>
    <w:p>
      <w:pPr>
        <w:spacing w:after="0" w:line="38" w:lineRule="exact"/>
        <w:rPr>
          <w:sz w:val="20"/>
          <w:szCs w:val="20"/>
          <w:color w:val="auto"/>
        </w:rPr>
      </w:pPr>
    </w:p>
    <w:p>
      <w:pPr>
        <w:ind w:right="20" w:firstLine="8"/>
        <w:spacing w:after="0" w:line="258" w:lineRule="auto"/>
        <w:tabs>
          <w:tab w:leader="none" w:pos="522"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556-5248 (domestic toll-free) or (720) 545-0029 (international toll). Fluidigm will also provide a live stream of its Q2 2015 financial results conference call for investors at: http://investors.fluidigm.com/events.cfm. The link will not be active until 4:45 p.m. Eastern Time on August 6, 2015. A telephone replay of the teleconference will be available 90 minutes after the end of the call at (855) 859-2056 (domestic toll-free), or (404) 537-3406 (international toll), access code 96295320. The conference call will also be archived on the Fluidigm investor’s page at: </w:t>
      </w:r>
      <w:r>
        <w:rPr>
          <w:rFonts w:ascii="Arial" w:cs="Arial" w:eastAsia="Arial" w:hAnsi="Arial"/>
          <w:sz w:val="21"/>
          <w:szCs w:val="21"/>
          <w:u w:val="single" w:color="auto"/>
          <w:color w:val="auto"/>
        </w:rPr>
        <w:t>http://investors.fluidigm.com</w:t>
      </w:r>
      <w:r>
        <w:rPr>
          <w:rFonts w:ascii="Arial" w:cs="Arial" w:eastAsia="Arial" w:hAnsi="Arial"/>
          <w:sz w:val="21"/>
          <w:szCs w:val="2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8" w:lineRule="exact"/>
        <w:rPr>
          <w:sz w:val="20"/>
          <w:szCs w:val="20"/>
          <w:color w:val="auto"/>
        </w:rPr>
      </w:pPr>
    </w:p>
    <w:p>
      <w:pPr>
        <w:ind w:right="540"/>
        <w:spacing w:after="0" w:line="246" w:lineRule="auto"/>
        <w:rPr>
          <w:sz w:val="20"/>
          <w:szCs w:val="20"/>
          <w:color w:val="auto"/>
        </w:rPr>
      </w:pPr>
      <w:r>
        <w:rPr>
          <w:rFonts w:ascii="Arial" w:cs="Arial" w:eastAsia="Arial" w:hAnsi="Arial"/>
          <w:sz w:val="22"/>
          <w:szCs w:val="22"/>
          <w:color w:val="auto"/>
        </w:rPr>
        <w:t>Fluidigm has presented certain financial information in accordance with GAAP and also on a non-GAAP basis for the second quarter of 2015 and 2014. Management believes that non-GAAP financial measures,</w:t>
      </w:r>
    </w:p>
    <w:p>
      <w:pPr>
        <w:sectPr>
          <w:pgSz w:w="11900" w:h="16838" w:orient="portrait"/>
          <w:cols w:equalWidth="0" w:num="1">
            <w:col w:w="11420"/>
          </w:cols>
          <w:pgMar w:left="240" w:top="591" w:right="23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9"/>
          <w:szCs w:val="19"/>
          <w:color w:val="auto"/>
        </w:rPr>
        <w:t>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relating to current estimates of 2015 total revenue, GAAP and non-GAAP operating expenses, stock-based compensation expense, depreciation and amortization expense, interest expense, capital spending, and currency related impact on 2015 revenue; and plans, objectives, expectations, and strategies for Fluidigm’s business, including its commercial execution, market opportunities, and anticipated challenges and uncertainties for the remainder of 2015. Forward-looking statements are subject to numerous risks and uncertainties that could cause actual results to differ materially from currently anticipated results, including but not limited to, risks relating to the future financial performance of Fluidigm’s product lines; challenges inherent in developing, manufacturing, launching, marketing, and selling new products; the possible loss of key employees, customers, or suppliers; intellectual property risks, including risks relating to maintaining material in-licensed intellectual property rights; competition; Fluidigm’s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Fluidigm’s Quarterly Report on Form 10-Q for the quarter ended March 31, 2015, and other filings with the Securities and Exchange Commission. Additional information will also be set forth in Fluidigm’s Quarterly Report on Form 10-Q for the quarter ended June 30, 2015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w:t>
      </w:r>
    </w:p>
    <w:p>
      <w:pPr>
        <w:sectPr>
          <w:pgSz w:w="11900" w:h="16838" w:orient="portrait"/>
          <w:cols w:equalWidth="0" w:num="1">
            <w:col w:w="11380"/>
          </w:cols>
          <w:pgMar w:left="240" w:top="591" w:right="27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22"/>
          <w:szCs w:val="22"/>
          <w:color w:val="auto"/>
        </w:rPr>
        <w:t>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Fluidigm, the Fluidigm logo, CyTOF, Helios, Biomark, C1, Polaris, Juno, Script Hub, and Open App are trademarks or registered trademarks of Fluidigm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 &amp;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650.243.6628 (Office)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ana.petrovic@fluidigm.com</w:t>
      </w:r>
    </w:p>
    <w:p>
      <w:pPr>
        <w:sectPr>
          <w:pgSz w:w="11900" w:h="16838" w:orient="portrait"/>
          <w:cols w:equalWidth="0" w:num="1">
            <w:col w:w="11220"/>
          </w:cols>
          <w:pgMar w:left="240" w:top="591"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33,257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30,477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22,451</w:t>
            </w:r>
          </w:p>
        </w:tc>
        <w:tc>
          <w:tcPr>
            <w:tcW w:w="0" w:type="dxa"/>
            <w:vAlign w:val="bottom"/>
          </w:tcPr>
          <w:p>
            <w:pPr>
              <w:spacing w:after="0"/>
              <w:rPr>
                <w:sz w:val="1"/>
                <w:szCs w:val="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Product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52,928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License and grant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33,912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43,277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84,007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82,287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(28,096)</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2014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76,181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81,588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143,380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96,600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102,200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389,129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407,559</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195,569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195,455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257,140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133,217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742"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(31,167)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(28,096)</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9,256</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Non-cash charges related to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3,330</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non-cash item</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84"/>
        </w:trPr>
        <w:tc>
          <w:tcPr>
            <w:tcW w:w="7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(113,190)</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(33,731)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(86,793)</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39,376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24,461</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(180,085)</w:t>
            </w:r>
          </w:p>
        </w:tc>
      </w:tr>
      <w:tr>
        <w:trPr>
          <w:trHeight w:val="284"/>
        </w:trPr>
        <w:tc>
          <w:tcPr>
            <w:tcW w:w="7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195,212</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198,669</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8,420</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35,261</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23,745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43,681</w:t>
            </w:r>
          </w:p>
        </w:tc>
      </w:tr>
      <w:tr>
        <w:trPr>
          <w:trHeight w:val="27"/>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FLUIDIGM CORPORATION</w:t>
      </w:r>
    </w:p>
    <w:p>
      <w:pPr>
        <w:jc w:val="center"/>
        <w:ind w:right="40"/>
        <w:spacing w:after="0" w:line="204" w:lineRule="auto"/>
        <w:rPr>
          <w:sz w:val="20"/>
          <w:szCs w:val="20"/>
          <w:color w:val="auto"/>
        </w:rPr>
      </w:pPr>
      <w:r>
        <w:rPr>
          <w:rFonts w:ascii="Arial" w:cs="Arial" w:eastAsia="Arial" w:hAnsi="Arial"/>
          <w:sz w:val="18"/>
          <w:szCs w:val="18"/>
          <w:b w:val="1"/>
          <w:bCs w:val="1"/>
          <w:color w:val="auto"/>
        </w:rPr>
        <w:t>RECONCILIATION OF GAAP TO NON-GAAP FINANCIAL INFORMATION</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11"/>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9"/>
              </w:rPr>
              <w:t>(12,682)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20" w:type="dxa"/>
            <w:vAlign w:val="bottom"/>
            <w:gridSpan w:val="6"/>
          </w:tcPr>
          <w:p>
            <w:pPr>
              <w:jc w:val="right"/>
              <w:ind w:right="10"/>
              <w:spacing w:after="0"/>
              <w:rPr>
                <w:sz w:val="20"/>
                <w:szCs w:val="20"/>
                <w:color w:val="auto"/>
              </w:rPr>
            </w:pPr>
            <w:r>
              <w:rPr>
                <w:rFonts w:ascii="Arial" w:cs="Arial" w:eastAsia="Arial" w:hAnsi="Arial"/>
                <w:sz w:val="18"/>
                <w:szCs w:val="18"/>
                <w:color w:val="auto"/>
              </w:rPr>
              <w:t>10,696</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9,256</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Amortization of developed technology</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6"/>
          </w:tcPr>
          <w:p>
            <w:pPr>
              <w:jc w:val="right"/>
              <w:ind w:right="10"/>
              <w:spacing w:after="0"/>
              <w:rPr>
                <w:sz w:val="20"/>
                <w:szCs w:val="20"/>
                <w:color w:val="auto"/>
              </w:rPr>
            </w:pPr>
            <w:r>
              <w:rPr>
                <w:rFonts w:ascii="Arial" w:cs="Arial" w:eastAsia="Arial" w:hAnsi="Arial"/>
                <w:sz w:val="18"/>
                <w:szCs w:val="18"/>
                <w:color w:val="auto"/>
              </w:rPr>
              <w:t>4,200</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6"/>
          </w:tcPr>
          <w:p>
            <w:pPr>
              <w:jc w:val="right"/>
              <w:ind w:right="10"/>
              <w:spacing w:after="0"/>
              <w:rPr>
                <w:sz w:val="20"/>
                <w:szCs w:val="20"/>
                <w:color w:val="auto"/>
              </w:rPr>
            </w:pPr>
            <w:r>
              <w:rPr>
                <w:rFonts w:ascii="Arial" w:cs="Arial" w:eastAsia="Arial" w:hAnsi="Arial"/>
                <w:sz w:val="18"/>
                <w:szCs w:val="18"/>
                <w:color w:val="auto"/>
              </w:rPr>
              <w:t>1,842</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Non-cash charge for sale of inventory revalued at the date of</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Benefit from acquisition related income taxes</w:t>
            </w:r>
          </w:p>
        </w:tc>
        <w:tc>
          <w:tcPr>
            <w:tcW w:w="3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4"/>
              </w:rPr>
              <w:t>(1,614)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(2,739)</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79"/>
              </w:rPr>
              <w:t>67</w:t>
            </w: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Net loss (Non-GAAP)</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(1,726)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(13,051)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(1,651)</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00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Shares used in net loss per share calculation - basic and diluted</w:t>
            </w:r>
          </w:p>
        </w:tc>
        <w:tc>
          <w:tcPr>
            <w:tcW w:w="3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27,960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28,636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6"/>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27,839</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(GAAP and Non-GAAP)</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4"/>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5"/>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6"/>
            <w:vMerge w:val="continue"/>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loss per share - basic and diluted (GAAP)</w:t>
            </w: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gridSpan w:val="2"/>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(1.03)</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 basic and diluted (Non-GAAP)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980" w:type="dxa"/>
            <w:vAlign w:val="bottom"/>
            <w:gridSpan w:val="26"/>
          </w:tcPr>
          <w:p>
            <w:pPr>
              <w:ind w:left="2020"/>
              <w:spacing w:after="0"/>
              <w:rPr>
                <w:sz w:val="20"/>
                <w:szCs w:val="20"/>
                <w:color w:val="auto"/>
              </w:rPr>
            </w:pPr>
            <w:r>
              <w:rPr>
                <w:rFonts w:ascii="Arial" w:cs="Arial" w:eastAsia="Arial" w:hAnsi="Arial"/>
                <w:sz w:val="18"/>
                <w:szCs w:val="18"/>
                <w:b w:val="1"/>
                <w:bCs w:val="1"/>
                <w:color w:val="auto"/>
              </w:rPr>
              <w:t>ITEMIZED RECONCILIATION BETWEEN GAAP AND NON-GAAP PRODUCT MARGIN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1"/>
          </w:tcPr>
          <w:p>
            <w:pPr>
              <w:jc w:val="right"/>
              <w:ind w:right="93"/>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2"/>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margin (GAAP)</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6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17,524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32,593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Amortization of developed technology</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5,600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w w:val="91"/>
              </w:rPr>
              <w:t>Non-cash charge for sale of inventory revalued at the date of acquisition</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1,008</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margin (Non-GAAP)</w:t>
            </w:r>
          </w:p>
        </w:tc>
        <w:tc>
          <w:tcPr>
            <w:tcW w:w="3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20,177</w:t>
            </w: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21,151</w:t>
            </w: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39,716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gridSpan w:val="2"/>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40,295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Product margin percentage (GAAP)</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margin percentage (Non-GAAP)</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40" w:type="dxa"/>
            <w:vAlign w:val="bottom"/>
          </w:tcPr>
          <w:p>
            <w:pPr>
              <w:spacing w:after="0"/>
              <w:rPr>
                <w:sz w:val="24"/>
                <w:szCs w:val="24"/>
                <w:color w:val="auto"/>
              </w:rPr>
            </w:pPr>
          </w:p>
        </w:tc>
        <w:tc>
          <w:tcPr>
            <w:tcW w:w="9980" w:type="dxa"/>
            <w:vAlign w:val="bottom"/>
            <w:gridSpan w:val="26"/>
          </w:tcPr>
          <w:p>
            <w:pPr>
              <w:ind w:left="186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2"/>
          </w:tcPr>
          <w:p>
            <w:pPr>
              <w:jc w:val="right"/>
              <w:ind w:right="28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w w:val="97"/>
              </w:rPr>
              <w:t>Six Months Ended June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 (GAAP)</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31,312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30,029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(7,698)</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Loss on disposal of property and equipment</w:t>
            </w:r>
          </w:p>
        </w:tc>
        <w:tc>
          <w:tcPr>
            <w:tcW w:w="320" w:type="dxa"/>
            <w:vAlign w:val="bottom"/>
            <w:shd w:val="clear" w:color="auto" w:fill="CCEEFF"/>
          </w:tcPr>
          <w:p>
            <w:pPr>
              <w:spacing w:after="0"/>
              <w:rPr>
                <w:sz w:val="22"/>
                <w:szCs w:val="22"/>
                <w:color w:val="auto"/>
              </w:rPr>
            </w:pPr>
          </w:p>
        </w:tc>
        <w:tc>
          <w:tcPr>
            <w:tcW w:w="860" w:type="dxa"/>
            <w:vAlign w:val="bottom"/>
            <w:gridSpan w:val="2"/>
            <w:vMerge w:val="restart"/>
            <w:shd w:val="clear" w:color="auto" w:fill="CCEEFF"/>
          </w:tcPr>
          <w:p>
            <w:pPr>
              <w:spacing w:after="0"/>
              <w:rPr>
                <w:sz w:val="22"/>
                <w:szCs w:val="22"/>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22"/>
                <w:szCs w:val="22"/>
                <w:color w:val="auto"/>
              </w:rPr>
            </w:pPr>
          </w:p>
        </w:tc>
        <w:tc>
          <w:tcPr>
            <w:tcW w:w="2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gridSpan w:val="2"/>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4"/>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expenses (Non-GAAP)</w:t>
            </w:r>
          </w:p>
        </w:tc>
        <w:tc>
          <w:tcPr>
            <w:tcW w:w="32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26,296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23,855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51,879</w:t>
            </w: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RECONCILIATION OF GAAP TO NON-GAAP REVENUE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THE IMPACT OF FOREIGN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growth, reported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Impact of foreign exchange</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 growth, constant currency</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expenses include charges for accelerated vesting of certain DVS restricted stock and options; consulting, legal, and investment banking fees; and other expenses.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7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2019-12-07T23:56:58Z</dcterms:created>
  <dcterms:modified xsi:type="dcterms:W3CDTF">2019-12-07T23:56:58Z</dcterms:modified>
</cp:coreProperties>
</file>