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incorporation)</w:t>
            </w:r>
          </w:p>
        </w:tc>
        <w:tc>
          <w:tcPr>
            <w:tcW w:w="44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50 Milk Street, 10th Floor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4"/>
                <w:szCs w:val="24"/>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20, 2026, Standard BioTools Inc. (NASDAQ: LAB) (the “Company”) received a notification letter (the “Notice”) from the Listing Qualifications Department (the “Staff”) of The Nasdaq Stock Market LLC (the “Nasdaq”) indicating that the Company did not meet the minimum bid price requirement set forth in Nasdaq’s Listing Rules for continued listing on The Nasdaq Global Select Market. The Notice follows a 30-day period during which the Company’s share price closed below the $1.00 threshold established under Nasdaq Listing Rule 5450(a)(1) (the “Minimum Bid Price Requirement”). Under Nasdaq Listing Rule 5810(c)(3)(A), the occurrence of a closing bid price below $1.00 per share for a period of 30 consecutive business days triggers an automatic compliance period of 180 calendar days.</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stock on The Nasdaq Global Select Market, which will continue to trade uninterrupted on Nasdaq under the ticker “LAB”. The Notice also does not affect the ongoing business operations of the Company or its reporting requirements with the Securities and Exchange Commission.</w:t>
      </w:r>
    </w:p>
    <w:p>
      <w:pPr>
        <w:spacing w:after="0" w:line="14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now has a period of 180 calendar days from the date of the Notice, or until October 19, 2026, to regain compliance with the Minimum Bid Price Requirement for a minimum of 10 consecutive business days. Should the Company meet all other continued listing standards for The Nasdaq Global Select Market, the Company may be eligible for an additional 180-day compliance period (unless the Staff exercises its discretion to extend this ten-day period pursuant to Nasdaq Listing Rule 5810(c)(3)(H)). To qualify, the Company would need to transfer the listing of its common stock to The Nasdaq Capital Market and meet the continued listing requirement for the market value of publicly held shares and all other initial listing standards, with the exception of the Minimum Bid Price Requirement. To effect such a transfer, the Company would also need to pay an application fee to Nasdaq and would need to provide written notice to the Staff of the Company’s intention to cure the deficiency during the additional compliance period, for example, by implementing a reverse stock split, if necessary.</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work toward restoring compliance within the prescribed timeframe. However, there can be no assurance that the Company will be able to regain compliance with the Minimum Bid Price Requirement or that the Staff will grant the Company a further extension of time to regain compliance,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24, 2026</w:t>
            </w:r>
          </w:p>
        </w:tc>
        <w:tc>
          <w:tcPr>
            <w:tcW w:w="72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6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6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2026-04-24T16:14:12Z</dcterms:created>
  <dcterms:modified xsi:type="dcterms:W3CDTF">2026-04-24T16:14:12Z</dcterms:modified>
</cp:coreProperties>
</file>