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Carey Thomas D.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2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MILK STREET, 10TH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51,282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245,340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that vest as to 25% on the last day of the last month of each fiscal quarter of 2026, subject to the Reporting Person's continued service through the applicable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issued to the Reporting Person, who elected to take RSUs in lieu of $60,000 in cash compensation for certain services as a board member.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D. Carey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Tomone Tanaka, Attorney-in-</w:t>
        <w:tab/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4633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2026-03-02T18:33:05Z</dcterms:created>
  <dcterms:modified xsi:type="dcterms:W3CDTF">2026-03-02T18:33:05Z</dcterms:modified>
</cp:coreProperties>
</file>