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January 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15"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left="1140" w:right="10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January 5, 2017, the Board of Directors (the “Board”) of Fluidigm Corporation (the “Company”) adopted the Fluidigm Corporation 2017 Inducement Award Plan (the “Inducement Plan”) and reserved 2,000,000 shares of the Company’s common stock for issuance pursuant to equity awards granted under the Inducement Plan.</w:t>
      </w:r>
    </w:p>
    <w:p>
      <w:pPr>
        <w:spacing w:after="0" w:line="18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Inducement Plan was adopted without stockholder approval pursuant to Rule 5635(c)(4) of the Nasdaq Listing Rules. The Inducement Plan provides for the grant of equity-based awards, including nonstatutory stock options, restricted stock units, restricted stock, stock appreciation rights, performance shares and performance units, and its terms are substantially similar to the Company’s 2011 Equity Incentive Plan, including with respect to treatment of equity awards in the event of a “merger” or “change in control” as defined under the Inducement Plan, but with such other terms and conditions intended to comply with the NASDAQ Inducement Award exception. In accordance with Rule 5635(c)(4)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in connection with a merger or acquisition, to the extent permitted by Rule 5635(c)(3) of the Nasdaq Listing Rules.</w:t>
      </w:r>
    </w:p>
    <w:p>
      <w:pPr>
        <w:spacing w:after="0" w:line="17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Copies of the Inducement Plan and related form agreements under the Inducement Plan are attached as Exhibit 10.1 hereto and incorporated by reference herein. The above description of the Inducement Plan does not purport to be complete and is qualified in its entirety by reference to such exhibit.</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600"/>
        <w:spacing w:after="0"/>
        <w:tabs>
          <w:tab w:leader="none" w:pos="15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97" w:lineRule="exact"/>
        <w:rPr>
          <w:sz w:val="20"/>
          <w:szCs w:val="20"/>
          <w:color w:val="auto"/>
        </w:rPr>
      </w:pPr>
    </w:p>
    <w:p>
      <w:pPr>
        <w:ind w:left="540"/>
        <w:spacing w:after="0"/>
        <w:tabs>
          <w:tab w:leader="none" w:pos="15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color w:val="auto"/>
        </w:rPr>
        <w:t>Fluidigm Corporation 2017 Inducement Award Plan and related form agreements.</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2100"/>
              <w:spacing w:after="0"/>
              <w:rPr>
                <w:sz w:val="20"/>
                <w:szCs w:val="20"/>
                <w:color w:val="auto"/>
              </w:rPr>
            </w:pPr>
            <w:r>
              <w:rPr>
                <w:rFonts w:ascii="Arial" w:cs="Arial" w:eastAsia="Arial" w:hAnsi="Arial"/>
                <w:sz w:val="18"/>
                <w:szCs w:val="18"/>
                <w:b w:val="1"/>
                <w:bCs w:val="1"/>
                <w:color w:val="auto"/>
              </w:rPr>
              <w:t>FLUIDIGM CORPORATION</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January 11, 2017</w:t>
            </w:r>
          </w:p>
        </w:tc>
        <w:tc>
          <w:tcPr>
            <w:tcW w:w="7620" w:type="dxa"/>
            <w:vAlign w:val="bottom"/>
            <w:gridSpan w:val="2"/>
          </w:tcPr>
          <w:p>
            <w:pPr>
              <w:ind w:left="2100"/>
              <w:spacing w:after="0"/>
              <w:rPr>
                <w:sz w:val="20"/>
                <w:szCs w:val="20"/>
                <w:color w:val="auto"/>
              </w:rPr>
            </w:pPr>
            <w:r>
              <w:rPr>
                <w:rFonts w:ascii="Arial" w:cs="Arial" w:eastAsia="Arial" w:hAnsi="Arial"/>
                <w:sz w:val="18"/>
                <w:szCs w:val="18"/>
                <w:color w:val="auto"/>
              </w:rPr>
              <w:t>By:  /s/ Nicholas Khadder</w:t>
            </w:r>
          </w:p>
        </w:tc>
      </w:tr>
      <w:tr>
        <w:trPr>
          <w:trHeight w:val="195"/>
        </w:trPr>
        <w:tc>
          <w:tcPr>
            <w:tcW w:w="3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Nicholas Khadder</w:t>
            </w:r>
          </w:p>
        </w:tc>
      </w:tr>
      <w:tr>
        <w:trPr>
          <w:trHeight w:val="216"/>
        </w:trPr>
        <w:tc>
          <w:tcPr>
            <w:tcW w:w="38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Legal Affairs, General Counsel,</w:t>
            </w:r>
          </w:p>
        </w:tc>
      </w:tr>
      <w:tr>
        <w:trPr>
          <w:trHeight w:val="230"/>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Compliance Officer and Secretary</w:t>
            </w:r>
          </w:p>
        </w:tc>
      </w:tr>
    </w:tbl>
    <w:p>
      <w:pPr>
        <w:sectPr>
          <w:pgSz w:w="11900" w:h="16838" w:orient="portrait"/>
          <w:cols w:equalWidth="0" w:num="1">
            <w:col w:w="11420"/>
          </w:cols>
          <w:pgMar w:left="240" w:top="270"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97"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color w:val="auto"/>
        </w:rPr>
        <w:t>Fluidigm Corporation 2017 Inducement Award Plan and related form agreements.</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INDUCEMENT AWARD PLAN</w:t>
      </w:r>
    </w:p>
    <w:p>
      <w:pPr>
        <w:spacing w:after="0" w:line="229" w:lineRule="exact"/>
        <w:rPr>
          <w:sz w:val="20"/>
          <w:szCs w:val="20"/>
          <w:color w:val="auto"/>
        </w:rPr>
      </w:pPr>
    </w:p>
    <w:p>
      <w:pPr>
        <w:ind w:right="140" w:firstLine="464"/>
        <w:spacing w:after="0" w:line="257" w:lineRule="auto"/>
        <w:tabs>
          <w:tab w:leader="none" w:pos="771"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 to attract and retain the best available personnel for positions of substantial responsibility by providing an inducement material to individuals entering into employment with the Company or any Parent or Subsidiary of the Company. The Plan permits the grant of Nonstatutory Stock Options, Restricted Stock, Restricted Stock Units, Stock Appreciation Rights, Performance Units and Performance Shares. Each Award under the Plan is intended to qualify as an employment inducement award under NASDAQ Listing Rule 5635(c)(4) (the “</w:t>
      </w:r>
      <w:r>
        <w:rPr>
          <w:rFonts w:ascii="Arial" w:cs="Arial" w:eastAsia="Arial" w:hAnsi="Arial"/>
          <w:sz w:val="18"/>
          <w:szCs w:val="18"/>
          <w:u w:val="single" w:color="auto"/>
          <w:color w:val="auto"/>
        </w:rPr>
        <w:t>Inducement Listing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Rule</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780" w:hanging="31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225" w:lineRule="exact"/>
        <w:rPr>
          <w:rFonts w:ascii="Arial" w:cs="Arial" w:eastAsia="Arial" w:hAnsi="Arial"/>
          <w:sz w:val="18"/>
          <w:szCs w:val="18"/>
          <w:color w:val="auto"/>
        </w:rPr>
      </w:pPr>
    </w:p>
    <w:p>
      <w:pPr>
        <w:ind w:left="1300" w:hanging="379"/>
        <w:spacing w:after="0"/>
        <w:tabs>
          <w:tab w:leader="none" w:pos="1300" w:val="left"/>
        </w:tabs>
        <w:numPr>
          <w:ilvl w:val="1"/>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of its Committees as will be administering the Plan, in accordance with Section 4 of the Plan.</w:t>
      </w:r>
    </w:p>
    <w:p>
      <w:pPr>
        <w:spacing w:after="0" w:line="236" w:lineRule="exact"/>
        <w:rPr>
          <w:rFonts w:ascii="Arial" w:cs="Arial" w:eastAsia="Arial" w:hAnsi="Arial"/>
          <w:sz w:val="17"/>
          <w:szCs w:val="17"/>
          <w:color w:val="auto"/>
        </w:rPr>
      </w:pPr>
    </w:p>
    <w:p>
      <w:pPr>
        <w:ind w:right="40" w:firstLine="921"/>
        <w:spacing w:after="0" w:line="264" w:lineRule="auto"/>
        <w:tabs>
          <w:tab w:leader="none" w:pos="1303"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81" w:lineRule="exact"/>
        <w:rPr>
          <w:rFonts w:ascii="Arial" w:cs="Arial" w:eastAsia="Arial" w:hAnsi="Arial"/>
          <w:sz w:val="18"/>
          <w:szCs w:val="18"/>
          <w:color w:val="auto"/>
        </w:rPr>
      </w:pPr>
    </w:p>
    <w:p>
      <w:pPr>
        <w:ind w:right="380" w:firstLine="921"/>
        <w:spacing w:after="0" w:line="277" w:lineRule="auto"/>
        <w:tabs>
          <w:tab w:leader="none" w:pos="1293"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Performance Units or Performance Shares.</w:t>
      </w:r>
    </w:p>
    <w:p>
      <w:pPr>
        <w:spacing w:after="0" w:line="170" w:lineRule="exact"/>
        <w:rPr>
          <w:rFonts w:ascii="Arial" w:cs="Arial" w:eastAsia="Arial" w:hAnsi="Arial"/>
          <w:sz w:val="18"/>
          <w:szCs w:val="18"/>
          <w:color w:val="auto"/>
        </w:rPr>
      </w:pPr>
    </w:p>
    <w:p>
      <w:pPr>
        <w:ind w:right="380" w:firstLine="921"/>
        <w:spacing w:after="0" w:line="277" w:lineRule="auto"/>
        <w:tabs>
          <w:tab w:leader="none" w:pos="1303"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70" w:lineRule="exact"/>
        <w:rPr>
          <w:rFonts w:ascii="Arial" w:cs="Arial" w:eastAsia="Arial" w:hAnsi="Arial"/>
          <w:sz w:val="18"/>
          <w:szCs w:val="18"/>
          <w:color w:val="auto"/>
        </w:rPr>
      </w:pPr>
    </w:p>
    <w:p>
      <w:pPr>
        <w:ind w:left="1300" w:hanging="379"/>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280" w:hanging="359"/>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ind w:right="60" w:firstLine="1492"/>
        <w:spacing w:after="0" w:line="302" w:lineRule="auto"/>
        <w:tabs>
          <w:tab w:leader="none" w:pos="1823" w:val="left"/>
        </w:tabs>
        <w:numPr>
          <w:ilvl w:val="2"/>
          <w:numId w:val="2"/>
        </w:numPr>
        <w:rPr>
          <w:rFonts w:ascii="Arial" w:cs="Arial" w:eastAsia="Arial" w:hAnsi="Arial"/>
          <w:sz w:val="16"/>
          <w:szCs w:val="16"/>
          <w:color w:val="auto"/>
        </w:rPr>
      </w:pPr>
      <w:r>
        <w:rPr>
          <w:rFonts w:ascii="Arial" w:cs="Arial" w:eastAsia="Arial" w:hAnsi="Arial"/>
          <w:sz w:val="16"/>
          <w:szCs w:val="16"/>
          <w:color w:val="auto"/>
        </w:rPr>
        <w:t>A change in the ownership of the Company which occurs on the date that any one person, or more than one person acting as a group (“</w:t>
      </w:r>
      <w:r>
        <w:rPr>
          <w:rFonts w:ascii="Arial" w:cs="Arial" w:eastAsia="Arial" w:hAnsi="Arial"/>
          <w:sz w:val="16"/>
          <w:szCs w:val="16"/>
          <w:u w:val="single" w:color="auto"/>
          <w:color w:val="auto"/>
        </w:rPr>
        <w:t>Person</w:t>
      </w:r>
      <w:r>
        <w:rPr>
          <w:rFonts w:ascii="Arial" w:cs="Arial" w:eastAsia="Arial" w:hAnsi="Arial"/>
          <w:sz w:val="16"/>
          <w:szCs w:val="16"/>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w:t>
      </w:r>
    </w:p>
    <w:p>
      <w:pPr>
        <w:spacing w:after="0" w:line="154" w:lineRule="exact"/>
        <w:rPr>
          <w:rFonts w:ascii="Arial" w:cs="Arial" w:eastAsia="Arial" w:hAnsi="Arial"/>
          <w:sz w:val="16"/>
          <w:szCs w:val="16"/>
          <w:color w:val="auto"/>
        </w:rPr>
      </w:pPr>
    </w:p>
    <w:p>
      <w:pPr>
        <w:ind w:right="380" w:firstLine="1492"/>
        <w:spacing w:after="0" w:line="342" w:lineRule="auto"/>
        <w:tabs>
          <w:tab w:leader="none" w:pos="1873" w:val="left"/>
        </w:tabs>
        <w:numPr>
          <w:ilvl w:val="2"/>
          <w:numId w:val="2"/>
        </w:numPr>
        <w:rPr>
          <w:rFonts w:ascii="Arial" w:cs="Arial" w:eastAsia="Arial" w:hAnsi="Arial"/>
          <w:sz w:val="16"/>
          <w:szCs w:val="16"/>
          <w:color w:val="auto"/>
        </w:rPr>
      </w:pPr>
      <w:r>
        <w:rPr>
          <w:rFonts w:ascii="Arial" w:cs="Arial" w:eastAsia="Arial" w:hAnsi="Arial"/>
          <w:sz w:val="16"/>
          <w:szCs w:val="16"/>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w:t>
      </w:r>
    </w:p>
    <w:p>
      <w:pPr>
        <w:sectPr>
          <w:pgSz w:w="11900" w:h="16838" w:orient="portrait"/>
          <w:cols w:equalWidth="0" w:num="1">
            <w:col w:w="11420"/>
          </w:cols>
          <w:pgMar w:left="240" w:top="121" w:right="239" w:bottom="1440" w:gutter="0" w:footer="0" w:header="0"/>
        </w:sectPr>
      </w:pPr>
    </w:p>
    <w:bookmarkStart w:id="5" w:name="page6"/>
    <w:bookmarkEnd w:id="5"/>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70" w:lineRule="exact"/>
        <w:rPr>
          <w:sz w:val="20"/>
          <w:szCs w:val="20"/>
          <w:color w:val="auto"/>
        </w:rPr>
      </w:pPr>
    </w:p>
    <w:p>
      <w:pPr>
        <w:ind w:right="140" w:firstLine="1492"/>
        <w:spacing w:after="0" w:line="285" w:lineRule="auto"/>
        <w:tabs>
          <w:tab w:leader="none" w:pos="1923" w:val="left"/>
        </w:tabs>
        <w:numPr>
          <w:ilvl w:val="1"/>
          <w:numId w:val="3"/>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w:t>
      </w:r>
    </w:p>
    <w:p>
      <w:pPr>
        <w:spacing w:after="0" w:line="2" w:lineRule="exact"/>
        <w:rPr>
          <w:rFonts w:ascii="Arial" w:cs="Arial" w:eastAsia="Arial" w:hAnsi="Arial"/>
          <w:sz w:val="16"/>
          <w:szCs w:val="16"/>
          <w:color w:val="auto"/>
        </w:rPr>
      </w:pPr>
    </w:p>
    <w:p>
      <w:pPr>
        <w:ind w:right="60" w:firstLine="8"/>
        <w:spacing w:after="0" w:line="252" w:lineRule="auto"/>
        <w:tabs>
          <w:tab w:leader="none" w:pos="28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4" w:lineRule="exact"/>
        <w:rPr>
          <w:sz w:val="20"/>
          <w:szCs w:val="20"/>
          <w:color w:val="auto"/>
        </w:rPr>
      </w:pPr>
    </w:p>
    <w:p>
      <w:pPr>
        <w:ind w:right="300" w:firstLine="1484"/>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right="480" w:firstLine="1484"/>
        <w:spacing w:after="0" w:line="312" w:lineRule="auto"/>
        <w:rPr>
          <w:sz w:val="20"/>
          <w:szCs w:val="20"/>
          <w:color w:val="auto"/>
        </w:rPr>
      </w:pPr>
      <w:r>
        <w:rPr>
          <w:rFonts w:ascii="Arial" w:cs="Arial" w:eastAsia="Arial" w:hAnsi="Arial"/>
          <w:sz w:val="16"/>
          <w:szCs w:val="16"/>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47" w:lineRule="exact"/>
        <w:rPr>
          <w:sz w:val="20"/>
          <w:szCs w:val="20"/>
          <w:color w:val="auto"/>
        </w:rPr>
      </w:pPr>
    </w:p>
    <w:p>
      <w:pPr>
        <w:ind w:right="40" w:firstLine="1484"/>
        <w:spacing w:after="0" w:line="264"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1" w:lineRule="exact"/>
        <w:rPr>
          <w:sz w:val="20"/>
          <w:szCs w:val="20"/>
          <w:color w:val="auto"/>
        </w:rPr>
      </w:pPr>
    </w:p>
    <w:p>
      <w:pPr>
        <w:ind w:right="120" w:firstLine="921"/>
        <w:spacing w:after="0" w:line="264" w:lineRule="auto"/>
        <w:tabs>
          <w:tab w:leader="none" w:pos="1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81" w:lineRule="exact"/>
        <w:rPr>
          <w:rFonts w:ascii="Arial" w:cs="Arial" w:eastAsia="Arial" w:hAnsi="Arial"/>
          <w:sz w:val="18"/>
          <w:szCs w:val="18"/>
          <w:color w:val="auto"/>
        </w:rPr>
      </w:pPr>
    </w:p>
    <w:p>
      <w:pPr>
        <w:ind w:left="1320" w:hanging="399"/>
        <w:spacing w:after="0"/>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a committee of Directors or of other individuals satisfying Applicable Laws appointed by the Board in accordance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 hereof.</w:t>
      </w:r>
    </w:p>
    <w:p>
      <w:pPr>
        <w:spacing w:after="0" w:line="210" w:lineRule="exact"/>
        <w:rPr>
          <w:rFonts w:ascii="Arial" w:cs="Arial" w:eastAsia="Arial" w:hAnsi="Arial"/>
          <w:sz w:val="16"/>
          <w:szCs w:val="16"/>
          <w:color w:val="auto"/>
        </w:rPr>
      </w:pPr>
    </w:p>
    <w:p>
      <w:pPr>
        <w:ind w:left="1280" w:hanging="359"/>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ind w:left="1280" w:hanging="359"/>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Company</w:t>
      </w:r>
      <w:r>
        <w:rPr>
          <w:rFonts w:ascii="Arial" w:cs="Arial" w:eastAsia="Arial" w:hAnsi="Arial"/>
          <w:sz w:val="18"/>
          <w:szCs w:val="18"/>
          <w:color w:val="auto"/>
        </w:rPr>
        <w:t>” means Fluidigm Corporation, a Delaware corporation, or any successor thereto.</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including an advisor, engaged by the Company or a Parent or Subsidiary to render services to such entity.</w:t>
      </w:r>
    </w:p>
    <w:p>
      <w:pPr>
        <w:spacing w:after="0" w:line="248" w:lineRule="exact"/>
        <w:rPr>
          <w:rFonts w:ascii="Arial" w:cs="Arial" w:eastAsia="Arial" w:hAnsi="Arial"/>
          <w:sz w:val="16"/>
          <w:szCs w:val="16"/>
          <w:color w:val="auto"/>
        </w:rPr>
      </w:pPr>
    </w:p>
    <w:p>
      <w:pPr>
        <w:ind w:left="1280" w:hanging="359"/>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right="580" w:firstLine="921"/>
        <w:spacing w:after="0" w:line="264"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provided that the Administrator in its discretion may determine whether a permanent and total disability exists in accordance with uniform and non-discriminatory standards adopted by the Administrator from time to time.</w:t>
      </w:r>
    </w:p>
    <w:p>
      <w:pPr>
        <w:spacing w:after="0" w:line="181" w:lineRule="exact"/>
        <w:rPr>
          <w:rFonts w:ascii="Arial" w:cs="Arial" w:eastAsia="Arial" w:hAnsi="Arial"/>
          <w:sz w:val="18"/>
          <w:szCs w:val="18"/>
          <w:color w:val="auto"/>
        </w:rPr>
      </w:pPr>
    </w:p>
    <w:p>
      <w:pPr>
        <w:ind w:right="160" w:firstLine="921"/>
        <w:spacing w:after="0" w:line="308" w:lineRule="auto"/>
        <w:tabs>
          <w:tab w:leader="none" w:pos="1303"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46" w:lineRule="exact"/>
        <w:rPr>
          <w:rFonts w:ascii="Arial" w:cs="Arial" w:eastAsia="Arial" w:hAnsi="Arial"/>
          <w:sz w:val="17"/>
          <w:szCs w:val="17"/>
          <w:color w:val="auto"/>
        </w:rPr>
      </w:pPr>
    </w:p>
    <w:p>
      <w:pPr>
        <w:ind w:left="1320" w:hanging="399"/>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right="120" w:firstLine="921"/>
        <w:spacing w:after="0" w:line="302" w:lineRule="auto"/>
        <w:tabs>
          <w:tab w:leader="none" w:pos="1303"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Program</w:t>
      </w:r>
      <w:r>
        <w:rPr>
          <w:rFonts w:ascii="Arial" w:cs="Arial" w:eastAsia="Arial" w:hAnsi="Arial"/>
          <w:sz w:val="16"/>
          <w:szCs w:val="16"/>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54" w:lineRule="exact"/>
        <w:rPr>
          <w:rFonts w:ascii="Arial" w:cs="Arial" w:eastAsia="Arial" w:hAnsi="Arial"/>
          <w:sz w:val="16"/>
          <w:szCs w:val="16"/>
          <w:color w:val="auto"/>
        </w:rPr>
      </w:pPr>
    </w:p>
    <w:p>
      <w:pPr>
        <w:ind w:left="1320" w:hanging="399"/>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rFonts w:ascii="Arial" w:cs="Arial" w:eastAsia="Arial" w:hAnsi="Arial"/>
          <w:sz w:val="18"/>
          <w:szCs w:val="18"/>
          <w:color w:val="auto"/>
        </w:rPr>
      </w:pPr>
    </w:p>
    <w:p>
      <w:pPr>
        <w:ind w:firstLine="1492"/>
        <w:spacing w:after="0" w:line="259" w:lineRule="auto"/>
        <w:tabs>
          <w:tab w:leader="none" w:pos="1833"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Wall Street Journal </w:t>
      </w:r>
      <w:r>
        <w:rPr>
          <w:rFonts w:ascii="Arial" w:cs="Arial" w:eastAsia="Arial" w:hAnsi="Arial"/>
          <w:sz w:val="18"/>
          <w:szCs w:val="18"/>
          <w:color w:val="auto"/>
        </w:rPr>
        <w:t>or such other source as the Administrator deems reliable;</w:t>
      </w:r>
    </w:p>
    <w:p>
      <w:pPr>
        <w:spacing w:after="0" w:line="186" w:lineRule="exact"/>
        <w:rPr>
          <w:rFonts w:ascii="Arial" w:cs="Arial" w:eastAsia="Arial" w:hAnsi="Arial"/>
          <w:sz w:val="18"/>
          <w:szCs w:val="18"/>
          <w:color w:val="auto"/>
        </w:rPr>
      </w:pPr>
    </w:p>
    <w:p>
      <w:pPr>
        <w:ind w:right="40" w:firstLine="1492"/>
        <w:spacing w:after="0" w:line="264" w:lineRule="auto"/>
        <w:tabs>
          <w:tab w:leader="none" w:pos="1883"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Administrator deems reliable; or</w:t>
      </w:r>
    </w:p>
    <w:p>
      <w:pPr>
        <w:spacing w:after="0" w:line="181" w:lineRule="exact"/>
        <w:rPr>
          <w:rFonts w:ascii="Arial" w:cs="Arial" w:eastAsia="Arial" w:hAnsi="Arial"/>
          <w:sz w:val="18"/>
          <w:szCs w:val="18"/>
          <w:color w:val="auto"/>
        </w:rPr>
      </w:pPr>
    </w:p>
    <w:p>
      <w:pPr>
        <w:ind w:left="1940" w:hanging="448"/>
        <w:spacing w:after="0"/>
        <w:tabs>
          <w:tab w:leader="none" w:pos="1940" w:val="left"/>
        </w:tabs>
        <w:numPr>
          <w:ilvl w:val="1"/>
          <w:numId w:val="6"/>
        </w:numPr>
        <w:rPr>
          <w:rFonts w:ascii="Arial" w:cs="Arial" w:eastAsia="Arial" w:hAnsi="Arial"/>
          <w:sz w:val="17"/>
          <w:szCs w:val="17"/>
          <w:color w:val="auto"/>
        </w:rPr>
      </w:pPr>
      <w:r>
        <w:rPr>
          <w:rFonts w:ascii="Arial" w:cs="Arial" w:eastAsia="Arial" w:hAnsi="Arial"/>
          <w:sz w:val="17"/>
          <w:szCs w:val="17"/>
          <w:color w:val="auto"/>
        </w:rPr>
        <w:t>In the absence of an established market for the Common Stock, the Fair Market Value will be determined in good faith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Administrator.</w:t>
      </w:r>
    </w:p>
    <w:p>
      <w:pPr>
        <w:spacing w:after="0" w:line="210" w:lineRule="exact"/>
        <w:rPr>
          <w:rFonts w:ascii="Arial" w:cs="Arial" w:eastAsia="Arial" w:hAnsi="Arial"/>
          <w:sz w:val="17"/>
          <w:szCs w:val="17"/>
          <w:color w:val="auto"/>
        </w:rPr>
      </w:pPr>
    </w:p>
    <w:p>
      <w:pPr>
        <w:ind w:left="1280" w:hanging="359"/>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 w:name="page8"/>
    <w:bookmarkEnd w:id="7"/>
    <w:p>
      <w:pPr>
        <w:ind w:right="120" w:firstLine="921"/>
        <w:spacing w:after="0" w:line="277" w:lineRule="auto"/>
        <w:tabs>
          <w:tab w:leader="none" w:pos="1283"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that by its terms does not qualify or is not intended to qualify as an Incentive Stock Option</w:t>
      </w:r>
    </w:p>
    <w:p>
      <w:pPr>
        <w:spacing w:after="0" w:line="248" w:lineRule="exact"/>
        <w:rPr>
          <w:rFonts w:ascii="Arial" w:cs="Arial" w:eastAsia="Arial" w:hAnsi="Arial"/>
          <w:sz w:val="16"/>
          <w:szCs w:val="16"/>
          <w:color w:val="auto"/>
        </w:rPr>
      </w:pPr>
    </w:p>
    <w:p>
      <w:pPr>
        <w:ind w:right="520" w:firstLine="921"/>
        <w:spacing w:after="0" w:line="277" w:lineRule="auto"/>
        <w:tabs>
          <w:tab w:leader="none" w:pos="1303"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means a stock option granted pursuant to the Plan. All Options granted under the Plan will be Nonstatutory Stock Options.</w:t>
      </w:r>
    </w:p>
    <w:p>
      <w:pPr>
        <w:spacing w:after="0" w:line="236" w:lineRule="exact"/>
        <w:rPr>
          <w:rFonts w:ascii="Arial" w:cs="Arial" w:eastAsia="Arial" w:hAnsi="Arial"/>
          <w:sz w:val="17"/>
          <w:szCs w:val="17"/>
          <w:color w:val="auto"/>
        </w:rPr>
      </w:pPr>
    </w:p>
    <w:p>
      <w:pPr>
        <w:ind w:left="1360" w:hanging="439"/>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225" w:lineRule="exact"/>
        <w:rPr>
          <w:rFonts w:ascii="Arial" w:cs="Arial" w:eastAsia="Arial" w:hAnsi="Arial"/>
          <w:sz w:val="18"/>
          <w:szCs w:val="18"/>
          <w:color w:val="auto"/>
        </w:rPr>
      </w:pPr>
    </w:p>
    <w:p>
      <w:pPr>
        <w:ind w:right="280" w:firstLine="921"/>
        <w:spacing w:after="0" w:line="277" w:lineRule="auto"/>
        <w:tabs>
          <w:tab w:leader="none" w:pos="1303"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70" w:lineRule="exact"/>
        <w:rPr>
          <w:rFonts w:ascii="Arial" w:cs="Arial" w:eastAsia="Arial" w:hAnsi="Arial"/>
          <w:sz w:val="18"/>
          <w:szCs w:val="18"/>
          <w:color w:val="auto"/>
        </w:rPr>
      </w:pPr>
    </w:p>
    <w:p>
      <w:pPr>
        <w:jc w:val="both"/>
        <w:ind w:right="460" w:firstLine="921"/>
        <w:spacing w:after="0" w:line="264" w:lineRule="auto"/>
        <w:tabs>
          <w:tab w:leader="none" w:pos="1293"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81" w:lineRule="exact"/>
        <w:rPr>
          <w:sz w:val="20"/>
          <w:szCs w:val="20"/>
          <w:color w:val="auto"/>
        </w:rPr>
      </w:pPr>
    </w:p>
    <w:p>
      <w:pPr>
        <w:ind w:right="140" w:firstLine="921"/>
        <w:spacing w:after="0" w:line="264" w:lineRule="auto"/>
        <w:tabs>
          <w:tab w:leader="none" w:pos="1373"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81" w:lineRule="exact"/>
        <w:rPr>
          <w:rFonts w:ascii="Arial" w:cs="Arial" w:eastAsia="Arial" w:hAnsi="Arial"/>
          <w:sz w:val="18"/>
          <w:szCs w:val="18"/>
          <w:color w:val="auto"/>
        </w:rPr>
      </w:pPr>
    </w:p>
    <w:p>
      <w:pPr>
        <w:ind w:left="1400" w:hanging="479"/>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2017 Inducement Award Plan.</w:t>
      </w:r>
    </w:p>
    <w:p>
      <w:pPr>
        <w:spacing w:after="0" w:line="225" w:lineRule="exact"/>
        <w:rPr>
          <w:rFonts w:ascii="Arial" w:cs="Arial" w:eastAsia="Arial" w:hAnsi="Arial"/>
          <w:sz w:val="18"/>
          <w:szCs w:val="18"/>
          <w:color w:val="auto"/>
        </w:rPr>
      </w:pPr>
    </w:p>
    <w:p>
      <w:pPr>
        <w:ind w:right="160" w:firstLine="921"/>
        <w:spacing w:after="0" w:line="277" w:lineRule="auto"/>
        <w:tabs>
          <w:tab w:leader="none" w:pos="1373"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 Restricted Stock award under Section 7 of the Plan, or issued pursuant to the early exercise of an Option.</w:t>
      </w:r>
    </w:p>
    <w:p>
      <w:pPr>
        <w:spacing w:after="0" w:line="170" w:lineRule="exact"/>
        <w:rPr>
          <w:rFonts w:ascii="Arial" w:cs="Arial" w:eastAsia="Arial" w:hAnsi="Arial"/>
          <w:sz w:val="18"/>
          <w:szCs w:val="18"/>
          <w:color w:val="auto"/>
        </w:rPr>
      </w:pPr>
    </w:p>
    <w:p>
      <w:pPr>
        <w:ind w:firstLine="921"/>
        <w:spacing w:after="0" w:line="277" w:lineRule="auto"/>
        <w:tabs>
          <w:tab w:leader="none" w:pos="1393"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8. Each Restricted Stock Unit represents an unfunded and unsecured obligation of the Company.</w:t>
      </w:r>
    </w:p>
    <w:p>
      <w:pPr>
        <w:spacing w:after="0" w:line="170" w:lineRule="exact"/>
        <w:rPr>
          <w:rFonts w:ascii="Arial" w:cs="Arial" w:eastAsia="Arial" w:hAnsi="Arial"/>
          <w:sz w:val="18"/>
          <w:szCs w:val="18"/>
          <w:color w:val="auto"/>
        </w:rPr>
      </w:pPr>
    </w:p>
    <w:p>
      <w:pPr>
        <w:ind w:left="1380" w:hanging="459"/>
        <w:spacing w:after="0"/>
        <w:tabs>
          <w:tab w:leader="none" w:pos="1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of the Exchange Act or any successor to Rule 16b-3, as in effect when discretion is being exercised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 to the Plan.</w:t>
      </w:r>
    </w:p>
    <w:p>
      <w:pPr>
        <w:spacing w:after="0" w:line="210" w:lineRule="exact"/>
        <w:rPr>
          <w:rFonts w:ascii="Arial" w:cs="Arial" w:eastAsia="Arial" w:hAnsi="Arial"/>
          <w:sz w:val="16"/>
          <w:szCs w:val="16"/>
          <w:color w:val="auto"/>
        </w:rPr>
      </w:pPr>
    </w:p>
    <w:p>
      <w:pPr>
        <w:ind w:left="1340" w:hanging="419"/>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8" w:name="page9"/>
    <w:bookmarkEnd w:id="8"/>
    <w:p>
      <w:pPr>
        <w:ind w:left="1400" w:hanging="479"/>
        <w:spacing w:after="0"/>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13 of the Plan.</w:t>
      </w:r>
    </w:p>
    <w:p>
      <w:pPr>
        <w:spacing w:after="0" w:line="225" w:lineRule="exact"/>
        <w:rPr>
          <w:rFonts w:ascii="Arial" w:cs="Arial" w:eastAsia="Arial" w:hAnsi="Arial"/>
          <w:sz w:val="18"/>
          <w:szCs w:val="18"/>
          <w:color w:val="auto"/>
        </w:rPr>
      </w:pPr>
    </w:p>
    <w:p>
      <w:pPr>
        <w:ind w:right="160" w:firstLine="921"/>
        <w:spacing w:after="0" w:line="277" w:lineRule="auto"/>
        <w:tabs>
          <w:tab w:leader="none" w:pos="1313"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9 is designated as a Stock Appreciation Right.</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333" w:lineRule="exact"/>
        <w:rPr>
          <w:rFonts w:ascii="Arial" w:cs="Arial" w:eastAsia="Arial" w:hAnsi="Arial"/>
          <w:sz w:val="18"/>
          <w:szCs w:val="18"/>
          <w:color w:val="auto"/>
        </w:rPr>
      </w:pPr>
    </w:p>
    <w:p>
      <w:pPr>
        <w:ind w:left="780" w:hanging="31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64" w:lineRule="auto"/>
        <w:tabs>
          <w:tab w:leader="none" w:pos="1293"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the provisions of Section 13 of the Plan, the maximum aggregate number of Shares that may be issued under the Plan is 2,000,000 Shares. In addition, Shares may become available for issuance under the Plan pursuant to Section 3(b). The Shares may be authorized, but unissued, or reacquired Common Stock.</w:t>
      </w:r>
    </w:p>
    <w:p>
      <w:pPr>
        <w:spacing w:after="0" w:line="181" w:lineRule="exact"/>
        <w:rPr>
          <w:rFonts w:ascii="Arial" w:cs="Arial" w:eastAsia="Arial" w:hAnsi="Arial"/>
          <w:sz w:val="18"/>
          <w:szCs w:val="18"/>
          <w:color w:val="auto"/>
        </w:rPr>
      </w:pPr>
    </w:p>
    <w:p>
      <w:pPr>
        <w:ind w:firstLine="921"/>
        <w:spacing w:after="0" w:line="269" w:lineRule="auto"/>
        <w:tabs>
          <w:tab w:leader="none" w:pos="1303"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Lapsed Awards</w:t>
      </w:r>
      <w:r>
        <w:rPr>
          <w:rFonts w:ascii="Arial" w:cs="Arial" w:eastAsia="Arial" w:hAnsi="Arial"/>
          <w:sz w:val="17"/>
          <w:szCs w:val="17"/>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179" w:lineRule="exact"/>
        <w:rPr>
          <w:rFonts w:ascii="Arial" w:cs="Arial" w:eastAsia="Arial" w:hAnsi="Arial"/>
          <w:sz w:val="17"/>
          <w:szCs w:val="17"/>
          <w:color w:val="auto"/>
        </w:rPr>
      </w:pPr>
    </w:p>
    <w:p>
      <w:pPr>
        <w:ind w:right="260" w:firstLine="921"/>
        <w:spacing w:after="0" w:line="277" w:lineRule="auto"/>
        <w:tabs>
          <w:tab w:leader="none" w:pos="1293"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278" w:lineRule="exact"/>
        <w:rPr>
          <w:rFonts w:ascii="Arial" w:cs="Arial" w:eastAsia="Arial" w:hAnsi="Arial"/>
          <w:sz w:val="18"/>
          <w:szCs w:val="18"/>
          <w:color w:val="auto"/>
        </w:rPr>
      </w:pPr>
    </w:p>
    <w:p>
      <w:pPr>
        <w:ind w:left="780" w:hanging="31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00" w:hanging="379"/>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25" w:lineRule="exact"/>
        <w:rPr>
          <w:sz w:val="20"/>
          <w:szCs w:val="20"/>
          <w:color w:val="auto"/>
        </w:rPr>
      </w:pPr>
    </w:p>
    <w:p>
      <w:pPr>
        <w:ind w:left="1500"/>
        <w:spacing w:after="0"/>
        <w:tabs>
          <w:tab w:leader="none" w:pos="18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u w:val="single" w:color="auto"/>
          <w:color w:val="auto"/>
        </w:rPr>
        <w:t>Multiple Administrative Bodies</w:t>
      </w:r>
      <w:r>
        <w:rPr>
          <w:rFonts w:ascii="Arial" w:cs="Arial" w:eastAsia="Arial" w:hAnsi="Arial"/>
          <w:sz w:val="16"/>
          <w:szCs w:val="16"/>
          <w:color w:val="auto"/>
        </w:rPr>
        <w:t>. Different Committees with respect to different groups of Service Providers may administer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4" w:right="319" w:bottom="1440" w:gutter="0" w:footer="0" w:header="0"/>
        </w:sectPr>
      </w:pPr>
    </w:p>
    <w:bookmarkStart w:id="9" w:name="page10"/>
    <w:bookmarkEnd w:id="9"/>
    <w:p>
      <w:pPr>
        <w:ind w:left="-80" w:right="220" w:firstLine="1492"/>
        <w:spacing w:after="0" w:line="277" w:lineRule="auto"/>
        <w:tabs>
          <w:tab w:leader="none" w:pos="1803"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 16b-3</w:t>
      </w:r>
      <w:r>
        <w:rPr>
          <w:rFonts w:ascii="Arial" w:cs="Arial" w:eastAsia="Arial" w:hAnsi="Arial"/>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70" w:lineRule="exact"/>
        <w:rPr>
          <w:rFonts w:ascii="Arial" w:cs="Arial" w:eastAsia="Arial" w:hAnsi="Arial"/>
          <w:sz w:val="18"/>
          <w:szCs w:val="18"/>
          <w:color w:val="auto"/>
        </w:rPr>
      </w:pPr>
    </w:p>
    <w:p>
      <w:pPr>
        <w:ind w:left="-80" w:right="220" w:firstLine="1492"/>
        <w:spacing w:after="0" w:line="277" w:lineRule="auto"/>
        <w:tabs>
          <w:tab w:leader="none" w:pos="1853"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 (A) the Board or (B) a Committee, which committee will be constituted to satisfy Applicable Laws.</w:t>
      </w:r>
    </w:p>
    <w:p>
      <w:pPr>
        <w:spacing w:after="0" w:line="170" w:lineRule="exact"/>
        <w:rPr>
          <w:rFonts w:ascii="Arial" w:cs="Arial" w:eastAsia="Arial" w:hAnsi="Arial"/>
          <w:sz w:val="18"/>
          <w:szCs w:val="18"/>
          <w:color w:val="auto"/>
        </w:rPr>
      </w:pPr>
    </w:p>
    <w:p>
      <w:pPr>
        <w:ind w:left="-80" w:right="140" w:firstLine="1492"/>
        <w:spacing w:after="0" w:line="277" w:lineRule="auto"/>
        <w:tabs>
          <w:tab w:leader="none" w:pos="1843"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Approval</w:t>
      </w:r>
      <w:r>
        <w:rPr>
          <w:rFonts w:ascii="Arial" w:cs="Arial" w:eastAsia="Arial" w:hAnsi="Arial"/>
          <w:sz w:val="18"/>
          <w:szCs w:val="18"/>
          <w:color w:val="auto"/>
        </w:rPr>
        <w:t>. Awards granted under the Plan must be approved by a majority of the Company’s “Independent Directors” (as defined under the NASDAQ Listing Rules) or the Compensation Committee of the Board, in each case acting as the Administrator.</w:t>
      </w:r>
    </w:p>
    <w:p>
      <w:pPr>
        <w:spacing w:after="0" w:line="170" w:lineRule="exact"/>
        <w:rPr>
          <w:rFonts w:ascii="Arial" w:cs="Arial" w:eastAsia="Arial" w:hAnsi="Arial"/>
          <w:sz w:val="18"/>
          <w:szCs w:val="18"/>
          <w:color w:val="auto"/>
        </w:rPr>
      </w:pPr>
    </w:p>
    <w:p>
      <w:pPr>
        <w:ind w:left="-80" w:right="120" w:firstLine="921"/>
        <w:spacing w:after="0" w:line="277" w:lineRule="auto"/>
        <w:tabs>
          <w:tab w:leader="none" w:pos="122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70" w:lineRule="exact"/>
        <w:rPr>
          <w:rFonts w:ascii="Arial" w:cs="Arial" w:eastAsia="Arial" w:hAnsi="Arial"/>
          <w:sz w:val="18"/>
          <w:szCs w:val="18"/>
          <w:color w:val="auto"/>
        </w:rPr>
      </w:pPr>
    </w:p>
    <w:p>
      <w:pPr>
        <w:ind w:left="1760" w:hanging="348"/>
        <w:spacing w:after="0"/>
        <w:tabs>
          <w:tab w:leader="none" w:pos="1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25" w:lineRule="exact"/>
        <w:rPr>
          <w:rFonts w:ascii="Arial" w:cs="Arial" w:eastAsia="Arial" w:hAnsi="Arial"/>
          <w:sz w:val="18"/>
          <w:szCs w:val="18"/>
          <w:color w:val="auto"/>
        </w:rPr>
      </w:pPr>
    </w:p>
    <w:p>
      <w:pPr>
        <w:ind w:left="-80" w:right="420" w:firstLine="1492"/>
        <w:spacing w:after="0" w:line="277" w:lineRule="auto"/>
        <w:tabs>
          <w:tab w:leader="none" w:pos="1803"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select the individuals to whom Awards may be granted hereunder, subject to Section 5 (which Awards will be intended as a material inducement to the individual becoming an Employee);</w:t>
      </w:r>
    </w:p>
    <w:p>
      <w:pPr>
        <w:spacing w:after="0" w:line="170" w:lineRule="exact"/>
        <w:rPr>
          <w:rFonts w:ascii="Arial" w:cs="Arial" w:eastAsia="Arial" w:hAnsi="Arial"/>
          <w:sz w:val="18"/>
          <w:szCs w:val="18"/>
          <w:color w:val="auto"/>
        </w:rPr>
      </w:pPr>
    </w:p>
    <w:p>
      <w:pPr>
        <w:ind w:left="1860" w:hanging="448"/>
        <w:spacing w:after="0"/>
        <w:tabs>
          <w:tab w:leader="none" w:pos="18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25" w:lineRule="exact"/>
        <w:rPr>
          <w:rFonts w:ascii="Arial" w:cs="Arial" w:eastAsia="Arial" w:hAnsi="Arial"/>
          <w:sz w:val="18"/>
          <w:szCs w:val="18"/>
          <w:color w:val="auto"/>
        </w:rPr>
      </w:pPr>
    </w:p>
    <w:p>
      <w:pPr>
        <w:ind w:left="1860" w:hanging="448"/>
        <w:spacing w:after="0"/>
        <w:tabs>
          <w:tab w:leader="none" w:pos="18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225" w:lineRule="exact"/>
        <w:rPr>
          <w:rFonts w:ascii="Arial" w:cs="Arial" w:eastAsia="Arial" w:hAnsi="Arial"/>
          <w:sz w:val="18"/>
          <w:szCs w:val="18"/>
          <w:color w:val="auto"/>
        </w:rPr>
      </w:pPr>
    </w:p>
    <w:p>
      <w:pPr>
        <w:jc w:val="both"/>
        <w:ind w:left="-80" w:firstLine="1492"/>
        <w:spacing w:after="0" w:line="259" w:lineRule="auto"/>
        <w:tabs>
          <w:tab w:leader="none" w:pos="1793"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6" w:lineRule="exact"/>
        <w:rPr>
          <w:rFonts w:ascii="Arial" w:cs="Arial" w:eastAsia="Arial" w:hAnsi="Arial"/>
          <w:sz w:val="18"/>
          <w:szCs w:val="18"/>
          <w:color w:val="auto"/>
        </w:rPr>
      </w:pPr>
    </w:p>
    <w:p>
      <w:pPr>
        <w:ind w:left="1860" w:hanging="448"/>
        <w:spacing w:after="0"/>
        <w:tabs>
          <w:tab w:leader="none" w:pos="18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determine the terms and conditions of any, and to institute any Exchange Program;</w:t>
      </w:r>
    </w:p>
    <w:p>
      <w:pPr>
        <w:spacing w:after="0" w:line="225" w:lineRule="exact"/>
        <w:rPr>
          <w:rFonts w:ascii="Arial" w:cs="Arial" w:eastAsia="Arial" w:hAnsi="Arial"/>
          <w:sz w:val="18"/>
          <w:szCs w:val="18"/>
          <w:color w:val="auto"/>
        </w:rPr>
      </w:pPr>
    </w:p>
    <w:p>
      <w:pPr>
        <w:ind w:left="1900" w:hanging="488"/>
        <w:spacing w:after="0"/>
        <w:tabs>
          <w:tab w:leader="none" w:pos="1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25" w:lineRule="exact"/>
        <w:rPr>
          <w:rFonts w:ascii="Arial" w:cs="Arial" w:eastAsia="Arial" w:hAnsi="Arial"/>
          <w:sz w:val="18"/>
          <w:szCs w:val="18"/>
          <w:color w:val="auto"/>
        </w:rPr>
      </w:pPr>
    </w:p>
    <w:p>
      <w:pPr>
        <w:ind w:left="-80" w:right="260" w:firstLine="1492"/>
        <w:spacing w:after="0" w:line="308" w:lineRule="auto"/>
        <w:tabs>
          <w:tab w:leader="none" w:pos="1943" w:val="left"/>
        </w:tabs>
        <w:numPr>
          <w:ilvl w:val="1"/>
          <w:numId w:val="12"/>
        </w:numPr>
        <w:rPr>
          <w:rFonts w:ascii="Arial" w:cs="Arial" w:eastAsia="Arial" w:hAnsi="Arial"/>
          <w:sz w:val="17"/>
          <w:szCs w:val="17"/>
          <w:color w:val="auto"/>
        </w:rPr>
      </w:pPr>
      <w:r>
        <w:rPr>
          <w:rFonts w:ascii="Arial" w:cs="Arial" w:eastAsia="Arial" w:hAnsi="Arial"/>
          <w:sz w:val="17"/>
          <w:szCs w:val="17"/>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46" w:lineRule="exact"/>
        <w:rPr>
          <w:rFonts w:ascii="Arial" w:cs="Arial" w:eastAsia="Arial" w:hAnsi="Arial"/>
          <w:sz w:val="17"/>
          <w:szCs w:val="17"/>
          <w:color w:val="auto"/>
        </w:rPr>
      </w:pPr>
    </w:p>
    <w:p>
      <w:pPr>
        <w:jc w:val="both"/>
        <w:ind w:left="-80" w:right="400" w:firstLine="1492"/>
        <w:spacing w:after="0" w:line="264" w:lineRule="auto"/>
        <w:tabs>
          <w:tab w:leader="none" w:pos="1843"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modify or amend each Award (subject to Section 18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320" w:top="274" w:right="299" w:bottom="1440" w:gutter="0" w:footer="0" w:header="0"/>
        </w:sectPr>
      </w:pPr>
    </w:p>
    <w:bookmarkStart w:id="10" w:name="page11"/>
    <w:bookmarkEnd w:id="10"/>
    <w:p>
      <w:pPr>
        <w:ind w:left="1880" w:hanging="388"/>
        <w:spacing w:after="0"/>
        <w:tabs>
          <w:tab w:leader="none" w:pos="1880" w:val="left"/>
        </w:tabs>
        <w:numPr>
          <w:ilvl w:val="2"/>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allow Participants to satisfy withholding tax obligations in such manner as prescribed in Section 14 of the Plan;</w:t>
      </w:r>
    </w:p>
    <w:p>
      <w:pPr>
        <w:spacing w:after="0" w:line="225" w:lineRule="exact"/>
        <w:rPr>
          <w:rFonts w:ascii="Arial" w:cs="Arial" w:eastAsia="Arial" w:hAnsi="Arial"/>
          <w:sz w:val="18"/>
          <w:szCs w:val="18"/>
          <w:color w:val="auto"/>
        </w:rPr>
      </w:pPr>
    </w:p>
    <w:p>
      <w:pPr>
        <w:ind w:right="260" w:firstLine="1492"/>
        <w:spacing w:after="0" w:line="277" w:lineRule="auto"/>
        <w:tabs>
          <w:tab w:leader="none" w:pos="1923"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70" w:lineRule="exact"/>
        <w:rPr>
          <w:rFonts w:ascii="Arial" w:cs="Arial" w:eastAsia="Arial" w:hAnsi="Arial"/>
          <w:sz w:val="18"/>
          <w:szCs w:val="18"/>
          <w:color w:val="auto"/>
        </w:rPr>
      </w:pPr>
    </w:p>
    <w:p>
      <w:pPr>
        <w:ind w:right="360" w:firstLine="1492"/>
        <w:spacing w:after="0" w:line="277" w:lineRule="auto"/>
        <w:tabs>
          <w:tab w:leader="none" w:pos="1973"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would otherwise be due to such Participant under an Award; and</w:t>
      </w:r>
    </w:p>
    <w:p>
      <w:pPr>
        <w:spacing w:after="0" w:line="170" w:lineRule="exact"/>
        <w:rPr>
          <w:rFonts w:ascii="Arial" w:cs="Arial" w:eastAsia="Arial" w:hAnsi="Arial"/>
          <w:sz w:val="18"/>
          <w:szCs w:val="18"/>
          <w:color w:val="auto"/>
        </w:rPr>
      </w:pPr>
    </w:p>
    <w:p>
      <w:pPr>
        <w:ind w:left="2040" w:hanging="548"/>
        <w:spacing w:after="0"/>
        <w:tabs>
          <w:tab w:leader="none" w:pos="20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25" w:lineRule="exact"/>
        <w:rPr>
          <w:rFonts w:ascii="Arial" w:cs="Arial" w:eastAsia="Arial" w:hAnsi="Arial"/>
          <w:sz w:val="18"/>
          <w:szCs w:val="18"/>
          <w:color w:val="auto"/>
        </w:rPr>
      </w:pPr>
    </w:p>
    <w:p>
      <w:pPr>
        <w:ind w:right="520" w:firstLine="921"/>
        <w:spacing w:after="0" w:line="277" w:lineRule="auto"/>
        <w:tabs>
          <w:tab w:leader="none" w:pos="1293"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w:t>
      </w:r>
    </w:p>
    <w:p>
      <w:pPr>
        <w:spacing w:after="0" w:line="170" w:lineRule="exact"/>
        <w:rPr>
          <w:rFonts w:ascii="Arial" w:cs="Arial" w:eastAsia="Arial" w:hAnsi="Arial"/>
          <w:sz w:val="18"/>
          <w:szCs w:val="18"/>
          <w:color w:val="auto"/>
        </w:rPr>
      </w:pPr>
    </w:p>
    <w:p>
      <w:pPr>
        <w:ind w:firstLine="464"/>
        <w:spacing w:after="0" w:line="277" w:lineRule="auto"/>
        <w:tabs>
          <w:tab w:leader="none" w:pos="77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Stock Appreciation Rights, Restricted Stock, Restricted Stock Units, Performance Shares and Performance Units may be granted to Employees so long as the following requirements are met:</w:t>
      </w:r>
    </w:p>
    <w:p>
      <w:pPr>
        <w:spacing w:after="0" w:line="170" w:lineRule="exact"/>
        <w:rPr>
          <w:rFonts w:ascii="Arial" w:cs="Arial" w:eastAsia="Arial" w:hAnsi="Arial"/>
          <w:sz w:val="18"/>
          <w:szCs w:val="18"/>
          <w:color w:val="auto"/>
        </w:rPr>
      </w:pPr>
    </w:p>
    <w:p>
      <w:pPr>
        <w:ind w:right="20" w:firstLine="921"/>
        <w:spacing w:after="0" w:line="277" w:lineRule="auto"/>
        <w:tabs>
          <w:tab w:leader="none" w:pos="12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Employee was not previously an Employee or Director, or the Employee is returning to employment of the Company following a bona-fide period of non-employment; and</w:t>
      </w:r>
    </w:p>
    <w:p>
      <w:pPr>
        <w:spacing w:after="0" w:line="170" w:lineRule="exact"/>
        <w:rPr>
          <w:rFonts w:ascii="Arial" w:cs="Arial" w:eastAsia="Arial" w:hAnsi="Arial"/>
          <w:sz w:val="18"/>
          <w:szCs w:val="18"/>
          <w:color w:val="auto"/>
        </w:rPr>
      </w:pPr>
    </w:p>
    <w:p>
      <w:pPr>
        <w:ind w:right="280" w:firstLine="921"/>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grant of an Award is an inducement material to the Employee’s entering into employment with the Company in accordance with the Inducement Listing Rule.</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Notwithstanding the foregoing, an Employee may be granted an Award in connection with a merger or acquisition to the extent permitted by Nasdaq Listing Rule 5635(c)(3) and the official guidance thereunder.</w:t>
      </w:r>
    </w:p>
    <w:p>
      <w:pPr>
        <w:spacing w:after="0" w:line="279" w:lineRule="exact"/>
        <w:rPr>
          <w:sz w:val="20"/>
          <w:szCs w:val="20"/>
          <w:color w:val="auto"/>
        </w:rPr>
      </w:pPr>
    </w:p>
    <w:p>
      <w:pPr>
        <w:ind w:left="780" w:hanging="31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921"/>
        <w:spacing w:after="0" w:line="277" w:lineRule="auto"/>
        <w:tabs>
          <w:tab w:leader="none" w:pos="1293"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will be stated in the Award Agreement. In the case of an Incentive Stock Option, the term will be ten (10) years from the date of grant or such shorter term as may be provided in the Award Agreement.</w:t>
      </w:r>
    </w:p>
    <w:p>
      <w:pPr>
        <w:spacing w:after="0" w:line="278" w:lineRule="exact"/>
        <w:rPr>
          <w:rFonts w:ascii="Arial" w:cs="Arial" w:eastAsia="Arial" w:hAnsi="Arial"/>
          <w:sz w:val="18"/>
          <w:szCs w:val="18"/>
          <w:color w:val="auto"/>
        </w:rPr>
      </w:pPr>
    </w:p>
    <w:p>
      <w:pPr>
        <w:ind w:left="1320" w:hanging="399"/>
        <w:spacing w:after="0"/>
        <w:tabs>
          <w:tab w:leader="none" w:pos="132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60" w:firstLine="1492"/>
        <w:spacing w:after="0" w:line="277" w:lineRule="auto"/>
        <w:tabs>
          <w:tab w:leader="none" w:pos="1833" w:val="left"/>
        </w:tabs>
        <w:numPr>
          <w:ilvl w:val="2"/>
          <w:numId w:val="1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will be determined by the Administrator, subject to the following:</w:t>
      </w:r>
    </w:p>
    <w:p>
      <w:pPr>
        <w:spacing w:after="0" w:line="170" w:lineRule="exact"/>
        <w:rPr>
          <w:rFonts w:ascii="Arial" w:cs="Arial" w:eastAsia="Arial" w:hAnsi="Arial"/>
          <w:sz w:val="18"/>
          <w:szCs w:val="18"/>
          <w:color w:val="auto"/>
        </w:rPr>
      </w:pPr>
    </w:p>
    <w:p>
      <w:pPr>
        <w:ind w:left="2340" w:hanging="392"/>
        <w:spacing w:after="0"/>
        <w:tabs>
          <w:tab w:leader="none" w:pos="2340" w:val="left"/>
        </w:tabs>
        <w:numPr>
          <w:ilvl w:val="3"/>
          <w:numId w:val="16"/>
        </w:numPr>
        <w:rPr>
          <w:rFonts w:ascii="Arial" w:cs="Arial" w:eastAsia="Arial" w:hAnsi="Arial"/>
          <w:sz w:val="16"/>
          <w:szCs w:val="16"/>
          <w:color w:val="auto"/>
        </w:rPr>
      </w:pPr>
      <w:r>
        <w:rPr>
          <w:rFonts w:ascii="Arial" w:cs="Arial" w:eastAsia="Arial" w:hAnsi="Arial"/>
          <w:sz w:val="16"/>
          <w:szCs w:val="16"/>
          <w:color w:val="auto"/>
        </w:rPr>
        <w:t>The per Share exercise price will be no less than one hundred percent (100%) of the Fair Market Value per Share on the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grant.</w:t>
      </w:r>
    </w:p>
    <w:p>
      <w:pPr>
        <w:spacing w:after="0" w:line="210" w:lineRule="exact"/>
        <w:rPr>
          <w:rFonts w:ascii="Arial" w:cs="Arial" w:eastAsia="Arial" w:hAnsi="Arial"/>
          <w:sz w:val="16"/>
          <w:szCs w:val="16"/>
          <w:color w:val="auto"/>
        </w:rPr>
      </w:pPr>
    </w:p>
    <w:p>
      <w:pPr>
        <w:ind w:right="160" w:firstLine="1948"/>
        <w:spacing w:after="0" w:line="264" w:lineRule="auto"/>
        <w:tabs>
          <w:tab w:leader="none" w:pos="2330" w:val="left"/>
        </w:tabs>
        <w:numPr>
          <w:ilvl w:val="3"/>
          <w:numId w:val="16"/>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1" w:name="page12"/>
    <w:bookmarkEnd w:id="11"/>
    <w:p>
      <w:pPr>
        <w:ind w:right="60" w:firstLine="1492"/>
        <w:spacing w:after="0" w:line="277" w:lineRule="auto"/>
        <w:tabs>
          <w:tab w:leader="none" w:pos="1883" w:val="left"/>
        </w:tabs>
        <w:numPr>
          <w:ilvl w:val="2"/>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70" w:lineRule="exact"/>
        <w:rPr>
          <w:rFonts w:ascii="Arial" w:cs="Arial" w:eastAsia="Arial" w:hAnsi="Arial"/>
          <w:sz w:val="18"/>
          <w:szCs w:val="18"/>
          <w:color w:val="auto"/>
        </w:rPr>
      </w:pPr>
    </w:p>
    <w:p>
      <w:pPr>
        <w:ind w:right="20" w:firstLine="1492"/>
        <w:spacing w:after="0" w:line="291" w:lineRule="auto"/>
        <w:tabs>
          <w:tab w:leader="none" w:pos="1933" w:val="left"/>
        </w:tabs>
        <w:numPr>
          <w:ilvl w:val="2"/>
          <w:numId w:val="17"/>
        </w:numPr>
        <w:rPr>
          <w:rFonts w:ascii="Arial" w:cs="Arial" w:eastAsia="Arial" w:hAnsi="Arial"/>
          <w:sz w:val="16"/>
          <w:szCs w:val="16"/>
          <w:color w:val="auto"/>
        </w:rPr>
      </w:pPr>
      <w:r>
        <w:rPr>
          <w:rFonts w:ascii="Arial" w:cs="Arial" w:eastAsia="Arial" w:hAnsi="Arial"/>
          <w:sz w:val="16"/>
          <w:szCs w:val="16"/>
          <w:u w:val="single" w:color="auto"/>
          <w:color w:val="auto"/>
        </w:rPr>
        <w:t>Form of Consideration</w:t>
      </w:r>
      <w:r>
        <w:rPr>
          <w:rFonts w:ascii="Arial" w:cs="Arial" w:eastAsia="Arial" w:hAnsi="Arial"/>
          <w:sz w:val="16"/>
          <w:szCs w:val="16"/>
          <w:color w:val="auto"/>
        </w:rPr>
        <w:t>. The Administrator will determine the acceptable form of consideration for exercising an Option, including the method of payment. Such consideration may consist entirely of: (1) cash; (2) check; (3) promissory note, to the extent permitted by Applicable Laws,</w:t>
      </w:r>
    </w:p>
    <w:p>
      <w:pPr>
        <w:ind w:right="120" w:firstLine="8"/>
        <w:spacing w:after="0" w:line="292"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270" w:lineRule="exact"/>
        <w:rPr>
          <w:rFonts w:ascii="Arial" w:cs="Arial" w:eastAsia="Arial" w:hAnsi="Arial"/>
          <w:sz w:val="16"/>
          <w:szCs w:val="16"/>
          <w:color w:val="auto"/>
        </w:rPr>
      </w:pPr>
    </w:p>
    <w:p>
      <w:pPr>
        <w:ind w:left="1300" w:hanging="379"/>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1492"/>
        <w:spacing w:after="0" w:line="264" w:lineRule="auto"/>
        <w:tabs>
          <w:tab w:leader="none" w:pos="1833" w:val="left"/>
        </w:tabs>
        <w:numPr>
          <w:ilvl w:val="2"/>
          <w:numId w:val="18"/>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81" w:lineRule="exact"/>
        <w:rPr>
          <w:sz w:val="20"/>
          <w:szCs w:val="20"/>
          <w:color w:val="auto"/>
        </w:rPr>
      </w:pPr>
    </w:p>
    <w:p>
      <w:pPr>
        <w:ind w:firstLine="1940"/>
        <w:spacing w:after="0" w:line="270" w:lineRule="auto"/>
        <w:rPr>
          <w:sz w:val="20"/>
          <w:szCs w:val="20"/>
          <w:color w:val="auto"/>
        </w:rPr>
      </w:pPr>
      <w:r>
        <w:rPr>
          <w:rFonts w:ascii="Arial" w:cs="Arial" w:eastAsia="Arial" w:hAnsi="Arial"/>
          <w:sz w:val="17"/>
          <w:szCs w:val="17"/>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2" w:lineRule="exact"/>
        <w:rPr>
          <w:sz w:val="20"/>
          <w:szCs w:val="20"/>
          <w:color w:val="auto"/>
        </w:rPr>
      </w:pPr>
    </w:p>
    <w:p>
      <w:pPr>
        <w:ind w:right="200" w:firstLine="1484"/>
        <w:spacing w:after="0" w:line="27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70" w:lineRule="exact"/>
        <w:rPr>
          <w:sz w:val="20"/>
          <w:szCs w:val="20"/>
          <w:color w:val="auto"/>
        </w:rPr>
      </w:pPr>
    </w:p>
    <w:p>
      <w:pPr>
        <w:jc w:val="both"/>
        <w:ind w:firstLine="1492"/>
        <w:spacing w:after="0" w:line="259" w:lineRule="auto"/>
        <w:tabs>
          <w:tab w:leader="none" w:pos="188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 Service Provider</w:t>
      </w:r>
      <w:r>
        <w:rPr>
          <w:rFonts w:ascii="Arial" w:cs="Arial" w:eastAsia="Arial" w:hAnsi="Arial"/>
          <w:sz w:val="18"/>
          <w:szCs w:val="18"/>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12" w:name="page13"/>
    <w:bookmarkEnd w:id="12"/>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71" w:lineRule="exact"/>
        <w:rPr>
          <w:sz w:val="20"/>
          <w:szCs w:val="20"/>
          <w:color w:val="auto"/>
        </w:rPr>
      </w:pPr>
    </w:p>
    <w:p>
      <w:pPr>
        <w:ind w:right="60" w:firstLine="1492"/>
        <w:spacing w:after="0" w:line="255" w:lineRule="auto"/>
        <w:tabs>
          <w:tab w:leader="none" w:pos="1933" w:val="left"/>
        </w:tabs>
        <w:numPr>
          <w:ilvl w:val="2"/>
          <w:numId w:val="20"/>
        </w:numPr>
        <w:rPr>
          <w:rFonts w:ascii="Arial" w:cs="Arial" w:eastAsia="Arial" w:hAnsi="Arial"/>
          <w:sz w:val="18"/>
          <w:szCs w:val="18"/>
          <w:color w:val="auto"/>
        </w:rPr>
      </w:pPr>
      <w:r>
        <w:rPr>
          <w:rFonts w:ascii="Arial" w:cs="Arial" w:eastAsia="Arial" w:hAnsi="Arial"/>
          <w:sz w:val="18"/>
          <w:szCs w:val="18"/>
          <w:u w:val="single" w:color="auto"/>
          <w:color w:val="auto"/>
        </w:rPr>
        <w:t>Disability of Participant</w:t>
      </w:r>
      <w:r>
        <w:rPr>
          <w:rFonts w:ascii="Arial" w:cs="Arial" w:eastAsia="Arial" w:hAnsi="Arial"/>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9" w:lineRule="exact"/>
        <w:rPr>
          <w:rFonts w:ascii="Arial" w:cs="Arial" w:eastAsia="Arial" w:hAnsi="Arial"/>
          <w:sz w:val="18"/>
          <w:szCs w:val="18"/>
          <w:color w:val="auto"/>
        </w:rPr>
      </w:pPr>
    </w:p>
    <w:p>
      <w:pPr>
        <w:ind w:right="80" w:firstLine="1492"/>
        <w:spacing w:after="0" w:line="289" w:lineRule="auto"/>
        <w:tabs>
          <w:tab w:leader="none" w:pos="1923" w:val="left"/>
        </w:tabs>
        <w:numPr>
          <w:ilvl w:val="2"/>
          <w:numId w:val="20"/>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274" w:lineRule="exact"/>
        <w:rPr>
          <w:rFonts w:ascii="Arial" w:cs="Arial" w:eastAsia="Arial" w:hAnsi="Arial"/>
          <w:sz w:val="16"/>
          <w:szCs w:val="16"/>
          <w:color w:val="auto"/>
        </w:rPr>
      </w:pPr>
    </w:p>
    <w:p>
      <w:pPr>
        <w:ind w:left="780" w:hanging="31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160" w:firstLine="921"/>
        <w:spacing w:after="0" w:line="259" w:lineRule="auto"/>
        <w:tabs>
          <w:tab w:leader="none" w:pos="1293"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Subject to the terms and provisions of the Plan, the Administrator, at any time and from time to time, may grant Shares of Restricted Stock to any individual as a material inducement to the individual becoming an Employee or as otherwise permitted under Section 5 in connection with a merger or acquisition, in each case, which grant shall become effective only if the individual actually becomes an Employee, in such amounts as the Administrator, in its sole discretion, will determine.</w:t>
      </w:r>
    </w:p>
    <w:p>
      <w:pPr>
        <w:spacing w:after="0" w:line="186" w:lineRule="exact"/>
        <w:rPr>
          <w:rFonts w:ascii="Arial" w:cs="Arial" w:eastAsia="Arial" w:hAnsi="Arial"/>
          <w:sz w:val="18"/>
          <w:szCs w:val="18"/>
          <w:color w:val="auto"/>
        </w:rPr>
      </w:pPr>
    </w:p>
    <w:p>
      <w:pPr>
        <w:ind w:right="400" w:firstLine="921"/>
        <w:spacing w:after="0" w:line="277" w:lineRule="auto"/>
        <w:tabs>
          <w:tab w:leader="none" w:pos="1303"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will be evidenced by an Award Agreement that will specify the Period of Restriction, the number of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 w:name="page14"/>
    <w:bookmarkEnd w:id="13"/>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70" w:lineRule="exact"/>
        <w:rPr>
          <w:sz w:val="20"/>
          <w:szCs w:val="20"/>
          <w:color w:val="auto"/>
        </w:rPr>
      </w:pPr>
    </w:p>
    <w:p>
      <w:pPr>
        <w:ind w:right="400" w:firstLine="921"/>
        <w:spacing w:after="0" w:line="277" w:lineRule="auto"/>
        <w:tabs>
          <w:tab w:leader="none" w:pos="1293"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70" w:lineRule="exact"/>
        <w:rPr>
          <w:rFonts w:ascii="Arial" w:cs="Arial" w:eastAsia="Arial" w:hAnsi="Arial"/>
          <w:sz w:val="18"/>
          <w:szCs w:val="18"/>
          <w:color w:val="auto"/>
        </w:rPr>
      </w:pPr>
    </w:p>
    <w:p>
      <w:pPr>
        <w:ind w:right="320" w:firstLine="921"/>
        <w:spacing w:after="0" w:line="277" w:lineRule="auto"/>
        <w:tabs>
          <w:tab w:leader="none" w:pos="1303"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170" w:lineRule="exact"/>
        <w:rPr>
          <w:rFonts w:ascii="Arial" w:cs="Arial" w:eastAsia="Arial" w:hAnsi="Arial"/>
          <w:sz w:val="18"/>
          <w:szCs w:val="18"/>
          <w:color w:val="auto"/>
        </w:rPr>
      </w:pPr>
    </w:p>
    <w:p>
      <w:pPr>
        <w:ind w:right="40" w:firstLine="921"/>
        <w:spacing w:after="0" w:line="312" w:lineRule="auto"/>
        <w:tabs>
          <w:tab w:leader="none" w:pos="1293"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Removal of Restrictions</w:t>
      </w:r>
      <w:r>
        <w:rPr>
          <w:rFonts w:ascii="Arial" w:cs="Arial" w:eastAsia="Arial" w:hAnsi="Arial"/>
          <w:sz w:val="16"/>
          <w:szCs w:val="16"/>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46" w:lineRule="exact"/>
        <w:rPr>
          <w:rFonts w:ascii="Arial" w:cs="Arial" w:eastAsia="Arial" w:hAnsi="Arial"/>
          <w:sz w:val="16"/>
          <w:szCs w:val="16"/>
          <w:color w:val="auto"/>
        </w:rPr>
      </w:pPr>
    </w:p>
    <w:p>
      <w:pPr>
        <w:ind w:right="60" w:firstLine="921"/>
        <w:spacing w:after="0" w:line="277" w:lineRule="auto"/>
        <w:tabs>
          <w:tab w:leader="none" w:pos="1273"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Participants holding Shares of Restricted Stock granted hereunder may exercise full voting rights with respect to those Shares, unless the Administrator determines otherwise.</w:t>
      </w:r>
    </w:p>
    <w:p>
      <w:pPr>
        <w:spacing w:after="0" w:line="170" w:lineRule="exact"/>
        <w:rPr>
          <w:rFonts w:ascii="Arial" w:cs="Arial" w:eastAsia="Arial" w:hAnsi="Arial"/>
          <w:sz w:val="18"/>
          <w:szCs w:val="18"/>
          <w:color w:val="auto"/>
        </w:rPr>
      </w:pPr>
    </w:p>
    <w:p>
      <w:pPr>
        <w:ind w:right="160" w:firstLine="921"/>
        <w:spacing w:after="0" w:line="259" w:lineRule="auto"/>
        <w:tabs>
          <w:tab w:leader="none" w:pos="1303"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Participants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86" w:lineRule="exact"/>
        <w:rPr>
          <w:rFonts w:ascii="Arial" w:cs="Arial" w:eastAsia="Arial" w:hAnsi="Arial"/>
          <w:sz w:val="18"/>
          <w:szCs w:val="18"/>
          <w:color w:val="auto"/>
        </w:rPr>
      </w:pPr>
    </w:p>
    <w:p>
      <w:pPr>
        <w:ind w:right="40" w:firstLine="921"/>
        <w:spacing w:after="0" w:line="277" w:lineRule="auto"/>
        <w:tabs>
          <w:tab w:leader="none" w:pos="1303"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278" w:lineRule="exact"/>
        <w:rPr>
          <w:rFonts w:ascii="Arial" w:cs="Arial" w:eastAsia="Arial" w:hAnsi="Arial"/>
          <w:sz w:val="18"/>
          <w:szCs w:val="18"/>
          <w:color w:val="auto"/>
        </w:rPr>
      </w:pPr>
    </w:p>
    <w:p>
      <w:pPr>
        <w:ind w:left="780" w:hanging="31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57" w:lineRule="auto"/>
        <w:tabs>
          <w:tab w:leader="none" w:pos="1293"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to any individual as a material inducement to the individual becoming an Employee or as otherwise permitted under Section 5 in connection with a merger or acquisition, in each case, which grant shall become effective only if the individual actually becomes an Employee.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88" w:lineRule="exact"/>
        <w:rPr>
          <w:rFonts w:ascii="Arial" w:cs="Arial" w:eastAsia="Arial" w:hAnsi="Arial"/>
          <w:sz w:val="18"/>
          <w:szCs w:val="18"/>
          <w:color w:val="auto"/>
        </w:rPr>
      </w:pPr>
    </w:p>
    <w:p>
      <w:pPr>
        <w:ind w:right="60" w:firstLine="921"/>
        <w:spacing w:after="0" w:line="259" w:lineRule="auto"/>
        <w:tabs>
          <w:tab w:leader="none" w:pos="1303"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4" w:name="page15"/>
    <w:bookmarkEnd w:id="14"/>
    <w:p>
      <w:pPr>
        <w:ind w:firstLine="921"/>
        <w:spacing w:after="0" w:line="264" w:lineRule="auto"/>
        <w:tabs>
          <w:tab w:leader="none" w:pos="1293"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81" w:lineRule="exact"/>
        <w:rPr>
          <w:rFonts w:ascii="Arial" w:cs="Arial" w:eastAsia="Arial" w:hAnsi="Arial"/>
          <w:sz w:val="18"/>
          <w:szCs w:val="18"/>
          <w:color w:val="auto"/>
        </w:rPr>
      </w:pPr>
    </w:p>
    <w:p>
      <w:pPr>
        <w:ind w:right="20" w:firstLine="921"/>
        <w:spacing w:after="0" w:line="264" w:lineRule="auto"/>
        <w:tabs>
          <w:tab w:leader="none" w:pos="1303"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81" w:lineRule="exact"/>
        <w:rPr>
          <w:rFonts w:ascii="Arial" w:cs="Arial" w:eastAsia="Arial" w:hAnsi="Arial"/>
          <w:sz w:val="18"/>
          <w:szCs w:val="18"/>
          <w:color w:val="auto"/>
        </w:rPr>
      </w:pPr>
    </w:p>
    <w:p>
      <w:pPr>
        <w:ind w:left="1300" w:hanging="379"/>
        <w:spacing w:after="0"/>
        <w:tabs>
          <w:tab w:leader="none" w:pos="1300"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Cancellation</w:t>
      </w:r>
      <w:r>
        <w:rPr>
          <w:rFonts w:ascii="Arial" w:cs="Arial" w:eastAsia="Arial" w:hAnsi="Arial"/>
          <w:sz w:val="17"/>
          <w:szCs w:val="17"/>
          <w:color w:val="auto"/>
        </w:rPr>
        <w:t>. On the date set forth in the Award Agreement, all unearned Restricted Stock Units will be forfeited to the Company.</w:t>
      </w:r>
    </w:p>
    <w:p>
      <w:pPr>
        <w:spacing w:after="0" w:line="344" w:lineRule="exact"/>
        <w:rPr>
          <w:rFonts w:ascii="Arial" w:cs="Arial" w:eastAsia="Arial" w:hAnsi="Arial"/>
          <w:sz w:val="17"/>
          <w:szCs w:val="17"/>
          <w:color w:val="auto"/>
        </w:rPr>
      </w:pPr>
    </w:p>
    <w:p>
      <w:pPr>
        <w:ind w:left="780" w:hanging="31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59" w:lineRule="auto"/>
        <w:tabs>
          <w:tab w:leader="none" w:pos="1293"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any individual as a material inducement to the individual becoming an Employee or as otherwise permitted under Section 5 in connection with a merger or acquisition, in each case, which grant shall become effective only if the individual actually becomes an Employee at any time and from time to time as will be determined by the Administrator, in its sole discretion.</w:t>
      </w:r>
    </w:p>
    <w:p>
      <w:pPr>
        <w:spacing w:after="0" w:line="186" w:lineRule="exact"/>
        <w:rPr>
          <w:rFonts w:ascii="Arial" w:cs="Arial" w:eastAsia="Arial" w:hAnsi="Arial"/>
          <w:sz w:val="18"/>
          <w:szCs w:val="18"/>
          <w:color w:val="auto"/>
        </w:rPr>
      </w:pPr>
    </w:p>
    <w:p>
      <w:pPr>
        <w:ind w:left="1320" w:hanging="399"/>
        <w:spacing w:after="0"/>
        <w:tabs>
          <w:tab w:leader="none" w:pos="1320"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The Administrator will have complete discretion to determine the number of Stock Appreciation Rights granted to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w:t>
      </w:r>
    </w:p>
    <w:p>
      <w:pPr>
        <w:spacing w:after="0" w:line="210" w:lineRule="exact"/>
        <w:rPr>
          <w:rFonts w:ascii="Arial" w:cs="Arial" w:eastAsia="Arial" w:hAnsi="Arial"/>
          <w:sz w:val="16"/>
          <w:szCs w:val="16"/>
          <w:color w:val="auto"/>
        </w:rPr>
      </w:pPr>
    </w:p>
    <w:p>
      <w:pPr>
        <w:ind w:right="80" w:firstLine="921"/>
        <w:spacing w:after="0" w:line="259" w:lineRule="auto"/>
        <w:tabs>
          <w:tab w:leader="none" w:pos="1293"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Exercise Price and Other Terms</w:t>
      </w:r>
      <w:r>
        <w:rPr>
          <w:rFonts w:ascii="Arial" w:cs="Arial" w:eastAsia="Arial" w:hAnsi="Arial"/>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w:t>
      </w:r>
    </w:p>
    <w:p>
      <w:pPr>
        <w:spacing w:after="0" w:line="186" w:lineRule="exact"/>
        <w:rPr>
          <w:rFonts w:ascii="Arial" w:cs="Arial" w:eastAsia="Arial" w:hAnsi="Arial"/>
          <w:sz w:val="18"/>
          <w:szCs w:val="18"/>
          <w:color w:val="auto"/>
        </w:rPr>
      </w:pPr>
    </w:p>
    <w:p>
      <w:pPr>
        <w:ind w:right="80" w:firstLine="921"/>
        <w:spacing w:after="0" w:line="264" w:lineRule="auto"/>
        <w:tabs>
          <w:tab w:leader="none" w:pos="1303"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81" w:lineRule="exact"/>
        <w:rPr>
          <w:rFonts w:ascii="Arial" w:cs="Arial" w:eastAsia="Arial" w:hAnsi="Arial"/>
          <w:sz w:val="18"/>
          <w:szCs w:val="18"/>
          <w:color w:val="auto"/>
        </w:rPr>
      </w:pPr>
    </w:p>
    <w:p>
      <w:pPr>
        <w:ind w:right="120" w:firstLine="921"/>
        <w:spacing w:after="0" w:line="264" w:lineRule="auto"/>
        <w:tabs>
          <w:tab w:leader="none" w:pos="1293"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Expiration of Stock Appreciation Rights</w:t>
      </w:r>
      <w:r>
        <w:rPr>
          <w:rFonts w:ascii="Arial" w:cs="Arial" w:eastAsia="Arial" w:hAnsi="Arial"/>
          <w:sz w:val="18"/>
          <w:szCs w:val="18"/>
          <w:color w:val="auto"/>
        </w:rPr>
        <w:t>. A Stock Appreciation Right granted under the Plan will expire upon the date determined by the Administrator, in its sole discretion, and set forth in the Award Agreement. Notwithstanding the foregoing, the rules of Section 6(a) relating to the maximum term and Section 6(c) relating to exercise also will apply to Stock Appreciation Rights.</w:t>
      </w:r>
    </w:p>
    <w:p>
      <w:pPr>
        <w:spacing w:after="0" w:line="181" w:lineRule="exact"/>
        <w:rPr>
          <w:rFonts w:ascii="Arial" w:cs="Arial" w:eastAsia="Arial" w:hAnsi="Arial"/>
          <w:sz w:val="18"/>
          <w:szCs w:val="18"/>
          <w:color w:val="auto"/>
        </w:rPr>
      </w:pPr>
    </w:p>
    <w:p>
      <w:pPr>
        <w:ind w:right="580" w:firstLine="921"/>
        <w:spacing w:after="0" w:line="277" w:lineRule="auto"/>
        <w:tabs>
          <w:tab w:leader="none" w:pos="1273"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spacing w:after="0" w:line="170" w:lineRule="exact"/>
        <w:rPr>
          <w:sz w:val="20"/>
          <w:szCs w:val="20"/>
          <w:color w:val="auto"/>
        </w:rPr>
      </w:pPr>
    </w:p>
    <w:p>
      <w:pPr>
        <w:ind w:left="1840" w:hanging="348"/>
        <w:spacing w:after="0"/>
        <w:tabs>
          <w:tab w:leader="none" w:pos="1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157"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5" w:name="page16"/>
    <w:bookmarkEnd w:id="15"/>
    <w:p>
      <w:pPr>
        <w:ind w:left="1500"/>
        <w:spacing w:after="0"/>
        <w:tabs>
          <w:tab w:leader="none" w:pos="1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w:t>
      </w:r>
      <w:r>
        <w:rPr>
          <w:sz w:val="20"/>
          <w:szCs w:val="20"/>
          <w:color w:val="auto"/>
        </w:rPr>
        <w:tab/>
      </w:r>
      <w:r>
        <w:rPr>
          <w:rFonts w:ascii="Arial" w:cs="Arial" w:eastAsia="Arial" w:hAnsi="Arial"/>
          <w:sz w:val="16"/>
          <w:szCs w:val="16"/>
          <w:color w:val="auto"/>
        </w:rPr>
        <w:t>The number of Shares with respect to which the Stock Appreciation Right is exercised.</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279" w:lineRule="exact"/>
        <w:rPr>
          <w:sz w:val="20"/>
          <w:szCs w:val="20"/>
          <w:color w:val="auto"/>
        </w:rPr>
      </w:pPr>
    </w:p>
    <w:p>
      <w:pPr>
        <w:ind w:left="860" w:hanging="396"/>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40" w:firstLine="921"/>
        <w:spacing w:after="0" w:line="257" w:lineRule="auto"/>
        <w:tabs>
          <w:tab w:leader="none" w:pos="1293"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Grant of Performance Units/Shares</w:t>
      </w:r>
      <w:r>
        <w:rPr>
          <w:rFonts w:ascii="Arial" w:cs="Arial" w:eastAsia="Arial" w:hAnsi="Arial"/>
          <w:sz w:val="18"/>
          <w:szCs w:val="18"/>
          <w:color w:val="auto"/>
        </w:rPr>
        <w:t>. Performance Units and Performance Shares may be granted to any individual as a material inducement to the individual becoming an Employee or as otherwise permitted under Section 5 in connection with a merger or acquisition, in each case, which grant shall become effective only if the individual actually becomes an Employee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88" w:lineRule="exact"/>
        <w:rPr>
          <w:rFonts w:ascii="Arial" w:cs="Arial" w:eastAsia="Arial" w:hAnsi="Arial"/>
          <w:sz w:val="18"/>
          <w:szCs w:val="18"/>
          <w:color w:val="auto"/>
        </w:rPr>
      </w:pPr>
    </w:p>
    <w:p>
      <w:pPr>
        <w:ind w:right="160" w:firstLine="921"/>
        <w:spacing w:after="0" w:line="308" w:lineRule="auto"/>
        <w:tabs>
          <w:tab w:leader="none" w:pos="1303"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Value of Performance Units/Shares</w:t>
      </w:r>
      <w:r>
        <w:rPr>
          <w:rFonts w:ascii="Arial" w:cs="Arial" w:eastAsia="Arial" w:hAnsi="Arial"/>
          <w:sz w:val="17"/>
          <w:szCs w:val="17"/>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46" w:lineRule="exact"/>
        <w:rPr>
          <w:rFonts w:ascii="Arial" w:cs="Arial" w:eastAsia="Arial" w:hAnsi="Arial"/>
          <w:sz w:val="17"/>
          <w:szCs w:val="17"/>
          <w:color w:val="auto"/>
        </w:rPr>
      </w:pPr>
    </w:p>
    <w:p>
      <w:pPr>
        <w:ind w:firstLine="921"/>
        <w:spacing w:after="0" w:line="272" w:lineRule="auto"/>
        <w:tabs>
          <w:tab w:leader="none" w:pos="1293"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Performance Objectives and Other Terms</w:t>
      </w:r>
      <w:r>
        <w:rPr>
          <w:rFonts w:ascii="Arial" w:cs="Arial" w:eastAsia="Arial" w:hAnsi="Arial"/>
          <w:sz w:val="17"/>
          <w:szCs w:val="17"/>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Participants.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177" w:lineRule="exact"/>
        <w:rPr>
          <w:rFonts w:ascii="Arial" w:cs="Arial" w:eastAsia="Arial" w:hAnsi="Arial"/>
          <w:sz w:val="17"/>
          <w:szCs w:val="17"/>
          <w:color w:val="auto"/>
        </w:rPr>
      </w:pPr>
    </w:p>
    <w:p>
      <w:pPr>
        <w:ind w:right="20" w:firstLine="921"/>
        <w:spacing w:after="0" w:line="302" w:lineRule="auto"/>
        <w:tabs>
          <w:tab w:leader="none" w:pos="1303"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Earning of Performance Units/Shares</w:t>
      </w:r>
      <w:r>
        <w:rPr>
          <w:rFonts w:ascii="Arial" w:cs="Arial" w:eastAsia="Arial" w:hAnsi="Arial"/>
          <w:sz w:val="16"/>
          <w:szCs w:val="16"/>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54" w:lineRule="exact"/>
        <w:rPr>
          <w:rFonts w:ascii="Arial" w:cs="Arial" w:eastAsia="Arial" w:hAnsi="Arial"/>
          <w:sz w:val="16"/>
          <w:szCs w:val="16"/>
          <w:color w:val="auto"/>
        </w:rPr>
      </w:pPr>
    </w:p>
    <w:p>
      <w:pPr>
        <w:ind w:right="160" w:firstLine="921"/>
        <w:spacing w:after="0" w:line="259" w:lineRule="auto"/>
        <w:tabs>
          <w:tab w:leader="none" w:pos="1293"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Performance Units/Shares</w:t>
      </w:r>
      <w:r>
        <w:rPr>
          <w:rFonts w:ascii="Arial" w:cs="Arial" w:eastAsia="Arial" w:hAnsi="Arial"/>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6" w:name="page17"/>
    <w:bookmarkEnd w:id="16"/>
    <w:p>
      <w:pPr>
        <w:ind w:right="920" w:firstLine="921"/>
        <w:spacing w:after="0" w:line="277" w:lineRule="auto"/>
        <w:tabs>
          <w:tab w:leader="none" w:pos="1273"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Cancellation of Performance Units/Shares</w:t>
      </w:r>
      <w:r>
        <w:rPr>
          <w:rFonts w:ascii="Arial" w:cs="Arial" w:eastAsia="Arial" w:hAnsi="Arial"/>
          <w:sz w:val="18"/>
          <w:szCs w:val="18"/>
          <w:color w:val="auto"/>
        </w:rPr>
        <w:t>. On the date set forth in the Award Agreement, all unearned or unvested Performance Units/Shares will be forfeited to the Company, and again will be available for grant under the Plan.</w:t>
      </w:r>
    </w:p>
    <w:p>
      <w:pPr>
        <w:spacing w:after="0" w:line="170" w:lineRule="exact"/>
        <w:rPr>
          <w:rFonts w:ascii="Arial" w:cs="Arial" w:eastAsia="Arial" w:hAnsi="Arial"/>
          <w:sz w:val="18"/>
          <w:szCs w:val="18"/>
          <w:color w:val="auto"/>
        </w:rPr>
      </w:pPr>
    </w:p>
    <w:p>
      <w:pPr>
        <w:ind w:right="520" w:firstLine="464"/>
        <w:spacing w:after="0" w:line="286" w:lineRule="auto"/>
        <w:tabs>
          <w:tab w:leader="none" w:pos="855"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Leaves of Absence/Transfer Between Locations</w:t>
      </w:r>
      <w:r>
        <w:rPr>
          <w:rFonts w:ascii="Arial" w:cs="Arial" w:eastAsia="Arial" w:hAnsi="Arial"/>
          <w:sz w:val="17"/>
          <w:szCs w:val="17"/>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w:t>
      </w:r>
    </w:p>
    <w:p>
      <w:pPr>
        <w:spacing w:after="0" w:line="165" w:lineRule="exact"/>
        <w:rPr>
          <w:rFonts w:ascii="Arial" w:cs="Arial" w:eastAsia="Arial" w:hAnsi="Arial"/>
          <w:sz w:val="17"/>
          <w:szCs w:val="17"/>
          <w:color w:val="auto"/>
        </w:rPr>
      </w:pPr>
    </w:p>
    <w:p>
      <w:pPr>
        <w:ind w:right="260" w:firstLine="464"/>
        <w:spacing w:after="0" w:line="259" w:lineRule="auto"/>
        <w:tabs>
          <w:tab w:leader="none" w:pos="86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294" w:lineRule="exact"/>
        <w:rPr>
          <w:rFonts w:ascii="Arial" w:cs="Arial" w:eastAsia="Arial" w:hAnsi="Arial"/>
          <w:sz w:val="18"/>
          <w:szCs w:val="18"/>
          <w:color w:val="auto"/>
        </w:rPr>
      </w:pPr>
    </w:p>
    <w:p>
      <w:pPr>
        <w:ind w:left="860" w:hanging="396"/>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Merger or Change in Control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55" w:lineRule="auto"/>
        <w:tabs>
          <w:tab w:leader="none" w:pos="1293"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193" w:lineRule="exact"/>
        <w:rPr>
          <w:rFonts w:ascii="Arial" w:cs="Arial" w:eastAsia="Arial" w:hAnsi="Arial"/>
          <w:sz w:val="18"/>
          <w:szCs w:val="18"/>
          <w:color w:val="auto"/>
        </w:rPr>
      </w:pPr>
    </w:p>
    <w:p>
      <w:pPr>
        <w:ind w:right="300" w:firstLine="921"/>
        <w:spacing w:after="0" w:line="264" w:lineRule="auto"/>
        <w:tabs>
          <w:tab w:leader="none" w:pos="1303"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1" w:lineRule="exact"/>
        <w:rPr>
          <w:rFonts w:ascii="Arial" w:cs="Arial" w:eastAsia="Arial" w:hAnsi="Arial"/>
          <w:sz w:val="18"/>
          <w:szCs w:val="18"/>
          <w:color w:val="auto"/>
        </w:rPr>
      </w:pPr>
    </w:p>
    <w:p>
      <w:pPr>
        <w:jc w:val="both"/>
        <w:ind w:right="120" w:firstLine="921"/>
        <w:spacing w:after="0" w:line="286" w:lineRule="auto"/>
        <w:tabs>
          <w:tab w:leader="none" w:pos="1293"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In the event of a merger or Change in Control, each outstanding Award will be treated as the Administrator determines,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166" w:lineRule="exact"/>
        <w:rPr>
          <w:sz w:val="20"/>
          <w:szCs w:val="20"/>
          <w:color w:val="auto"/>
        </w:rPr>
      </w:pPr>
    </w:p>
    <w:p>
      <w:pPr>
        <w:ind w:right="360" w:firstLine="913"/>
        <w:spacing w:after="0" w:line="302" w:lineRule="auto"/>
        <w:rPr>
          <w:sz w:val="20"/>
          <w:szCs w:val="20"/>
          <w:color w:val="auto"/>
        </w:rPr>
      </w:pPr>
      <w:r>
        <w:rPr>
          <w:rFonts w:ascii="Arial" w:cs="Arial" w:eastAsia="Arial" w:hAnsi="Arial"/>
          <w:sz w:val="16"/>
          <w:szCs w:val="16"/>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7" w:name="page18"/>
    <w:bookmarkEnd w:id="17"/>
    <w:p>
      <w:pPr>
        <w:ind w:right="2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4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66"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295" w:lineRule="exact"/>
        <w:rPr>
          <w:sz w:val="20"/>
          <w:szCs w:val="20"/>
          <w:color w:val="auto"/>
        </w:rPr>
      </w:pPr>
    </w:p>
    <w:p>
      <w:pPr>
        <w:ind w:left="860" w:hanging="396"/>
        <w:spacing w:after="0"/>
        <w:tabs>
          <w:tab w:leader="none" w:pos="86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Tax</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921"/>
        <w:spacing w:after="0" w:line="286" w:lineRule="auto"/>
        <w:tabs>
          <w:tab w:leader="none" w:pos="1293" w:val="left"/>
        </w:tabs>
        <w:numPr>
          <w:ilvl w:val="2"/>
          <w:numId w:val="30"/>
        </w:numPr>
        <w:rPr>
          <w:rFonts w:ascii="Arial" w:cs="Arial" w:eastAsia="Arial" w:hAnsi="Arial"/>
          <w:sz w:val="17"/>
          <w:szCs w:val="17"/>
          <w:color w:val="auto"/>
        </w:rPr>
      </w:pPr>
      <w:r>
        <w:rPr>
          <w:rFonts w:ascii="Arial" w:cs="Arial" w:eastAsia="Arial" w:hAnsi="Arial"/>
          <w:sz w:val="17"/>
          <w:szCs w:val="17"/>
          <w:u w:val="single" w:color="auto"/>
          <w:color w:val="auto"/>
        </w:rPr>
        <w:t>Withholding Requirements</w:t>
      </w:r>
      <w:r>
        <w:rPr>
          <w:rFonts w:ascii="Arial" w:cs="Arial" w:eastAsia="Arial" w:hAnsi="Arial"/>
          <w:sz w:val="17"/>
          <w:szCs w:val="17"/>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65" w:lineRule="exact"/>
        <w:rPr>
          <w:rFonts w:ascii="Arial" w:cs="Arial" w:eastAsia="Arial" w:hAnsi="Arial"/>
          <w:sz w:val="17"/>
          <w:szCs w:val="17"/>
          <w:color w:val="auto"/>
        </w:rPr>
      </w:pPr>
    </w:p>
    <w:p>
      <w:pPr>
        <w:ind w:right="220" w:firstLine="921"/>
        <w:spacing w:after="0" w:line="288" w:lineRule="auto"/>
        <w:tabs>
          <w:tab w:leader="none" w:pos="1303" w:val="left"/>
        </w:tabs>
        <w:numPr>
          <w:ilvl w:val="2"/>
          <w:numId w:val="30"/>
        </w:numPr>
        <w:rPr>
          <w:rFonts w:ascii="Arial" w:cs="Arial" w:eastAsia="Arial" w:hAnsi="Arial"/>
          <w:sz w:val="16"/>
          <w:szCs w:val="16"/>
          <w:color w:val="auto"/>
        </w:rPr>
      </w:pPr>
      <w:r>
        <w:rPr>
          <w:rFonts w:ascii="Arial" w:cs="Arial" w:eastAsia="Arial" w:hAnsi="Arial"/>
          <w:sz w:val="16"/>
          <w:szCs w:val="16"/>
          <w:u w:val="single" w:color="auto"/>
          <w:color w:val="auto"/>
        </w:rPr>
        <w:t>Withholding Arrangements</w:t>
      </w:r>
      <w:r>
        <w:rPr>
          <w:rFonts w:ascii="Arial" w:cs="Arial" w:eastAsia="Arial" w:hAnsi="Arial"/>
          <w:sz w:val="16"/>
          <w:szCs w:val="16"/>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minimum statutory amount required to be withheld, or</w:t>
      </w:r>
    </w:p>
    <w:p>
      <w:pPr>
        <w:ind w:right="280" w:firstLine="8"/>
        <w:spacing w:after="0" w:line="290" w:lineRule="auto"/>
        <w:tabs>
          <w:tab w:leader="none" w:pos="245"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delivering to the Company already-owned Shares having a Fair Market Value equal to the minimum statutory amount required to be withheld. The Fair Market Value of the Shares to be withheld or delivered will be determined as of the date that the taxes are required to be withheld.</w:t>
      </w:r>
    </w:p>
    <w:p>
      <w:pPr>
        <w:spacing w:after="0" w:line="161" w:lineRule="exact"/>
        <w:rPr>
          <w:rFonts w:ascii="Arial" w:cs="Arial" w:eastAsia="Arial" w:hAnsi="Arial"/>
          <w:sz w:val="17"/>
          <w:szCs w:val="17"/>
          <w:color w:val="auto"/>
        </w:rPr>
      </w:pPr>
    </w:p>
    <w:p>
      <w:pPr>
        <w:ind w:right="680" w:firstLine="921"/>
        <w:spacing w:after="0" w:line="308" w:lineRule="auto"/>
        <w:tabs>
          <w:tab w:leader="none" w:pos="1293" w:val="left"/>
        </w:tabs>
        <w:numPr>
          <w:ilvl w:val="2"/>
          <w:numId w:val="31"/>
        </w:numPr>
        <w:rPr>
          <w:rFonts w:ascii="Arial" w:cs="Arial" w:eastAsia="Arial" w:hAnsi="Arial"/>
          <w:sz w:val="17"/>
          <w:szCs w:val="17"/>
          <w:color w:val="auto"/>
        </w:rPr>
      </w:pPr>
      <w:r>
        <w:rPr>
          <w:rFonts w:ascii="Arial" w:cs="Arial" w:eastAsia="Arial" w:hAnsi="Arial"/>
          <w:sz w:val="17"/>
          <w:szCs w:val="17"/>
          <w:u w:val="single" w:color="auto"/>
          <w:color w:val="auto"/>
        </w:rPr>
        <w:t>Compliance With Code Section 409A</w:t>
      </w:r>
      <w:r>
        <w:rPr>
          <w:rFonts w:ascii="Arial" w:cs="Arial" w:eastAsia="Arial" w:hAnsi="Arial"/>
          <w:sz w:val="17"/>
          <w:szCs w:val="17"/>
          <w:color w:val="auto"/>
        </w:rPr>
        <w:t>. Awards will be designed and operated in such a manner that they are either exempt from the application of, or comply with, the requirements of Code Section 409A such that the grant, payment, settlement or deferral will not be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8" w:name="page19"/>
    <w:bookmarkEnd w:id="1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93" w:lineRule="exact"/>
        <w:rPr>
          <w:sz w:val="20"/>
          <w:szCs w:val="20"/>
          <w:color w:val="auto"/>
        </w:rPr>
      </w:pPr>
    </w:p>
    <w:p>
      <w:pPr>
        <w:ind w:right="320" w:firstLine="464"/>
        <w:spacing w:after="0" w:line="264" w:lineRule="auto"/>
        <w:tabs>
          <w:tab w:leader="none" w:pos="86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81" w:lineRule="exact"/>
        <w:rPr>
          <w:rFonts w:ascii="Arial" w:cs="Arial" w:eastAsia="Arial" w:hAnsi="Arial"/>
          <w:sz w:val="18"/>
          <w:szCs w:val="18"/>
          <w:color w:val="auto"/>
        </w:rPr>
      </w:pPr>
    </w:p>
    <w:p>
      <w:pPr>
        <w:ind w:right="40" w:firstLine="464"/>
        <w:spacing w:after="0" w:line="264" w:lineRule="auto"/>
        <w:tabs>
          <w:tab w:leader="none" w:pos="86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81" w:lineRule="exact"/>
        <w:rPr>
          <w:rFonts w:ascii="Arial" w:cs="Arial" w:eastAsia="Arial" w:hAnsi="Arial"/>
          <w:sz w:val="18"/>
          <w:szCs w:val="18"/>
          <w:color w:val="auto"/>
        </w:rPr>
      </w:pPr>
    </w:p>
    <w:p>
      <w:pPr>
        <w:ind w:right="400" w:firstLine="464"/>
        <w:spacing w:after="0" w:line="342" w:lineRule="auto"/>
        <w:tabs>
          <w:tab w:leader="none" w:pos="86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The Plan will become effective upon the approval of the Listing of Additional Shares application by NASDAQ (the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It will continue in effect for a term of ten (10) years from the Effective Date, unless terminated earlier under Section 18 of the Plan.</w:t>
      </w:r>
    </w:p>
    <w:p>
      <w:pPr>
        <w:spacing w:after="0" w:line="231" w:lineRule="exact"/>
        <w:rPr>
          <w:rFonts w:ascii="Arial" w:cs="Arial" w:eastAsia="Arial" w:hAnsi="Arial"/>
          <w:sz w:val="16"/>
          <w:szCs w:val="16"/>
          <w:color w:val="auto"/>
        </w:rPr>
      </w:pPr>
    </w:p>
    <w:p>
      <w:pPr>
        <w:ind w:left="860" w:hanging="39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00" w:hanging="379"/>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the Plan.</w:t>
      </w:r>
    </w:p>
    <w:p>
      <w:pPr>
        <w:spacing w:after="0" w:line="225" w:lineRule="exact"/>
        <w:rPr>
          <w:rFonts w:ascii="Arial" w:cs="Arial" w:eastAsia="Arial" w:hAnsi="Arial"/>
          <w:sz w:val="18"/>
          <w:szCs w:val="18"/>
          <w:color w:val="auto"/>
        </w:rPr>
      </w:pPr>
    </w:p>
    <w:p>
      <w:pPr>
        <w:ind w:right="380" w:firstLine="921"/>
        <w:spacing w:after="0" w:line="277" w:lineRule="auto"/>
        <w:tabs>
          <w:tab w:leader="none" w:pos="1303"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170" w:lineRule="exact"/>
        <w:rPr>
          <w:rFonts w:ascii="Arial" w:cs="Arial" w:eastAsia="Arial" w:hAnsi="Arial"/>
          <w:sz w:val="18"/>
          <w:szCs w:val="18"/>
          <w:color w:val="auto"/>
        </w:rPr>
      </w:pPr>
    </w:p>
    <w:p>
      <w:pPr>
        <w:ind w:right="80" w:firstLine="921"/>
        <w:spacing w:after="0" w:line="259" w:lineRule="auto"/>
        <w:tabs>
          <w:tab w:leader="none" w:pos="1293"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294" w:lineRule="exact"/>
        <w:rPr>
          <w:rFonts w:ascii="Arial" w:cs="Arial" w:eastAsia="Arial" w:hAnsi="Arial"/>
          <w:sz w:val="18"/>
          <w:szCs w:val="18"/>
          <w:color w:val="auto"/>
        </w:rPr>
      </w:pPr>
    </w:p>
    <w:p>
      <w:pPr>
        <w:ind w:left="860" w:hanging="39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20" w:firstLine="921"/>
        <w:spacing w:after="0" w:line="264" w:lineRule="auto"/>
        <w:tabs>
          <w:tab w:leader="none" w:pos="1293"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9" w:name="page20"/>
    <w:bookmarkEnd w:id="19"/>
    <w:p>
      <w:pPr>
        <w:jc w:val="both"/>
        <w:ind w:left="-220" w:right="120" w:firstLine="921"/>
        <w:spacing w:after="0" w:line="264" w:lineRule="auto"/>
        <w:tabs>
          <w:tab w:leader="none" w:pos="1083"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Representations</w:t>
      </w:r>
      <w:r>
        <w:rPr>
          <w:rFonts w:ascii="Arial" w:cs="Arial" w:eastAsia="Arial" w:hAnsi="Arial"/>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1" w:lineRule="exact"/>
        <w:rPr>
          <w:rFonts w:ascii="Arial" w:cs="Arial" w:eastAsia="Arial" w:hAnsi="Arial"/>
          <w:sz w:val="18"/>
          <w:szCs w:val="18"/>
          <w:color w:val="auto"/>
        </w:rPr>
      </w:pPr>
    </w:p>
    <w:p>
      <w:pPr>
        <w:ind w:left="-220" w:firstLine="464"/>
        <w:spacing w:after="0" w:line="264" w:lineRule="auto"/>
        <w:tabs>
          <w:tab w:leader="none" w:pos="64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60" w:top="274" w:right="459" w:bottom="1440" w:gutter="0" w:footer="0" w:header="0"/>
        </w:sectPr>
      </w:pPr>
    </w:p>
    <w:bookmarkStart w:id="20" w:name="page21"/>
    <w:bookmarkEnd w:id="2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2017 INDUCEMENT AWARD PLAN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U.S. PARTICIPANTS)</w:t>
      </w:r>
    </w:p>
    <w:p>
      <w:pPr>
        <w:spacing w:after="0" w:line="21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otherwise defined herein, the terms defined in the Fluidigm Corporation 2017 Inducement Award Plan (the “Plan”) will have the same defined meanings in this Restricted Stock Unit Award Agreement (the “Award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 OF RESTRICTED STOCK UNIT GRANT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Participant Name: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Address:</w:t>
      </w:r>
    </w:p>
    <w:p>
      <w:pPr>
        <w:spacing w:after="0" w:line="229"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You have been granted the right to receive an Award of Restricted Stock Units, subject to the terms and conditions of the Plan and this Award Agreement, as follows: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14605</wp:posOffset>
            </wp:positionV>
            <wp:extent cx="31388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14605</wp:posOffset>
            </wp:positionV>
            <wp:extent cx="31388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14605</wp:posOffset>
            </wp:positionV>
            <wp:extent cx="31388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14605</wp:posOffset>
            </wp:positionV>
            <wp:extent cx="31388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Vesting Schedule:</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Subject to any acceleration provisions contained in the Plan or set forth below, the Restricted Stock Units will vest in accordance with the following schedule: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X/48th of the total number of Shares underlying the Restricted Stock Units granted will vest on [February 20, 201 ][May 20, 201 ][August 20, 201 ] [November 20, 201 ] and 3/48th of the total number of Shares underlying the Restricted Stock Units granted will vest every three months thereafter until fully vested; provided, however, that if a vesting date would otherwise fall on a day when the national stock exchange upon which the Shares are listed is not open for trading, vesting will occur on the first trading day thereafter. Vesting in all instances is subject to the Participant’s continuous status as a Service Provider through the relevant vesting date.</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the event Participant ceases to be a Service Provider for any or no reason before Participant vests in the Restricted Stock Units, the Restricted Stock Units and Participant’s right to acquire any Shares hereunder will immediately terminate.</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By Participant’s signature and the signature of the representative of Fluidigm Corporation (the “Company”) below, Participant and the Company agree that this Award of Restricted Stock</w:t>
      </w:r>
    </w:p>
    <w:p>
      <w:pPr>
        <w:sectPr>
          <w:pgSz w:w="11900" w:h="16838" w:orient="portrait"/>
          <w:cols w:equalWidth="0" w:num="1">
            <w:col w:w="11320"/>
          </w:cols>
          <w:pgMar w:left="240" w:top="270" w:right="339" w:bottom="1440" w:gutter="0" w:footer="0" w:header="0"/>
        </w:sectPr>
      </w:pPr>
    </w:p>
    <w:bookmarkStart w:id="21" w:name="page22"/>
    <w:bookmarkEnd w:id="21"/>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Units is granted under and governed by the terms and conditions of the Plan and this Award Agreement, including the Terms and Conditions of Restricted Stock Unit Grant,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all of which are made a part of this document. </w:t>
      </w:r>
      <w:r>
        <w:rPr>
          <w:rFonts w:ascii="Arial" w:cs="Arial" w:eastAsia="Arial" w:hAnsi="Arial"/>
          <w:sz w:val="16"/>
          <w:szCs w:val="16"/>
          <w:b w:val="1"/>
          <w:bCs w:val="1"/>
          <w:color w:val="auto"/>
        </w:rPr>
        <w:t>By accepting this Award, Participant expressly consents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the sale of Shares (or the withholding of Shares in the case of Section 16 Officers (as defined in Exhibit A) to cover the Tax Withholding Obligations (and any associated broker or other fees) and agrees and acknowledges that Participant may not satisfy them by any means other than the method set forth in Section 7 of the Terms and Conditions of Restricted Stock Unit Grant, unless required to do so by the Administrator or pursuant to the Administrator’s express written consent. </w:t>
      </w:r>
      <w:r>
        <w:rPr>
          <w:rFonts w:ascii="Arial" w:cs="Arial" w:eastAsia="Arial" w:hAnsi="Arial"/>
          <w:sz w:val="16"/>
          <w:szCs w:val="16"/>
          <w:color w:val="auto"/>
        </w:rPr>
        <w:t>Participant has reviewed the Plan and this Award Agreement in their entirety, has had an opportunity to obtain the</w:t>
      </w:r>
      <w:r>
        <w:rPr>
          <w:rFonts w:ascii="Arial" w:cs="Arial" w:eastAsia="Arial" w:hAnsi="Arial"/>
          <w:sz w:val="16"/>
          <w:szCs w:val="16"/>
          <w:b w:val="1"/>
          <w:bCs w:val="1"/>
          <w:color w:val="auto"/>
        </w:rPr>
        <w:t xml:space="preserve"> </w:t>
      </w:r>
      <w:r>
        <w:rPr>
          <w:rFonts w:ascii="Arial" w:cs="Arial" w:eastAsia="Arial" w:hAnsi="Arial"/>
          <w:sz w:val="16"/>
          <w:szCs w:val="16"/>
          <w:color w:val="auto"/>
        </w:rPr>
        <w:t>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and this Award Agreement. Participant further agrees to notify the Company upon any change in the residence address indicated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PARTICIPANT:</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FLUIDIGM CORPORATION</w:t>
            </w:r>
          </w:p>
        </w:tc>
      </w:tr>
      <w:tr>
        <w:trPr>
          <w:trHeight w:val="432"/>
        </w:trPr>
        <w:tc>
          <w:tcPr>
            <w:tcW w:w="13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By</w:t>
            </w:r>
          </w:p>
        </w:tc>
      </w:tr>
      <w:tr>
        <w:trPr>
          <w:trHeight w:val="451"/>
        </w:trPr>
        <w:tc>
          <w:tcPr>
            <w:tcW w:w="13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17"/>
        </w:trPr>
        <w:tc>
          <w:tcPr>
            <w:tcW w:w="538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w:t>
            </w:r>
          </w:p>
        </w:tc>
      </w:tr>
      <w:tr>
        <w:trPr>
          <w:trHeight w:val="391"/>
        </w:trPr>
        <w:tc>
          <w:tcPr>
            <w:tcW w:w="5380" w:type="dxa"/>
            <w:vAlign w:val="bottom"/>
            <w:gridSpan w:val="2"/>
          </w:tcPr>
          <w:p>
            <w:pPr>
              <w:spacing w:after="0"/>
              <w:rPr>
                <w:sz w:val="20"/>
                <w:szCs w:val="20"/>
                <w:color w:val="auto"/>
              </w:rPr>
            </w:pPr>
            <w:r>
              <w:rPr>
                <w:rFonts w:ascii="Arial" w:cs="Arial" w:eastAsia="Arial" w:hAnsi="Arial"/>
                <w:sz w:val="18"/>
                <w:szCs w:val="18"/>
                <w:color w:val="auto"/>
              </w:rPr>
              <w:t>Residence Address:</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53"/>
        </w:trPr>
        <w:tc>
          <w:tcPr>
            <w:tcW w:w="1380" w:type="dxa"/>
            <w:vAlign w:val="bottom"/>
            <w:tcBorders>
              <w:top w:val="single" w:sz="8" w:color="auto"/>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39"/>
        </w:trPr>
        <w:tc>
          <w:tcPr>
            <w:tcW w:w="13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AND CONDITIONS OF RESTRICTED STOCK UNIT GRANT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PARTICIPANTS IN THE U.S.)</w:t>
      </w:r>
    </w:p>
    <w:p>
      <w:pPr>
        <w:spacing w:after="0" w:line="211" w:lineRule="exact"/>
        <w:rPr>
          <w:sz w:val="20"/>
          <w:szCs w:val="20"/>
          <w:color w:val="auto"/>
        </w:rPr>
      </w:pPr>
    </w:p>
    <w:p>
      <w:pPr>
        <w:ind w:right="120" w:firstLine="464"/>
        <w:spacing w:after="0" w:line="259" w:lineRule="auto"/>
        <w:tabs>
          <w:tab w:leader="none" w:pos="77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the individual named in the Notice of Grant attached as Part I of this Award Agreement (the “Participant”) under the Plan an Award of Restricted Stock Units, subject to all of the terms and conditions in this Award Agreement and the Plan, which is incorporated herein by reference. Subject to Section 18 of the Plan, in the event of a conflict between the terms and conditions of the Plan and the terms and conditions of this Award Agreement, the terms and conditions of the Plan will prevail.</w:t>
      </w:r>
    </w:p>
    <w:p>
      <w:pPr>
        <w:spacing w:after="0" w:line="186" w:lineRule="exact"/>
        <w:rPr>
          <w:rFonts w:ascii="Arial" w:cs="Arial" w:eastAsia="Arial" w:hAnsi="Arial"/>
          <w:sz w:val="18"/>
          <w:szCs w:val="18"/>
          <w:color w:val="auto"/>
        </w:rPr>
      </w:pPr>
    </w:p>
    <w:p>
      <w:pPr>
        <w:ind w:firstLine="464"/>
        <w:spacing w:after="0" w:line="295" w:lineRule="auto"/>
        <w:tabs>
          <w:tab w:leader="none" w:pos="77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Company’s Obligation to Pay</w:t>
      </w:r>
      <w:r>
        <w:rPr>
          <w:rFonts w:ascii="Arial" w:cs="Arial" w:eastAsia="Arial" w:hAnsi="Arial"/>
          <w:sz w:val="16"/>
          <w:szCs w:val="16"/>
          <w:color w:val="auto"/>
        </w:rPr>
        <w:t xml:space="preserve">. Each Restricted Stock Unit represents the right to receive a Share on the date it vests. Unless and until the Restricted Stock Units will have vested in the manner set forth in Section 3,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satisfaction of any applicable tax obligations as set forth in Section 7. Subject to the provisions of Section 4, such vested Restricted Stock Units will be paid in Shares as soon as practicable after vesting, but in each such case within the period ending no later than the date that is two and one-half (2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months from the end of the Company’s tax year that includes the vesting date.</w:t>
      </w:r>
    </w:p>
    <w:p>
      <w:pPr>
        <w:spacing w:after="0" w:line="4" w:lineRule="exact"/>
        <w:rPr>
          <w:rFonts w:ascii="Arial" w:cs="Arial" w:eastAsia="Arial" w:hAnsi="Arial"/>
          <w:sz w:val="16"/>
          <w:szCs w:val="16"/>
          <w:color w:val="auto"/>
        </w:rPr>
      </w:pPr>
    </w:p>
    <w:p>
      <w:pPr>
        <w:jc w:val="both"/>
        <w:ind w:firstLine="464"/>
        <w:spacing w:after="0" w:line="259" w:lineRule="auto"/>
        <w:tabs>
          <w:tab w:leader="none" w:pos="77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4, and subject to Section 5, the Restricted Stock Units awarded by this Award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86" w:lineRule="exact"/>
        <w:rPr>
          <w:rFonts w:ascii="Arial" w:cs="Arial" w:eastAsia="Arial" w:hAnsi="Arial"/>
          <w:sz w:val="18"/>
          <w:szCs w:val="18"/>
          <w:color w:val="auto"/>
        </w:rPr>
      </w:pPr>
    </w:p>
    <w:p>
      <w:pPr>
        <w:jc w:val="both"/>
        <w:ind w:right="180" w:firstLine="464"/>
        <w:spacing w:after="0" w:line="264" w:lineRule="auto"/>
        <w:tabs>
          <w:tab w:leader="none" w:pos="77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death, and if (x) 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w:t>
      </w:r>
    </w:p>
    <w:p>
      <w:pPr>
        <w:sectPr>
          <w:pgSz w:w="11900" w:h="16838" w:orient="portrait"/>
          <w:cols w:equalWidth="0" w:num="1">
            <w:col w:w="11400"/>
          </w:cols>
          <w:pgMar w:left="240" w:top="270" w:right="259" w:bottom="1440" w:gutter="0" w:footer="0" w:header="0"/>
        </w:sectPr>
      </w:pPr>
    </w:p>
    <w:bookmarkStart w:id="23" w:name="page24"/>
    <w:bookmarkEnd w:id="23"/>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as a Service Provider, unless the Participant dies following his or her termination as a Service Provider, in which case, the Restricted Stock Units will be paid in Shares to the Participant’s estate as soon as practicable following his or her death. It is the intent of this Award Agreement to comply with the requirements of Section 409A so that none of the Restricted Stock Units provided under this Award Agreement or Shares issuable thereunder will be subject to the additional tax imposed under Section 409A, and any ambiguities herein will be interpreted to so comply. For purposes of this Award Agreement, “Section 409A” means Section 409A of the Code, and any proposed, temporary or final Treasury Regulations and Internal Revenue Service guidance thereunder, as each may be amended from time to time.</w:t>
      </w:r>
    </w:p>
    <w:p>
      <w:pPr>
        <w:spacing w:after="0" w:line="193" w:lineRule="exact"/>
        <w:rPr>
          <w:sz w:val="20"/>
          <w:szCs w:val="20"/>
          <w:color w:val="auto"/>
        </w:rPr>
      </w:pPr>
    </w:p>
    <w:p>
      <w:pPr>
        <w:ind w:right="160" w:firstLine="464"/>
        <w:spacing w:after="0" w:line="264" w:lineRule="auto"/>
        <w:tabs>
          <w:tab w:leader="none" w:pos="771"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Forfeiture upon Termination of Status as a Service Provider</w:t>
      </w:r>
      <w:r>
        <w:rPr>
          <w:rFonts w:ascii="Arial" w:cs="Arial" w:eastAsia="Arial" w:hAnsi="Arial"/>
          <w:sz w:val="18"/>
          <w:szCs w:val="18"/>
          <w:color w:val="auto"/>
        </w:rPr>
        <w:t>. Notwithstanding any contrary provision of this Award Agreement, the balance of the Restricted Stock Units that have not vested as of the time of Participant’s termination as a Service Provider for any or no reason and Participant’s right to acquire any Shares hereunder will immediately terminate.</w:t>
      </w:r>
    </w:p>
    <w:p>
      <w:pPr>
        <w:spacing w:after="0" w:line="181" w:lineRule="exact"/>
        <w:rPr>
          <w:rFonts w:ascii="Arial" w:cs="Arial" w:eastAsia="Arial" w:hAnsi="Arial"/>
          <w:sz w:val="18"/>
          <w:szCs w:val="18"/>
          <w:color w:val="auto"/>
        </w:rPr>
      </w:pPr>
    </w:p>
    <w:p>
      <w:pPr>
        <w:ind w:right="280" w:firstLine="464"/>
        <w:spacing w:after="0" w:line="279" w:lineRule="auto"/>
        <w:tabs>
          <w:tab w:leader="none" w:pos="771"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Death of Participant</w:t>
      </w:r>
      <w:r>
        <w:rPr>
          <w:rFonts w:ascii="Arial" w:cs="Arial" w:eastAsia="Arial" w:hAnsi="Arial"/>
          <w:sz w:val="17"/>
          <w:szCs w:val="17"/>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279" w:lineRule="exact"/>
        <w:rPr>
          <w:rFonts w:ascii="Arial" w:cs="Arial" w:eastAsia="Arial" w:hAnsi="Arial"/>
          <w:sz w:val="17"/>
          <w:szCs w:val="17"/>
          <w:color w:val="auto"/>
        </w:rPr>
      </w:pPr>
    </w:p>
    <w:p>
      <w:pPr>
        <w:ind w:left="780" w:hanging="316"/>
        <w:spacing w:after="0"/>
        <w:tabs>
          <w:tab w:leader="none" w:pos="78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00" w:hanging="379"/>
        <w:spacing w:after="0"/>
        <w:tabs>
          <w:tab w:leader="none" w:pos="1300" w:val="left"/>
        </w:tabs>
        <w:numPr>
          <w:ilvl w:val="2"/>
          <w:numId w:val="36"/>
        </w:numPr>
        <w:rPr>
          <w:rFonts w:ascii="Arial" w:cs="Arial" w:eastAsia="Arial" w:hAnsi="Arial"/>
          <w:sz w:val="17"/>
          <w:szCs w:val="17"/>
          <w:color w:val="auto"/>
        </w:rPr>
      </w:pPr>
      <w:r>
        <w:rPr>
          <w:rFonts w:ascii="Arial" w:cs="Arial" w:eastAsia="Arial" w:hAnsi="Arial"/>
          <w:sz w:val="17"/>
          <w:szCs w:val="17"/>
          <w:u w:val="single" w:color="auto"/>
          <w:color w:val="auto"/>
        </w:rPr>
        <w:t>Default Method of Tax Withholding for Non-Section 16 Officer</w:t>
      </w:r>
      <w:r>
        <w:rPr>
          <w:rFonts w:ascii="Arial" w:cs="Arial" w:eastAsia="Arial" w:hAnsi="Arial"/>
          <w:sz w:val="17"/>
          <w:szCs w:val="17"/>
          <w:color w:val="auto"/>
        </w:rPr>
        <w:t>. If Participant is not a Section 16 Officer (as defined in subsection</w:t>
      </w:r>
    </w:p>
    <w:p>
      <w:pPr>
        <w:spacing w:after="0" w:line="34" w:lineRule="exact"/>
        <w:rPr>
          <w:rFonts w:ascii="Arial" w:cs="Arial" w:eastAsia="Arial" w:hAnsi="Arial"/>
          <w:sz w:val="17"/>
          <w:szCs w:val="17"/>
          <w:color w:val="auto"/>
        </w:rPr>
      </w:pPr>
    </w:p>
    <w:p>
      <w:pPr>
        <w:ind w:firstLine="8"/>
        <w:spacing w:after="0" w:line="281" w:lineRule="auto"/>
        <w:tabs>
          <w:tab w:leader="none" w:pos="2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below), the minimum federal, state, and local and foreign income, social insurance, payroll, employment and any other applicable taxes which the Company determines must be withheld with respect to this Award (“Tax Withholding Obligation”) with respect to this Award will be satisfied by Shares being sold on Participant’s behalf at the prevailing market price pursuant to such procedures as the Company may specify from time to time, including through a broker-assisted arrangement (it being understood that the Shares to be sold must have vested pursuant to the terms of this Agreement and the Plan). The proceeds from the sale will be used to satisfy Participant’s Tax Withholding Obligation (and any associated broker or other fees) arising with respect to this Award. Only whole Shares will be sold to satisfy any Tax Withholding Obligation. Any proceeds from the sale of Shares in excess of the Tax Withholding Obligation (and any associated broker or other fees) will be paid to Participant in accordance with procedures the Company may specify from time to time.</w:t>
      </w:r>
    </w:p>
    <w:p>
      <w:pPr>
        <w:spacing w:after="0" w:line="4"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By accepting this Award, Participant expressly consents to the sale of Shares to cover the Tax Withholding Obligations (and any associated broker or other fees) and agrees and acknowledges that Participant may not satisfy them by any means other than such sale of Shares, unless required to do so by the Administrator or pursuant to the Administrator’s express written consent.</w:t>
      </w:r>
    </w:p>
    <w:p>
      <w:pPr>
        <w:spacing w:after="0" w:line="190" w:lineRule="exact"/>
        <w:rPr>
          <w:rFonts w:ascii="Arial" w:cs="Arial" w:eastAsia="Arial" w:hAnsi="Arial"/>
          <w:sz w:val="16"/>
          <w:szCs w:val="16"/>
          <w:color w:val="auto"/>
        </w:rPr>
      </w:pPr>
    </w:p>
    <w:p>
      <w:pPr>
        <w:ind w:right="40" w:firstLine="921"/>
        <w:spacing w:after="0" w:line="259" w:lineRule="auto"/>
        <w:tabs>
          <w:tab w:leader="none" w:pos="1303" w:val="left"/>
        </w:tabs>
        <w:numPr>
          <w:ilvl w:val="2"/>
          <w:numId w:val="37"/>
        </w:numPr>
        <w:rPr>
          <w:rFonts w:ascii="Arial" w:cs="Arial" w:eastAsia="Arial" w:hAnsi="Arial"/>
          <w:sz w:val="18"/>
          <w:szCs w:val="18"/>
          <w:color w:val="auto"/>
        </w:rPr>
      </w:pPr>
      <w:r>
        <w:rPr>
          <w:rFonts w:ascii="Arial" w:cs="Arial" w:eastAsia="Arial" w:hAnsi="Arial"/>
          <w:sz w:val="18"/>
          <w:szCs w:val="18"/>
          <w:u w:val="single" w:color="auto"/>
          <w:color w:val="auto"/>
        </w:rPr>
        <w:t>Default Method of Tax Withholding for Section 16 Officer</w:t>
      </w:r>
      <w:r>
        <w:rPr>
          <w:rFonts w:ascii="Arial" w:cs="Arial" w:eastAsia="Arial" w:hAnsi="Arial"/>
          <w:sz w:val="18"/>
          <w:szCs w:val="18"/>
          <w:color w:val="auto"/>
        </w:rPr>
        <w:t>. In the event Participant is an employee of the Company or its Parent or Subsidiary who is subject to Section 16 of the Securities Exchange Act of 1934, as amended (a “Section 16 Officer”), the Tax Withholding Obligation will be satisfied by the Company (or the employing or retaining Parent or Subsidiary) withholding from the number of Shares otherwise deliverable under this Award of Restricted Stock</w:t>
      </w:r>
    </w:p>
    <w:p>
      <w:pPr>
        <w:sectPr>
          <w:pgSz w:w="11900" w:h="16838" w:orient="portrait"/>
          <w:cols w:equalWidth="0" w:num="1">
            <w:col w:w="11420"/>
          </w:cols>
          <w:pgMar w:left="240" w:top="274" w:right="239" w:bottom="1440" w:gutter="0" w:footer="0" w:header="0"/>
        </w:sectPr>
      </w:pPr>
    </w:p>
    <w:bookmarkStart w:id="24" w:name="page25"/>
    <w:bookmarkEnd w:id="24"/>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Units a number of Shares sufficient to pay such Tax Withholding Obligation; provided, however, that the Shares to be withheld must have vested pursuant to the terms of this Award Agreement and the Plan. No fractional Shares will be retained to satisfy any portion of the Tax Withholding Obligation. Accordingly, if any withholding is done through the withholding of Shares, Participant will pay to the Company (or the employing or retaining Parent or Subsidiary) an amount in cash sufficient to satisfy the remaining Tax Withholding Obligation due and payable as a result of the Company not retaining fractional Shares. Should the Company be unable to procure such cash amounts from Participant, Participant agrees and acknowledges that Participant is giving the Company (or the employing or retaining Parent or Subsidiary) permission to withhold from Participant’s paycheck(s) an amount equal to the remaining Tax Withholding Obligation due and payable as a result of the Company not retaining fractional Shares.</w:t>
      </w:r>
    </w:p>
    <w:p>
      <w:pPr>
        <w:spacing w:after="0" w:line="178" w:lineRule="exact"/>
        <w:rPr>
          <w:sz w:val="20"/>
          <w:szCs w:val="20"/>
          <w:color w:val="auto"/>
        </w:rPr>
      </w:pPr>
    </w:p>
    <w:p>
      <w:pPr>
        <w:ind w:right="120" w:firstLine="921"/>
        <w:spacing w:after="0" w:line="291" w:lineRule="auto"/>
        <w:tabs>
          <w:tab w:leader="none" w:pos="1293" w:val="left"/>
        </w:tabs>
        <w:numPr>
          <w:ilvl w:val="2"/>
          <w:numId w:val="38"/>
        </w:numPr>
        <w:rPr>
          <w:rFonts w:ascii="Arial" w:cs="Arial" w:eastAsia="Arial" w:hAnsi="Arial"/>
          <w:sz w:val="16"/>
          <w:szCs w:val="16"/>
          <w:color w:val="auto"/>
        </w:rPr>
      </w:pPr>
      <w:r>
        <w:rPr>
          <w:rFonts w:ascii="Arial" w:cs="Arial" w:eastAsia="Arial" w:hAnsi="Arial"/>
          <w:sz w:val="16"/>
          <w:szCs w:val="16"/>
          <w:u w:val="single" w:color="auto"/>
          <w:color w:val="auto"/>
        </w:rPr>
        <w:t>Administrator Discretion</w:t>
      </w:r>
      <w:r>
        <w:rPr>
          <w:rFonts w:ascii="Arial" w:cs="Arial" w:eastAsia="Arial" w:hAnsi="Arial"/>
          <w:sz w:val="16"/>
          <w:szCs w:val="16"/>
          <w:color w:val="auto"/>
        </w:rPr>
        <w:t>. If the Administrator determines that Participant cannot satisfy Participant’s Tax Withholding Obligation through the default procedure described in clauses (a) or (b), as applicable, it may permit Participant to satisfy Participant’s Tax Withholding Obligation by</w:t>
      </w:r>
    </w:p>
    <w:p>
      <w:pPr>
        <w:ind w:left="300" w:hanging="292"/>
        <w:spacing w:after="0"/>
        <w:tabs>
          <w:tab w:leader="none" w:pos="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delivering to the Company Shares that Participant owns and that have vested with a Fair Market Value equal to the amount required to be withheld,</w:t>
      </w:r>
    </w:p>
    <w:p>
      <w:pPr>
        <w:spacing w:after="0" w:line="20" w:lineRule="exact"/>
        <w:rPr>
          <w:rFonts w:ascii="Arial" w:cs="Arial" w:eastAsia="Arial" w:hAnsi="Arial"/>
          <w:sz w:val="17"/>
          <w:szCs w:val="17"/>
          <w:color w:val="auto"/>
        </w:rPr>
      </w:pPr>
    </w:p>
    <w:p>
      <w:pPr>
        <w:ind w:left="300" w:hanging="292"/>
        <w:spacing w:after="0"/>
        <w:tabs>
          <w:tab w:leader="none" w:pos="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electing to have the Company withhold otherwise deliverable Shares having a value equal to the minimum amount statutorily required to be withheld,</w:t>
      </w:r>
    </w:p>
    <w:p>
      <w:pPr>
        <w:spacing w:after="0" w:line="32" w:lineRule="exact"/>
        <w:rPr>
          <w:rFonts w:ascii="Arial" w:cs="Arial" w:eastAsia="Arial" w:hAnsi="Arial"/>
          <w:sz w:val="16"/>
          <w:szCs w:val="16"/>
          <w:color w:val="auto"/>
        </w:rPr>
      </w:pPr>
    </w:p>
    <w:p>
      <w:pPr>
        <w:ind w:left="300" w:hanging="292"/>
        <w:spacing w:after="0"/>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 by Participant in cash, or (D) such other means as the Administrator deems appropriate.</w:t>
      </w:r>
    </w:p>
    <w:p>
      <w:pPr>
        <w:spacing w:after="0" w:line="210" w:lineRule="exact"/>
        <w:rPr>
          <w:rFonts w:ascii="Arial" w:cs="Arial" w:eastAsia="Arial" w:hAnsi="Arial"/>
          <w:sz w:val="18"/>
          <w:szCs w:val="18"/>
          <w:color w:val="auto"/>
        </w:rPr>
      </w:pPr>
    </w:p>
    <w:p>
      <w:pPr>
        <w:ind w:right="60" w:firstLine="921"/>
        <w:spacing w:after="0" w:line="279" w:lineRule="auto"/>
        <w:tabs>
          <w:tab w:leader="none" w:pos="1303" w:val="left"/>
        </w:tabs>
        <w:numPr>
          <w:ilvl w:val="2"/>
          <w:numId w:val="39"/>
        </w:numPr>
        <w:rPr>
          <w:rFonts w:ascii="Arial" w:cs="Arial" w:eastAsia="Arial" w:hAnsi="Arial"/>
          <w:sz w:val="17"/>
          <w:szCs w:val="17"/>
          <w:color w:val="auto"/>
        </w:rPr>
      </w:pPr>
      <w:r>
        <w:rPr>
          <w:rFonts w:ascii="Arial" w:cs="Arial" w:eastAsia="Arial" w:hAnsi="Arial"/>
          <w:sz w:val="17"/>
          <w:szCs w:val="17"/>
          <w:u w:val="single" w:color="auto"/>
          <w:color w:val="auto"/>
        </w:rPr>
        <w:t>Company’s Obligation to Deliver Shares</w:t>
      </w:r>
      <w:r>
        <w:rPr>
          <w:rFonts w:ascii="Arial" w:cs="Arial" w:eastAsia="Arial" w:hAnsi="Arial"/>
          <w:sz w:val="17"/>
          <w:szCs w:val="17"/>
          <w:color w:val="auto"/>
        </w:rPr>
        <w:t>. For clarification purposes, in no event will the Company issue Participant any Shares unless and until arrangements satisfactory to the Administrator have been made for the payment of Participant’s Tax Withholding Obligation. If Participant fails to do so by the time they become due, Participant will permanently forfeit Participant’s Restricted Stock Units to which Participant’s Tax Withholding Obligation relates, as well as any right to receive Shares otherwise issuable pursuant to those Restricted Stock Units.</w:t>
      </w:r>
    </w:p>
    <w:p>
      <w:pPr>
        <w:spacing w:after="0" w:line="171" w:lineRule="exact"/>
        <w:rPr>
          <w:rFonts w:ascii="Arial" w:cs="Arial" w:eastAsia="Arial" w:hAnsi="Arial"/>
          <w:sz w:val="17"/>
          <w:szCs w:val="17"/>
          <w:color w:val="auto"/>
        </w:rPr>
      </w:pPr>
    </w:p>
    <w:p>
      <w:pPr>
        <w:ind w:right="400" w:firstLine="464"/>
        <w:spacing w:after="0" w:line="257" w:lineRule="auto"/>
        <w:tabs>
          <w:tab w:leader="none" w:pos="771"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88" w:lineRule="exact"/>
        <w:rPr>
          <w:rFonts w:ascii="Arial" w:cs="Arial" w:eastAsia="Arial" w:hAnsi="Arial"/>
          <w:sz w:val="18"/>
          <w:szCs w:val="18"/>
          <w:color w:val="auto"/>
        </w:rPr>
      </w:pPr>
    </w:p>
    <w:p>
      <w:pPr>
        <w:ind w:firstLine="464"/>
        <w:spacing w:after="0" w:line="272" w:lineRule="auto"/>
        <w:tabs>
          <w:tab w:leader="none" w:pos="771"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THE RESTRICTED STOCK UNITS PURSUANT TO THE VESTING SCHEDULE HEREOF IS EARNED ONLY BY CONTINUING AS A SERVICE PROVIDER AT THE WILL OF THE COMPANY (OR THE PARENT OR SUBSIDIARY EMPLOYING OR RETAINING PARTICIPANT)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w:t>
      </w:r>
    </w:p>
    <w:p>
      <w:pPr>
        <w:sectPr>
          <w:pgSz w:w="11900" w:h="16838" w:orient="portrait"/>
          <w:cols w:equalWidth="0" w:num="1">
            <w:col w:w="11400"/>
          </w:cols>
          <w:pgMar w:left="240" w:top="274" w:right="259" w:bottom="1440" w:gutter="0" w:footer="0" w:header="0"/>
        </w:sectPr>
      </w:pPr>
    </w:p>
    <w:bookmarkStart w:id="25" w:name="page26"/>
    <w:bookmarkEnd w:id="25"/>
    <w:p>
      <w:pPr>
        <w:ind w:right="4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WAY WITH PARTICIPANT’S RIGHT OR THE RIGHT OF THE COMPANY (OR THE PARENT OR SUBSIDIARY EMPLOYING OR RETAINING PARTICIPANT) TO TERMINATE PARTICIPANT’S RELATIONSHIP AS A SERVICE PROVIDER AT ANY TIME, WITH OR WITHOUT CAUSE.</w:t>
      </w:r>
    </w:p>
    <w:p>
      <w:pPr>
        <w:spacing w:after="0" w:line="147" w:lineRule="exact"/>
        <w:rPr>
          <w:sz w:val="20"/>
          <w:szCs w:val="20"/>
          <w:color w:val="auto"/>
        </w:rPr>
      </w:pPr>
    </w:p>
    <w:p>
      <w:pPr>
        <w:ind w:right="80" w:firstLine="464"/>
        <w:spacing w:after="0" w:line="264" w:lineRule="auto"/>
        <w:tabs>
          <w:tab w:leader="none" w:pos="86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 Any notice to be given to the Company under the terms of this Award Agreement will be addressed to the Company at Fluidigm Corporation, 7000 Shoreline Court, Suite 100, South San Francisco, CA 94080, or at such other address as the Company may hereafter designate in writing.</w:t>
      </w:r>
    </w:p>
    <w:p>
      <w:pPr>
        <w:spacing w:after="0" w:line="181" w:lineRule="exact"/>
        <w:rPr>
          <w:rFonts w:ascii="Arial" w:cs="Arial" w:eastAsia="Arial" w:hAnsi="Arial"/>
          <w:sz w:val="18"/>
          <w:szCs w:val="18"/>
          <w:color w:val="auto"/>
        </w:rPr>
      </w:pPr>
    </w:p>
    <w:p>
      <w:pPr>
        <w:ind w:right="100" w:firstLine="464"/>
        <w:spacing w:after="0" w:line="257" w:lineRule="auto"/>
        <w:tabs>
          <w:tab w:leader="none" w:pos="85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8" w:lineRule="exact"/>
        <w:rPr>
          <w:rFonts w:ascii="Arial" w:cs="Arial" w:eastAsia="Arial" w:hAnsi="Arial"/>
          <w:sz w:val="18"/>
          <w:szCs w:val="18"/>
          <w:color w:val="auto"/>
        </w:rPr>
      </w:pPr>
    </w:p>
    <w:p>
      <w:pPr>
        <w:ind w:right="40" w:firstLine="464"/>
        <w:spacing w:after="0" w:line="277" w:lineRule="auto"/>
        <w:tabs>
          <w:tab w:leader="none" w:pos="86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70" w:lineRule="exact"/>
        <w:rPr>
          <w:rFonts w:ascii="Arial" w:cs="Arial" w:eastAsia="Arial" w:hAnsi="Arial"/>
          <w:sz w:val="18"/>
          <w:szCs w:val="18"/>
          <w:color w:val="auto"/>
        </w:rPr>
      </w:pPr>
    </w:p>
    <w:p>
      <w:pPr>
        <w:ind w:left="860" w:hanging="396"/>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Issuance of Stock</w:t>
      </w:r>
      <w:r>
        <w:rPr>
          <w:rFonts w:ascii="Arial" w:cs="Arial" w:eastAsia="Arial" w:hAnsi="Arial"/>
          <w:sz w:val="18"/>
          <w:szCs w:val="18"/>
          <w:color w:val="auto"/>
        </w:rPr>
        <w:t>. If at any time the Company will determine, in its discretion, that the listing, registration or</w:t>
      </w:r>
    </w:p>
    <w:p>
      <w:pPr>
        <w:spacing w:after="0" w:line="23" w:lineRule="exact"/>
        <w:rPr>
          <w:rFonts w:ascii="Arial" w:cs="Arial" w:eastAsia="Arial" w:hAnsi="Arial"/>
          <w:sz w:val="18"/>
          <w:szCs w:val="18"/>
          <w:color w:val="auto"/>
        </w:rPr>
      </w:pPr>
    </w:p>
    <w:p>
      <w:pPr>
        <w:ind w:right="20"/>
        <w:spacing w:after="0" w:line="252" w:lineRule="auto"/>
        <w:rPr>
          <w:rFonts w:ascii="Arial" w:cs="Arial" w:eastAsia="Arial" w:hAnsi="Arial"/>
          <w:sz w:val="18"/>
          <w:szCs w:val="18"/>
          <w:color w:val="auto"/>
        </w:rPr>
      </w:pPr>
      <w:r>
        <w:rPr>
          <w:rFonts w:ascii="Arial" w:cs="Arial" w:eastAsia="Arial" w:hAnsi="Arial"/>
          <w:sz w:val="18"/>
          <w:szCs w:val="18"/>
          <w:color w:val="auto"/>
        </w:rPr>
        <w:t>qualification of the Shares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w:t>
      </w:r>
    </w:p>
    <w:p>
      <w:pPr>
        <w:spacing w:after="0" w:line="193" w:lineRule="exact"/>
        <w:rPr>
          <w:rFonts w:ascii="Arial" w:cs="Arial" w:eastAsia="Arial" w:hAnsi="Arial"/>
          <w:sz w:val="18"/>
          <w:szCs w:val="18"/>
          <w:color w:val="auto"/>
        </w:rPr>
      </w:pPr>
    </w:p>
    <w:p>
      <w:pPr>
        <w:jc w:val="both"/>
        <w:ind w:right="60" w:firstLine="464"/>
        <w:spacing w:after="0" w:line="264" w:lineRule="auto"/>
        <w:tabs>
          <w:tab w:leader="none" w:pos="86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81" w:lineRule="exact"/>
        <w:rPr>
          <w:rFonts w:ascii="Arial" w:cs="Arial" w:eastAsia="Arial" w:hAnsi="Arial"/>
          <w:sz w:val="18"/>
          <w:szCs w:val="18"/>
          <w:color w:val="auto"/>
        </w:rPr>
      </w:pPr>
    </w:p>
    <w:p>
      <w:pPr>
        <w:ind w:firstLine="464"/>
        <w:spacing w:after="0" w:line="297" w:lineRule="auto"/>
        <w:tabs>
          <w:tab w:leader="none" w:pos="861"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Administrator Authority</w:t>
      </w:r>
      <w:r>
        <w:rPr>
          <w:rFonts w:ascii="Arial" w:cs="Arial" w:eastAsia="Arial" w:hAnsi="Arial"/>
          <w:sz w:val="16"/>
          <w:szCs w:val="16"/>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ectPr>
          <w:pgSz w:w="11900" w:h="16838" w:orient="portrait"/>
          <w:cols w:equalWidth="0" w:num="1">
            <w:col w:w="11420"/>
          </w:cols>
          <w:pgMar w:left="240" w:top="274" w:right="239" w:bottom="1440" w:gutter="0" w:footer="0" w:header="0"/>
        </w:sectPr>
      </w:pPr>
    </w:p>
    <w:bookmarkStart w:id="26" w:name="page27"/>
    <w:bookmarkEnd w:id="26"/>
    <w:p>
      <w:pPr>
        <w:ind w:right="60" w:firstLine="464"/>
        <w:spacing w:after="0" w:line="279" w:lineRule="auto"/>
        <w:tabs>
          <w:tab w:leader="none" w:pos="861"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Electronic Delivery</w:t>
      </w:r>
      <w:r>
        <w:rPr>
          <w:rFonts w:ascii="Arial" w:cs="Arial" w:eastAsia="Arial" w:hAnsi="Arial"/>
          <w:sz w:val="17"/>
          <w:szCs w:val="17"/>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71" w:lineRule="exact"/>
        <w:rPr>
          <w:rFonts w:ascii="Arial" w:cs="Arial" w:eastAsia="Arial" w:hAnsi="Arial"/>
          <w:sz w:val="17"/>
          <w:szCs w:val="17"/>
          <w:color w:val="auto"/>
        </w:rPr>
      </w:pPr>
    </w:p>
    <w:p>
      <w:pPr>
        <w:ind w:left="860" w:hanging="396"/>
        <w:spacing w:after="0"/>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provided herein are for convenience only and are not to serve as a basis for interpretation or construction of this Award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right="480" w:firstLine="464"/>
        <w:spacing w:after="0" w:line="342" w:lineRule="auto"/>
        <w:tabs>
          <w:tab w:leader="none" w:pos="86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23" w:lineRule="exact"/>
        <w:rPr>
          <w:rFonts w:ascii="Arial" w:cs="Arial" w:eastAsia="Arial" w:hAnsi="Arial"/>
          <w:sz w:val="16"/>
          <w:szCs w:val="16"/>
          <w:color w:val="auto"/>
        </w:rPr>
      </w:pPr>
    </w:p>
    <w:p>
      <w:pPr>
        <w:ind w:right="40" w:firstLine="464"/>
        <w:spacing w:after="0" w:line="293" w:lineRule="auto"/>
        <w:tabs>
          <w:tab w:leader="none" w:pos="86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Modifications to the Agreement</w:t>
      </w:r>
      <w:r>
        <w:rPr>
          <w:rFonts w:ascii="Arial" w:cs="Arial" w:eastAsia="Arial" w:hAnsi="Arial"/>
          <w:sz w:val="16"/>
          <w:szCs w:val="16"/>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164" w:lineRule="exact"/>
        <w:rPr>
          <w:rFonts w:ascii="Arial" w:cs="Arial" w:eastAsia="Arial" w:hAnsi="Arial"/>
          <w:sz w:val="16"/>
          <w:szCs w:val="16"/>
          <w:color w:val="auto"/>
        </w:rPr>
      </w:pPr>
    </w:p>
    <w:p>
      <w:pPr>
        <w:jc w:val="both"/>
        <w:ind w:firstLine="464"/>
        <w:spacing w:after="0" w:line="264" w:lineRule="auto"/>
        <w:tabs>
          <w:tab w:leader="none" w:pos="86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81" w:lineRule="exact"/>
        <w:rPr>
          <w:rFonts w:ascii="Arial" w:cs="Arial" w:eastAsia="Arial" w:hAnsi="Arial"/>
          <w:sz w:val="18"/>
          <w:szCs w:val="18"/>
          <w:color w:val="auto"/>
        </w:rPr>
      </w:pPr>
    </w:p>
    <w:p>
      <w:pPr>
        <w:ind w:right="160" w:firstLine="464"/>
        <w:spacing w:after="0" w:line="257" w:lineRule="auto"/>
        <w:tabs>
          <w:tab w:leader="none" w:pos="86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Award Agreement will be governed by the laws of the State of California, without giving effect to the conflict of law principles thereof. For purposes of litigating any dispute that arises under this Award of Restricted Stock Units or this Award Agreement, the parties hereby submit to and consent to the jurisdiction of the State of California, and agree that such litigation will be conducted in the courts of San Francisco County, California, or the federal courts for the United States for the Northern District of California, and no other courts, where this Award of Restricted Stock Units is made and/or to be performed.</w:t>
      </w:r>
    </w:p>
    <w:p>
      <w:pPr>
        <w:spacing w:after="0" w:line="18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 * *</w:t>
      </w:r>
    </w:p>
    <w:p>
      <w:pPr>
        <w:sectPr>
          <w:pgSz w:w="11900" w:h="16838" w:orient="portrait"/>
          <w:cols w:equalWidth="0" w:num="1">
            <w:col w:w="11420"/>
          </w:cols>
          <w:pgMar w:left="240" w:top="27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INDUCEMENT AWARD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GRANT OF STOCK OPTION</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Unless otherwise defined herein, the terms defined in the Fluidigm Corporation 2017 Inducement Award Plan (the “Plan”) will have the same defined meanings in this Notice of Grant of Stock Option (the “Notice of Grant”) and Terms and Conditions of Stock Option Grant, attached hereto as Exhibit A (together, the “Agreement”).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«First_Name» «Last_Name»</w:t>
            </w:r>
          </w:p>
        </w:tc>
      </w:tr>
      <w:tr>
        <w:trPr>
          <w:trHeight w:val="223"/>
        </w:trPr>
        <w:tc>
          <w:tcPr>
            <w:tcW w:w="454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«Street»</w:t>
            </w:r>
          </w:p>
        </w:tc>
      </w:tr>
      <w:tr>
        <w:trPr>
          <w:trHeight w:val="223"/>
        </w:trPr>
        <w:tc>
          <w:tcPr>
            <w:tcW w:w="4540" w:type="dxa"/>
            <w:vAlign w:val="bottom"/>
          </w:tcPr>
          <w:p>
            <w:pPr>
              <w:spacing w:after="0"/>
              <w:rPr>
                <w:sz w:val="19"/>
                <w:szCs w:val="19"/>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«City», «State» «Zip»</w:t>
            </w: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Participant has been granted an Option to purchase Common Stock of the Company, subject to the terms and conditions of the Plan and this Agreement, as follows:</w:t>
      </w:r>
    </w:p>
    <w:p>
      <w:pPr>
        <w:sectPr>
          <w:pgSz w:w="11900" w:h="16838" w:orient="portrait"/>
          <w:cols w:equalWidth="0" w:num="1">
            <w:col w:w="11420"/>
          </w:cols>
          <w:pgMar w:left="240" w:top="274" w:right="239" w:bottom="1440" w:gutter="0" w:footer="0" w:header="0"/>
        </w:sectPr>
      </w:pP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Grant Number</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of Grant</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Vesting Commencement Date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Number of Shares Granted</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Exercise Price per Share</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Exercise Price</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Type of Option</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Term/Expiration Date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9"/>
        <w:spacing w:after="0"/>
        <w:rPr>
          <w:sz w:val="20"/>
          <w:szCs w:val="20"/>
          <w:color w:val="auto"/>
        </w:rPr>
      </w:pPr>
      <w:r>
        <w:rPr>
          <w:rFonts w:ascii="Arial" w:cs="Arial" w:eastAsia="Arial" w:hAnsi="Arial"/>
          <w:sz w:val="18"/>
          <w:szCs w:val="18"/>
          <w:color w:val="auto"/>
        </w:rPr>
        <w:t>«Grant_No»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5984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9"/>
        <w:spacing w:after="0"/>
        <w:rPr>
          <w:sz w:val="20"/>
          <w:szCs w:val="20"/>
          <w:color w:val="auto"/>
        </w:rPr>
      </w:pPr>
      <w:r>
        <w:rPr>
          <w:rFonts w:ascii="Arial" w:cs="Arial" w:eastAsia="Arial" w:hAnsi="Arial"/>
          <w:sz w:val="18"/>
          <w:szCs w:val="18"/>
          <w:color w:val="auto"/>
        </w:rPr>
        <w:t>«Grant_Date»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5984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9"/>
        <w:spacing w:after="0"/>
        <w:rPr>
          <w:sz w:val="20"/>
          <w:szCs w:val="20"/>
          <w:color w:val="auto"/>
        </w:rPr>
      </w:pPr>
      <w:r>
        <w:rPr>
          <w:rFonts w:ascii="Arial" w:cs="Arial" w:eastAsia="Arial" w:hAnsi="Arial"/>
          <w:sz w:val="18"/>
          <w:szCs w:val="18"/>
          <w:color w:val="auto"/>
        </w:rPr>
        <w:t>«Vesting_Start_Date»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5984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9"/>
        <w:spacing w:after="0"/>
        <w:rPr>
          <w:sz w:val="20"/>
          <w:szCs w:val="20"/>
          <w:color w:val="auto"/>
        </w:rPr>
      </w:pPr>
      <w:r>
        <w:rPr>
          <w:rFonts w:ascii="Arial" w:cs="Arial" w:eastAsia="Arial" w:hAnsi="Arial"/>
          <w:sz w:val="18"/>
          <w:szCs w:val="18"/>
          <w:color w:val="auto"/>
        </w:rPr>
        <w:t>«No_of_Shares_Granted»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5984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9"/>
        <w:spacing w:after="0"/>
        <w:rPr>
          <w:sz w:val="20"/>
          <w:szCs w:val="20"/>
          <w:color w:val="auto"/>
        </w:rPr>
      </w:pPr>
      <w:r>
        <w:rPr>
          <w:rFonts w:ascii="Arial" w:cs="Arial" w:eastAsia="Arial" w:hAnsi="Arial"/>
          <w:sz w:val="15"/>
          <w:szCs w:val="15"/>
          <w:color w:val="auto"/>
        </w:rPr>
        <w:t>$«Exercise_Price_per_Share»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25984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51" w:lineRule="exact"/>
        <w:rPr>
          <w:sz w:val="20"/>
          <w:szCs w:val="20"/>
          <w:color w:val="auto"/>
        </w:rPr>
      </w:pPr>
    </w:p>
    <w:p>
      <w:pPr>
        <w:ind w:left="9"/>
        <w:spacing w:after="0"/>
        <w:rPr>
          <w:sz w:val="20"/>
          <w:szCs w:val="20"/>
          <w:color w:val="auto"/>
        </w:rPr>
      </w:pPr>
      <w:r>
        <w:rPr>
          <w:rFonts w:ascii="Arial" w:cs="Arial" w:eastAsia="Arial" w:hAnsi="Arial"/>
          <w:sz w:val="18"/>
          <w:szCs w:val="18"/>
          <w:color w:val="auto"/>
        </w:rPr>
        <w:t>$«Total_Exercise_Price»</w:t>
      </w:r>
    </w:p>
    <w:p>
      <w:pPr>
        <w:spacing w:after="0" w:line="36" w:lineRule="exact"/>
        <w:rPr>
          <w:sz w:val="20"/>
          <w:szCs w:val="20"/>
          <w:color w:val="auto"/>
        </w:rPr>
      </w:pPr>
    </w:p>
    <w:p>
      <w:pPr>
        <w:ind w:left="9" w:right="4280" w:hanging="9"/>
        <w:spacing w:after="0" w:line="309" w:lineRule="auto"/>
        <w:tabs>
          <w:tab w:leader="none" w:pos="216" w:val="left"/>
        </w:tabs>
        <w:numPr>
          <w:ilvl w:val="0"/>
          <w:numId w:val="42"/>
        </w:numPr>
        <w:rPr>
          <w:rFonts w:ascii="MS PGothic" w:cs="MS PGothic" w:eastAsia="MS PGothic" w:hAnsi="MS PGothic"/>
          <w:sz w:val="18"/>
          <w:szCs w:val="18"/>
          <w:color w:val="auto"/>
        </w:rPr>
      </w:pPr>
      <w:r>
        <w:rPr>
          <w:rFonts w:ascii="Arial" w:cs="Arial" w:eastAsia="Arial" w:hAnsi="Arial"/>
          <w:sz w:val="18"/>
          <w:szCs w:val="18"/>
          <w:color w:val="auto"/>
        </w:rPr>
        <w:t>Nonstatutory Stock Option «Expiration_Date»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-346075</wp:posOffset>
            </wp:positionV>
            <wp:extent cx="25984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-191770</wp:posOffset>
            </wp:positionV>
            <wp:extent cx="25984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25984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601" w:lineRule="exact"/>
        <w:rPr>
          <w:sz w:val="20"/>
          <w:szCs w:val="20"/>
          <w:color w:val="auto"/>
        </w:rPr>
      </w:pPr>
    </w:p>
    <w:p>
      <w:pPr>
        <w:sectPr>
          <w:pgSz w:w="11900" w:h="16838" w:orient="portrait"/>
          <w:cols w:equalWidth="0" w:num="2">
            <w:col w:w="4271" w:space="720"/>
            <w:col w:w="6429"/>
          </w:cols>
          <w:pgMar w:left="240" w:top="274" w:right="239" w:bottom="1440" w:gutter="0" w:footer="0" w:header="0"/>
          <w:type w:val="continuous"/>
        </w:sectPr>
      </w:pPr>
    </w:p>
    <w:p>
      <w:pPr>
        <w:ind w:right="320" w:firstLine="456"/>
        <w:spacing w:after="0" w:line="277" w:lineRule="auto"/>
        <w:rPr>
          <w:sz w:val="20"/>
          <w:szCs w:val="20"/>
          <w:color w:val="auto"/>
        </w:rPr>
      </w:pPr>
      <w:r>
        <w:rPr>
          <w:rFonts w:ascii="Arial" w:cs="Arial" w:eastAsia="Arial" w:hAnsi="Arial"/>
          <w:sz w:val="18"/>
          <w:szCs w:val="18"/>
          <w:color w:val="auto"/>
        </w:rPr>
        <w:t>Subject to accelerated vesting as set forth below or in the Plan, this Option will be exercisable, in whole or in part, in accordance with the following schedule:</w:t>
      </w:r>
    </w:p>
    <w:p>
      <w:pPr>
        <w:spacing w:after="0" w:line="170"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Twenty-five percent (25%) of the Shares subject to the Option will vest on the one (1) year anniversary of the Vesting Commencement Date, and one forty-eighth (1/48</w:t>
      </w:r>
      <w:r>
        <w:rPr>
          <w:rFonts w:ascii="Arial" w:cs="Arial" w:eastAsia="Arial" w:hAnsi="Arial"/>
          <w:sz w:val="13"/>
          <w:szCs w:val="13"/>
          <w:color w:val="auto"/>
        </w:rPr>
        <w:t>th</w:t>
      </w:r>
      <w:r>
        <w:rPr>
          <w:rFonts w:ascii="Arial" w:cs="Arial" w:eastAsia="Arial" w:hAnsi="Arial"/>
          <w:sz w:val="16"/>
          <w:szCs w:val="16"/>
          <w:color w:val="auto"/>
        </w:rPr>
        <w:t>) of the Shares subject to the Option will vest each month thereafter on the same day of the month as the Vesting Commencement Date (and if there is no corresponding day, on the last day of the month), subject to Participant continuing to be a Service Provider through each such date.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74" w:right="239" w:bottom="1440" w:gutter="0" w:footer="0" w:header="0"/>
          <w:type w:val="continuous"/>
        </w:sectPr>
      </w:pPr>
    </w:p>
    <w:bookmarkStart w:id="28" w:name="page29"/>
    <w:bookmarkEnd w:id="28"/>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Period</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may be subject to earlier termination as provided in Section 13(c) of the Plan.</w:t>
      </w:r>
    </w:p>
    <w:p>
      <w:pPr>
        <w:spacing w:after="0" w:line="18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By Participant’s signature and the signature of the Company’s representative below, Participant and the Company agree that this Option is granted under and governed by the terms and conditions of the Plan and this Agreement. Participant has reviewed the Plan and this Agreement in their entirety, has had an opportunity to obtain the advice of counsel prior to executing this Agreement and fully understands all provisions of the Plan and Agreement. Participant hereby agrees to accept as binding, conclusive and final all decisions or interpretations of the Administrator upon any questions relating to the Plan and Agreement. Participant further agrees to notify the Company upon any change in the residence address indicated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PARTICIPANT</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FLUIDIGM CORPORATION</w:t>
            </w:r>
          </w:p>
        </w:tc>
        <w:tc>
          <w:tcPr>
            <w:tcW w:w="0" w:type="dxa"/>
            <w:vAlign w:val="bottom"/>
          </w:tcPr>
          <w:p>
            <w:pPr>
              <w:spacing w:after="0"/>
              <w:rPr>
                <w:sz w:val="1"/>
                <w:szCs w:val="1"/>
                <w:color w:val="auto"/>
              </w:rPr>
            </w:pPr>
          </w:p>
        </w:tc>
      </w:tr>
      <w:tr>
        <w:trPr>
          <w:trHeight w:val="432"/>
        </w:trPr>
        <w:tc>
          <w:tcPr>
            <w:tcW w:w="6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«First_Name» «Last_Name»</w:t>
            </w: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5"/>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Address:</w:t>
            </w:r>
          </w:p>
        </w:tc>
        <w:tc>
          <w:tcPr>
            <w:tcW w:w="680" w:type="dxa"/>
            <w:vAlign w:val="bottom"/>
          </w:tcPr>
          <w:p>
            <w:pPr>
              <w:spacing w:after="0"/>
              <w:rPr>
                <w:sz w:val="18"/>
                <w:szCs w:val="18"/>
                <w:color w:val="auto"/>
              </w:rPr>
            </w:pPr>
          </w:p>
        </w:tc>
        <w:tc>
          <w:tcPr>
            <w:tcW w:w="5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38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5360" w:type="dxa"/>
            <w:vAlign w:val="bottom"/>
          </w:tcPr>
          <w:p>
            <w:pPr>
              <w:spacing w:after="0" w:line="182" w:lineRule="exact"/>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53"/>
        </w:trPr>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1"/>
              </w:rPr>
              <w:t>«Street»</w:t>
            </w:r>
          </w:p>
        </w:tc>
        <w:tc>
          <w:tcPr>
            <w:tcW w:w="47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«City», «State» «Zip»</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6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- 2 -</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STOCK OPTION GRANT</w:t>
      </w:r>
    </w:p>
    <w:p>
      <w:pPr>
        <w:spacing w:after="0" w:line="229" w:lineRule="exact"/>
        <w:rPr>
          <w:sz w:val="20"/>
          <w:szCs w:val="20"/>
          <w:color w:val="auto"/>
        </w:rPr>
      </w:pPr>
    </w:p>
    <w:p>
      <w:pPr>
        <w:ind w:left="-20" w:right="20" w:firstLine="464"/>
        <w:spacing w:after="0" w:line="302" w:lineRule="auto"/>
        <w:tabs>
          <w:tab w:leader="none" w:pos="751"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The Company hereby grants to the Participant named in the Notice of Grant (“Participant”) an option (the “Option”) to purchase the number of Shares, as set forth in the Notice of Grant, at the exercise price per Share set forth in the Notice of Grant (the “Exercise Price”), subject to all of the terms and conditions in this Agreement and the Plan, which is incorporated herein by reference. Subject to Section 18(c) of the Plan, in the event of a conflict between the terms and conditions of the Plan and the terms and conditions of this Agreement, the terms and conditions of the Plan will prevail.</w:t>
      </w:r>
    </w:p>
    <w:p>
      <w:pPr>
        <w:spacing w:after="0" w:line="154" w:lineRule="exact"/>
        <w:rPr>
          <w:rFonts w:ascii="Arial" w:cs="Arial" w:eastAsia="Arial" w:hAnsi="Arial"/>
          <w:sz w:val="16"/>
          <w:szCs w:val="16"/>
          <w:color w:val="auto"/>
        </w:rPr>
      </w:pPr>
    </w:p>
    <w:p>
      <w:pPr>
        <w:ind w:left="-20" w:right="100" w:firstLine="464"/>
        <w:spacing w:after="0" w:line="259" w:lineRule="auto"/>
        <w:tabs>
          <w:tab w:leader="none" w:pos="75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3, the Option awarded by this Agreement will vest in accordance with the vesting provisions set forth in the Notice of Grant. Shares scheduled to vest on a certain date or upon the occurrence of a certain condition will not vest in Participant in accordance with any of the provisions of this Agreement, unless Participant will have been continuously a Service Provider from the Date of Grant until the date such vesting occurs.</w:t>
      </w:r>
    </w:p>
    <w:p>
      <w:pPr>
        <w:spacing w:after="0" w:line="186" w:lineRule="exact"/>
        <w:rPr>
          <w:rFonts w:ascii="Arial" w:cs="Arial" w:eastAsia="Arial" w:hAnsi="Arial"/>
          <w:sz w:val="18"/>
          <w:szCs w:val="18"/>
          <w:color w:val="auto"/>
        </w:rPr>
      </w:pPr>
    </w:p>
    <w:p>
      <w:pPr>
        <w:ind w:left="-20" w:right="40" w:firstLine="464"/>
        <w:spacing w:after="0" w:line="264" w:lineRule="auto"/>
        <w:tabs>
          <w:tab w:leader="none" w:pos="75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81" w:lineRule="exact"/>
        <w:rPr>
          <w:rFonts w:ascii="Arial" w:cs="Arial" w:eastAsia="Arial" w:hAnsi="Arial"/>
          <w:sz w:val="18"/>
          <w:szCs w:val="18"/>
          <w:color w:val="auto"/>
        </w:rPr>
      </w:pPr>
    </w:p>
    <w:p>
      <w:pPr>
        <w:ind w:left="760" w:hanging="316"/>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60" w:firstLine="921"/>
        <w:spacing w:after="0" w:line="277" w:lineRule="auto"/>
        <w:tabs>
          <w:tab w:leader="none" w:pos="1273"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may be exercised only within the term set out in the Notice of Grant, and may be exercised during such term only in accordance with the Plan and the terms of this Agreement.</w:t>
      </w:r>
    </w:p>
    <w:p>
      <w:pPr>
        <w:spacing w:after="0" w:line="170" w:lineRule="exact"/>
        <w:rPr>
          <w:rFonts w:ascii="Arial" w:cs="Arial" w:eastAsia="Arial" w:hAnsi="Arial"/>
          <w:sz w:val="18"/>
          <w:szCs w:val="18"/>
          <w:color w:val="auto"/>
        </w:rPr>
      </w:pPr>
    </w:p>
    <w:p>
      <w:pPr>
        <w:ind w:left="-20" w:firstLine="921"/>
        <w:spacing w:after="0" w:line="293" w:lineRule="auto"/>
        <w:tabs>
          <w:tab w:leader="none" w:pos="1283"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This Option is exercisable by delivery of an exercise notice, in the form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“Exercise Notice”)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with any applicable tax withholding. This Option will be deemed to be exercised upon receipt by the Company of such fully executed Exercise Notice accompanied by the aggregate Exercise Price.</w:t>
      </w:r>
    </w:p>
    <w:p>
      <w:pPr>
        <w:spacing w:after="0" w:line="164" w:lineRule="exact"/>
        <w:rPr>
          <w:rFonts w:ascii="Arial" w:cs="Arial" w:eastAsia="Arial" w:hAnsi="Arial"/>
          <w:sz w:val="16"/>
          <w:szCs w:val="16"/>
          <w:color w:val="auto"/>
        </w:rPr>
      </w:pPr>
    </w:p>
    <w:p>
      <w:pPr>
        <w:ind w:left="-20" w:right="780" w:firstLine="464"/>
        <w:spacing w:after="0" w:line="277" w:lineRule="auto"/>
        <w:tabs>
          <w:tab w:leader="none" w:pos="75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Payment of the aggregate Exercise Price will be by any of the following, or a combination thereof, at the election of Participant:</w:t>
      </w:r>
    </w:p>
    <w:p>
      <w:pPr>
        <w:spacing w:after="0" w:line="170" w:lineRule="exact"/>
        <w:rPr>
          <w:rFonts w:ascii="Arial" w:cs="Arial" w:eastAsia="Arial" w:hAnsi="Arial"/>
          <w:sz w:val="18"/>
          <w:szCs w:val="18"/>
          <w:color w:val="auto"/>
        </w:rPr>
      </w:pPr>
    </w:p>
    <w:p>
      <w:pPr>
        <w:ind w:left="1280" w:hanging="379"/>
        <w:spacing w:after="0"/>
        <w:tabs>
          <w:tab w:leader="none" w:pos="12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300" w:hanging="399"/>
        <w:spacing w:after="0"/>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rFonts w:ascii="Arial" w:cs="Arial" w:eastAsia="Arial" w:hAnsi="Arial"/>
          <w:sz w:val="18"/>
          <w:szCs w:val="18"/>
          <w:color w:val="auto"/>
        </w:rPr>
      </w:pPr>
    </w:p>
    <w:p>
      <w:pPr>
        <w:ind w:left="1280" w:hanging="379"/>
        <w:spacing w:after="0"/>
        <w:tabs>
          <w:tab w:leader="none" w:pos="12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consideration received by the Company under a formal cashless exercise program adopted by the Company in connection with the Plan; or</w:t>
      </w:r>
    </w:p>
    <w:p>
      <w:pPr>
        <w:spacing w:after="0" w:line="248" w:lineRule="exact"/>
        <w:rPr>
          <w:rFonts w:ascii="Arial" w:cs="Arial" w:eastAsia="Arial" w:hAnsi="Arial"/>
          <w:sz w:val="16"/>
          <w:szCs w:val="16"/>
          <w:color w:val="auto"/>
        </w:rPr>
      </w:pPr>
    </w:p>
    <w:p>
      <w:pPr>
        <w:ind w:left="-20" w:right="260" w:firstLine="921"/>
        <w:spacing w:after="0" w:line="264" w:lineRule="auto"/>
        <w:tabs>
          <w:tab w:leader="none" w:pos="1283" w:val="left"/>
        </w:tabs>
        <w:numPr>
          <w:ilvl w:val="1"/>
          <w:numId w:val="43"/>
        </w:numPr>
        <w:rPr>
          <w:rFonts w:ascii="Arial" w:cs="Arial" w:eastAsia="Arial" w:hAnsi="Arial"/>
          <w:sz w:val="18"/>
          <w:szCs w:val="18"/>
          <w:color w:val="auto"/>
        </w:rPr>
      </w:pPr>
      <w:r>
        <w:rPr>
          <w:rFonts w:ascii="Arial" w:cs="Arial" w:eastAsia="Arial" w:hAnsi="Arial"/>
          <w:sz w:val="18"/>
          <w:szCs w:val="18"/>
          <w:color w:val="auto"/>
        </w:rPr>
        <w:t>surrender of other Shares which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spacing w:after="0" w:line="113" w:lineRule="exact"/>
        <w:rPr>
          <w:rFonts w:ascii="Arial" w:cs="Arial" w:eastAsia="Arial" w:hAnsi="Arial"/>
          <w:sz w:val="18"/>
          <w:szCs w:val="18"/>
          <w:color w:val="auto"/>
        </w:rPr>
      </w:pPr>
    </w:p>
    <w:p>
      <w:pPr>
        <w:ind w:left="5640" w:hanging="96"/>
        <w:spacing w:after="0"/>
        <w:tabs>
          <w:tab w:leader="none" w:pos="56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60" w:top="270" w:right="239" w:bottom="1440" w:gutter="0" w:footer="0" w:header="0"/>
        </w:sectPr>
      </w:pPr>
    </w:p>
    <w:bookmarkStart w:id="30" w:name="page31"/>
    <w:bookmarkEnd w:id="30"/>
    <w:p>
      <w:pPr>
        <w:ind w:left="772" w:hanging="316"/>
        <w:spacing w:after="0"/>
        <w:tabs>
          <w:tab w:leader="none" w:pos="772"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firstLine="921"/>
        <w:spacing w:after="0" w:line="272" w:lineRule="auto"/>
        <w:tabs>
          <w:tab w:leader="none" w:pos="1285" w:val="left"/>
        </w:tabs>
        <w:numPr>
          <w:ilvl w:val="2"/>
          <w:numId w:val="44"/>
        </w:numPr>
        <w:rPr>
          <w:rFonts w:ascii="Arial" w:cs="Arial" w:eastAsia="Arial" w:hAnsi="Arial"/>
          <w:sz w:val="17"/>
          <w:szCs w:val="17"/>
          <w:color w:val="auto"/>
        </w:rPr>
      </w:pPr>
      <w:r>
        <w:rPr>
          <w:rFonts w:ascii="Arial" w:cs="Arial" w:eastAsia="Arial" w:hAnsi="Arial"/>
          <w:sz w:val="17"/>
          <w:szCs w:val="17"/>
          <w:u w:val="single" w:color="auto"/>
          <w:color w:val="auto"/>
        </w:rPr>
        <w:t>Withholding of Taxes</w:t>
      </w:r>
      <w:r>
        <w:rPr>
          <w:rFonts w:ascii="Arial" w:cs="Arial" w:eastAsia="Arial" w:hAnsi="Arial"/>
          <w:sz w:val="17"/>
          <w:szCs w:val="17"/>
          <w:color w:val="auto"/>
        </w:rPr>
        <w:t>. Notwithstanding any contrary provision of this Agreement, no certificate representing the Shares will be issued to Participant, unless and until satisfactory arrangements (as determined by the Administrator) will have been made by Participant with respect to the payment of income, employment and other taxes which the Company determines must be withheld with respect to such Shares. To the extent determined appropriate by the Company in its discretion, it will have the right (but not the obligation) to satisfy any tax withholding obligations by reducing the number of Shares otherwise deliverable to Participant. If Participant fails to make satisfactory arrangements for the payment of any required tax withholding obligations hereunder at the time of the Option exercise, Participant acknowledges and agrees that the Company may refuse to honor the exercise and refuse to deliver the Shares if such withholding amounts are not delivered at the time of exercise.</w:t>
      </w:r>
    </w:p>
    <w:p>
      <w:pPr>
        <w:spacing w:after="0" w:line="177" w:lineRule="exact"/>
        <w:rPr>
          <w:rFonts w:ascii="Arial" w:cs="Arial" w:eastAsia="Arial" w:hAnsi="Arial"/>
          <w:sz w:val="17"/>
          <w:szCs w:val="17"/>
          <w:color w:val="auto"/>
        </w:rPr>
      </w:pPr>
    </w:p>
    <w:p>
      <w:pPr>
        <w:ind w:left="-8" w:right="40" w:firstLine="921"/>
        <w:spacing w:after="0" w:line="286" w:lineRule="auto"/>
        <w:tabs>
          <w:tab w:leader="none" w:pos="1295" w:val="left"/>
        </w:tabs>
        <w:numPr>
          <w:ilvl w:val="2"/>
          <w:numId w:val="44"/>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 Discount Option may result in (i) income recognition by Participant prior to the exercise of the option, (ii) an additional twenty percent (20%) federal income tax, and</w:t>
      </w:r>
    </w:p>
    <w:p>
      <w:pPr>
        <w:spacing w:after="0" w:line="1" w:lineRule="exact"/>
        <w:rPr>
          <w:rFonts w:ascii="Arial" w:cs="Arial" w:eastAsia="Arial" w:hAnsi="Arial"/>
          <w:sz w:val="16"/>
          <w:szCs w:val="16"/>
          <w:color w:val="auto"/>
        </w:rPr>
      </w:pPr>
    </w:p>
    <w:p>
      <w:pPr>
        <w:ind w:left="-8" w:right="20" w:firstLine="8"/>
        <w:spacing w:after="0" w:line="253" w:lineRule="auto"/>
        <w:tabs>
          <w:tab w:leader="none" w:pos="3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penalty and interest charges. The Discount Option may also result in additional state income, penalty and interest charges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191" w:lineRule="exact"/>
        <w:rPr>
          <w:rFonts w:ascii="Arial" w:cs="Arial" w:eastAsia="Arial" w:hAnsi="Arial"/>
          <w:sz w:val="18"/>
          <w:szCs w:val="18"/>
          <w:color w:val="auto"/>
        </w:rPr>
      </w:pPr>
    </w:p>
    <w:p>
      <w:pPr>
        <w:ind w:left="-8" w:right="420" w:firstLine="464"/>
        <w:spacing w:after="0" w:line="257" w:lineRule="auto"/>
        <w:tabs>
          <w:tab w:leader="none" w:pos="763"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88" w:lineRule="exact"/>
        <w:rPr>
          <w:rFonts w:ascii="Arial" w:cs="Arial" w:eastAsia="Arial" w:hAnsi="Arial"/>
          <w:sz w:val="18"/>
          <w:szCs w:val="18"/>
          <w:color w:val="auto"/>
        </w:rPr>
      </w:pPr>
    </w:p>
    <w:p>
      <w:pPr>
        <w:ind w:left="-8" w:right="100" w:firstLine="464"/>
        <w:spacing w:after="0" w:line="270" w:lineRule="auto"/>
        <w:tabs>
          <w:tab w:leader="none" w:pos="763"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14" w:lineRule="exact"/>
        <w:rPr>
          <w:rFonts w:ascii="Arial" w:cs="Arial" w:eastAsia="Arial" w:hAnsi="Arial"/>
          <w:sz w:val="17"/>
          <w:szCs w:val="17"/>
          <w:color w:val="auto"/>
        </w:rPr>
      </w:pPr>
    </w:p>
    <w:p>
      <w:pPr>
        <w:ind w:left="5652" w:hanging="96"/>
        <w:spacing w:after="0"/>
        <w:tabs>
          <w:tab w:leader="none" w:pos="5652" w:val="left"/>
        </w:tabs>
        <w:numPr>
          <w:ilvl w:val="3"/>
          <w:numId w:val="4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12"/>
          </w:cols>
          <w:pgMar w:left="248" w:top="274" w:right="239" w:bottom="1440" w:gutter="0" w:footer="0" w:header="0"/>
        </w:sectPr>
      </w:pPr>
    </w:p>
    <w:bookmarkStart w:id="31" w:name="page32"/>
    <w:bookmarkEnd w:id="31"/>
    <w:p>
      <w:pPr>
        <w:ind w:right="160" w:firstLine="464"/>
        <w:spacing w:after="0" w:line="342" w:lineRule="auto"/>
        <w:tabs>
          <w:tab w:leader="none" w:pos="77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Address for Notices</w:t>
      </w:r>
      <w:r>
        <w:rPr>
          <w:rFonts w:ascii="Arial" w:cs="Arial" w:eastAsia="Arial" w:hAnsi="Arial"/>
          <w:sz w:val="16"/>
          <w:szCs w:val="16"/>
          <w:color w:val="auto"/>
        </w:rPr>
        <w:t>. Any notice to be given to the Company under the terms of this Agreement will be addressed to the Company at Fluidigm Corporation, 7000 Shoreline Court, Suite 100, South San Francisco, CA 94080, or at such other address as the Company may hereafter designate in writing.</w:t>
      </w:r>
    </w:p>
    <w:p>
      <w:pPr>
        <w:spacing w:after="0" w:line="123" w:lineRule="exact"/>
        <w:rPr>
          <w:rFonts w:ascii="Arial" w:cs="Arial" w:eastAsia="Arial" w:hAnsi="Arial"/>
          <w:sz w:val="16"/>
          <w:szCs w:val="16"/>
          <w:color w:val="auto"/>
        </w:rPr>
      </w:pPr>
    </w:p>
    <w:p>
      <w:pPr>
        <w:ind w:right="120" w:firstLine="464"/>
        <w:spacing w:after="0" w:line="277" w:lineRule="auto"/>
        <w:tabs>
          <w:tab w:leader="none" w:pos="86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This Option may not be transferred in any manner otherwise than by will or by the laws of descent or distribution and may be exercised during the lifetime of Participant only by Participant.</w:t>
      </w:r>
    </w:p>
    <w:p>
      <w:pPr>
        <w:spacing w:after="0" w:line="170" w:lineRule="exact"/>
        <w:rPr>
          <w:rFonts w:ascii="Arial" w:cs="Arial" w:eastAsia="Arial" w:hAnsi="Arial"/>
          <w:sz w:val="18"/>
          <w:szCs w:val="18"/>
          <w:color w:val="auto"/>
        </w:rPr>
      </w:pPr>
    </w:p>
    <w:p>
      <w:pPr>
        <w:ind w:right="160" w:firstLine="464"/>
        <w:spacing w:after="0" w:line="277" w:lineRule="auto"/>
        <w:tabs>
          <w:tab w:leader="none" w:pos="85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170" w:lineRule="exact"/>
        <w:rPr>
          <w:rFonts w:ascii="Arial" w:cs="Arial" w:eastAsia="Arial" w:hAnsi="Arial"/>
          <w:sz w:val="18"/>
          <w:szCs w:val="18"/>
          <w:color w:val="auto"/>
        </w:rPr>
      </w:pPr>
    </w:p>
    <w:p>
      <w:pPr>
        <w:ind w:left="860" w:hanging="396"/>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Issuance of Stock</w:t>
      </w:r>
      <w:r>
        <w:rPr>
          <w:rFonts w:ascii="Arial" w:cs="Arial" w:eastAsia="Arial" w:hAnsi="Arial"/>
          <w:sz w:val="18"/>
          <w:szCs w:val="18"/>
          <w:color w:val="auto"/>
        </w:rPr>
        <w:t>. If at any time the Company will determine, in its discretion, that the listing, registration or</w:t>
      </w:r>
    </w:p>
    <w:p>
      <w:pPr>
        <w:spacing w:after="0" w:line="23" w:lineRule="exact"/>
        <w:rPr>
          <w:rFonts w:ascii="Arial" w:cs="Arial" w:eastAsia="Arial" w:hAnsi="Arial"/>
          <w:sz w:val="18"/>
          <w:szCs w:val="18"/>
          <w:color w:val="auto"/>
        </w:rPr>
      </w:pPr>
    </w:p>
    <w:p>
      <w:pPr>
        <w:ind w:right="20"/>
        <w:spacing w:after="0" w:line="270" w:lineRule="auto"/>
        <w:rPr>
          <w:rFonts w:ascii="Arial" w:cs="Arial" w:eastAsia="Arial" w:hAnsi="Arial"/>
          <w:sz w:val="18"/>
          <w:szCs w:val="18"/>
          <w:color w:val="auto"/>
        </w:rPr>
      </w:pPr>
      <w:r>
        <w:rPr>
          <w:rFonts w:ascii="Arial" w:cs="Arial" w:eastAsia="Arial" w:hAnsi="Arial"/>
          <w:sz w:val="17"/>
          <w:szCs w:val="17"/>
          <w:color w:val="auto"/>
        </w:rPr>
        <w:t>qualification of the Shares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The Company will make all reasonable efforts to meet the requirements of any such state or federal law or securities exchange and to obtain any such consent or approval of any such governmental authority. Assuming such compliance, for income tax purposes the Exercised Shares will be considered transferred to Participant on the date the Option is exercised with respect to such Exercised Shares.</w:t>
      </w:r>
    </w:p>
    <w:p>
      <w:pPr>
        <w:spacing w:after="0" w:line="178" w:lineRule="exact"/>
        <w:rPr>
          <w:rFonts w:ascii="Arial" w:cs="Arial" w:eastAsia="Arial" w:hAnsi="Arial"/>
          <w:sz w:val="18"/>
          <w:szCs w:val="18"/>
          <w:color w:val="auto"/>
        </w:rPr>
      </w:pPr>
    </w:p>
    <w:p>
      <w:pPr>
        <w:ind w:right="40" w:firstLine="464"/>
        <w:spacing w:after="0" w:line="264" w:lineRule="auto"/>
        <w:tabs>
          <w:tab w:leader="none" w:pos="86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Agreement is subject to all terms and provisions of the Plan. In the event of a conflict between one or more provisions of this Agreement and one or more provisions of the Plan, the provisions of the Plan will govern. Capitalized terms used and not defined in this Agreement will have the meaning set forth in the Plan.</w:t>
      </w:r>
    </w:p>
    <w:p>
      <w:pPr>
        <w:spacing w:after="0" w:line="181" w:lineRule="exact"/>
        <w:rPr>
          <w:rFonts w:ascii="Arial" w:cs="Arial" w:eastAsia="Arial" w:hAnsi="Arial"/>
          <w:sz w:val="18"/>
          <w:szCs w:val="18"/>
          <w:color w:val="auto"/>
        </w:rPr>
      </w:pPr>
    </w:p>
    <w:p>
      <w:pPr>
        <w:ind w:firstLine="464"/>
        <w:spacing w:after="0" w:line="276" w:lineRule="auto"/>
        <w:tabs>
          <w:tab w:leader="none" w:pos="861"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Administrator Authority</w:t>
      </w:r>
      <w:r>
        <w:rPr>
          <w:rFonts w:ascii="Arial" w:cs="Arial" w:eastAsia="Arial" w:hAnsi="Arial"/>
          <w:sz w:val="17"/>
          <w:szCs w:val="17"/>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172" w:lineRule="exact"/>
        <w:rPr>
          <w:rFonts w:ascii="Arial" w:cs="Arial" w:eastAsia="Arial" w:hAnsi="Arial"/>
          <w:sz w:val="17"/>
          <w:szCs w:val="17"/>
          <w:color w:val="auto"/>
        </w:rPr>
      </w:pPr>
    </w:p>
    <w:p>
      <w:pPr>
        <w:ind w:right="300" w:firstLine="464"/>
        <w:spacing w:after="0" w:line="279" w:lineRule="auto"/>
        <w:tabs>
          <w:tab w:leader="none" w:pos="861"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03" w:lineRule="exact"/>
        <w:rPr>
          <w:rFonts w:ascii="Arial" w:cs="Arial" w:eastAsia="Arial" w:hAnsi="Arial"/>
          <w:sz w:val="17"/>
          <w:szCs w:val="17"/>
          <w:color w:val="auto"/>
        </w:rPr>
      </w:pPr>
    </w:p>
    <w:p>
      <w:pPr>
        <w:ind w:left="5660" w:hanging="96"/>
        <w:spacing w:after="0"/>
        <w:tabs>
          <w:tab w:leader="none" w:pos="5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74" w:right="239" w:bottom="1440" w:gutter="0" w:footer="0" w:header="0"/>
        </w:sectPr>
      </w:pPr>
    </w:p>
    <w:bookmarkStart w:id="32" w:name="page33"/>
    <w:bookmarkEnd w:id="32"/>
    <w:p>
      <w:pPr>
        <w:ind w:left="396" w:hanging="396"/>
        <w:spacing w:after="0"/>
        <w:tabs>
          <w:tab w:leader="none" w:pos="39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Captions</w:t>
      </w:r>
      <w:r>
        <w:rPr>
          <w:rFonts w:ascii="Arial" w:cs="Arial" w:eastAsia="Arial" w:hAnsi="Arial"/>
          <w:sz w:val="16"/>
          <w:szCs w:val="16"/>
          <w:color w:val="auto"/>
        </w:rPr>
        <w:t>. Captions provided herein are for convenience only and are not to serve as a basis for interpretation or construction of this Agreement.</w:t>
      </w:r>
    </w:p>
    <w:p>
      <w:pPr>
        <w:spacing w:after="0" w:line="248" w:lineRule="exact"/>
        <w:rPr>
          <w:rFonts w:ascii="Arial" w:cs="Arial" w:eastAsia="Arial" w:hAnsi="Arial"/>
          <w:sz w:val="16"/>
          <w:szCs w:val="16"/>
          <w:color w:val="auto"/>
        </w:rPr>
      </w:pPr>
    </w:p>
    <w:p>
      <w:pPr>
        <w:ind w:left="-464" w:right="180" w:firstLine="464"/>
        <w:spacing w:after="0" w:line="308" w:lineRule="auto"/>
        <w:tabs>
          <w:tab w:leader="none" w:pos="397"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46" w:lineRule="exact"/>
        <w:rPr>
          <w:rFonts w:ascii="Arial" w:cs="Arial" w:eastAsia="Arial" w:hAnsi="Arial"/>
          <w:sz w:val="17"/>
          <w:szCs w:val="17"/>
          <w:color w:val="auto"/>
        </w:rPr>
      </w:pPr>
    </w:p>
    <w:p>
      <w:pPr>
        <w:ind w:left="-464" w:firstLine="464"/>
        <w:spacing w:after="0" w:line="273" w:lineRule="auto"/>
        <w:tabs>
          <w:tab w:leader="none" w:pos="397"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Modifications to the Agreement</w:t>
      </w:r>
      <w:r>
        <w:rPr>
          <w:rFonts w:ascii="Arial" w:cs="Arial" w:eastAsia="Arial" w:hAnsi="Arial"/>
          <w:sz w:val="17"/>
          <w:szCs w:val="17"/>
          <w:color w:val="auto"/>
        </w:rPr>
        <w:t>. This Agreement constitutes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Section 409A of the Code in connection to this Option.</w:t>
      </w:r>
    </w:p>
    <w:p>
      <w:pPr>
        <w:spacing w:after="0" w:line="178" w:lineRule="exact"/>
        <w:rPr>
          <w:rFonts w:ascii="Arial" w:cs="Arial" w:eastAsia="Arial" w:hAnsi="Arial"/>
          <w:sz w:val="17"/>
          <w:szCs w:val="17"/>
          <w:color w:val="auto"/>
        </w:rPr>
      </w:pPr>
    </w:p>
    <w:p>
      <w:pPr>
        <w:ind w:left="-464" w:right="260" w:firstLine="464"/>
        <w:spacing w:after="0" w:line="264" w:lineRule="auto"/>
        <w:tabs>
          <w:tab w:leader="none" w:pos="39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81" w:lineRule="exact"/>
        <w:rPr>
          <w:rFonts w:ascii="Arial" w:cs="Arial" w:eastAsia="Arial" w:hAnsi="Arial"/>
          <w:sz w:val="18"/>
          <w:szCs w:val="18"/>
          <w:color w:val="auto"/>
        </w:rPr>
      </w:pPr>
    </w:p>
    <w:p>
      <w:pPr>
        <w:ind w:left="-464" w:right="80" w:firstLine="464"/>
        <w:spacing w:after="0" w:line="279" w:lineRule="auto"/>
        <w:tabs>
          <w:tab w:leader="none" w:pos="397"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the laws of the State of California, without giving effect to the conflict of law principles thereof. For purposes of litigating any dispute that arises under this Option or this Agreement, the parties hereby submit to and consent to the jurisdiction of the State of California, and agree that such litigation will be conducted in the courts of San Francisco County, California, or the federal courts for the United States for the Northern District of California, and no other courts, where this Option is made and/or to be performed.</w:t>
      </w:r>
    </w:p>
    <w:p>
      <w:pPr>
        <w:spacing w:after="0" w:line="103" w:lineRule="exact"/>
        <w:rPr>
          <w:rFonts w:ascii="Arial" w:cs="Arial" w:eastAsia="Arial" w:hAnsi="Arial"/>
          <w:sz w:val="17"/>
          <w:szCs w:val="17"/>
          <w:color w:val="auto"/>
        </w:rPr>
      </w:pPr>
    </w:p>
    <w:p>
      <w:pPr>
        <w:ind w:left="5196" w:hanging="96"/>
        <w:spacing w:after="0"/>
        <w:tabs>
          <w:tab w:leader="none" w:pos="5196" w:val="left"/>
        </w:tabs>
        <w:numPr>
          <w:ilvl w:val="1"/>
          <w:numId w:val="4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876"/>
          </w:cols>
          <w:pgMar w:left="704" w:top="274" w:right="3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 No. «Grant_No»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INDUCEMENT AWARD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Stock Plan Administrator</w:t>
      </w:r>
    </w:p>
    <w:p>
      <w:pPr>
        <w:spacing w:after="0" w:line="225"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Exercise of Option</w:t>
      </w:r>
      <w:r>
        <w:rPr>
          <w:rFonts w:ascii="Arial" w:cs="Arial" w:eastAsia="Arial" w:hAnsi="Arial"/>
          <w:sz w:val="18"/>
          <w:szCs w:val="18"/>
          <w:color w:val="auto"/>
        </w:rPr>
        <w:t>. Effective as of today, , , the undersigned (“Purchaser”) hereby elects to purchase shares (the “Shares”) of the Common Stock of Fluidigm Corporation (the “Company”) under and pursuant to the 2017 Inducement Award Plan (the “Plan”) and the</w:t>
      </w:r>
    </w:p>
    <w:p>
      <w:pPr>
        <w:spacing w:after="0" w:line="1" w:lineRule="exact"/>
        <w:rPr>
          <w:sz w:val="20"/>
          <w:szCs w:val="20"/>
          <w:color w:val="auto"/>
        </w:rPr>
      </w:pPr>
    </w:p>
    <w:p>
      <w:pPr>
        <w:spacing w:after="0"/>
        <w:tabs>
          <w:tab w:leader="none" w:pos="8220" w:val="left"/>
        </w:tabs>
        <w:rPr>
          <w:sz w:val="20"/>
          <w:szCs w:val="20"/>
          <w:color w:val="auto"/>
        </w:rPr>
      </w:pPr>
      <w:r>
        <w:rPr>
          <w:rFonts w:ascii="Arial" w:cs="Arial" w:eastAsia="Arial" w:hAnsi="Arial"/>
          <w:sz w:val="18"/>
          <w:szCs w:val="18"/>
          <w:color w:val="auto"/>
        </w:rPr>
        <w:t>Stock Option Agreement dated «Grant_Date» (the “Agreement”). The purchase price for the Shares will be $</w:t>
      </w:r>
      <w:r>
        <w:rPr>
          <w:sz w:val="20"/>
          <w:szCs w:val="20"/>
          <w:color w:val="auto"/>
        </w:rPr>
        <w:tab/>
      </w:r>
      <w:r>
        <w:rPr>
          <w:rFonts w:ascii="Arial" w:cs="Arial" w:eastAsia="Arial" w:hAnsi="Arial"/>
          <w:sz w:val="16"/>
          <w:szCs w:val="16"/>
          <w:color w:val="auto"/>
        </w:rPr>
        <w:t>, as required by the Agreement.</w:t>
      </w:r>
    </w:p>
    <w:p>
      <w:pPr>
        <w:spacing w:after="0" w:line="211" w:lineRule="exact"/>
        <w:rPr>
          <w:sz w:val="20"/>
          <w:szCs w:val="20"/>
          <w:color w:val="auto"/>
        </w:rPr>
      </w:pPr>
    </w:p>
    <w:p>
      <w:pPr>
        <w:ind w:right="40" w:firstLine="464"/>
        <w:spacing w:after="0" w:line="277" w:lineRule="auto"/>
        <w:tabs>
          <w:tab w:leader="none" w:pos="77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Purchaser herewith delivers to the Company the full purchase price of the Shares and any required tax withholding to be paid in connection with the exercise of the Option.</w:t>
      </w:r>
    </w:p>
    <w:p>
      <w:pPr>
        <w:spacing w:after="0" w:line="170" w:lineRule="exact"/>
        <w:rPr>
          <w:rFonts w:ascii="Arial" w:cs="Arial" w:eastAsia="Arial" w:hAnsi="Arial"/>
          <w:sz w:val="18"/>
          <w:szCs w:val="18"/>
          <w:color w:val="auto"/>
        </w:rPr>
      </w:pPr>
    </w:p>
    <w:p>
      <w:pPr>
        <w:ind w:right="80" w:firstLine="464"/>
        <w:spacing w:after="0" w:line="277" w:lineRule="auto"/>
        <w:tabs>
          <w:tab w:leader="none" w:pos="77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Representations of Purchaser</w:t>
      </w:r>
      <w:r>
        <w:rPr>
          <w:rFonts w:ascii="Arial" w:cs="Arial" w:eastAsia="Arial" w:hAnsi="Arial"/>
          <w:sz w:val="18"/>
          <w:szCs w:val="18"/>
          <w:color w:val="auto"/>
        </w:rPr>
        <w:t>. Purchaser acknowledges that Purchaser has received, read and understood the Plan and the Agreement and agrees to abide by and be bound by their terms and conditions.</w:t>
      </w:r>
    </w:p>
    <w:p>
      <w:pPr>
        <w:spacing w:after="0" w:line="170" w:lineRule="exact"/>
        <w:rPr>
          <w:rFonts w:ascii="Arial" w:cs="Arial" w:eastAsia="Arial" w:hAnsi="Arial"/>
          <w:sz w:val="18"/>
          <w:szCs w:val="18"/>
          <w:color w:val="auto"/>
        </w:rPr>
      </w:pPr>
    </w:p>
    <w:p>
      <w:pPr>
        <w:ind w:right="80" w:firstLine="464"/>
        <w:spacing w:after="0" w:line="257" w:lineRule="auto"/>
        <w:tabs>
          <w:tab w:leader="none" w:pos="77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spacing w:after="0" w:line="188" w:lineRule="exact"/>
        <w:rPr>
          <w:rFonts w:ascii="Arial" w:cs="Arial" w:eastAsia="Arial" w:hAnsi="Arial"/>
          <w:sz w:val="18"/>
          <w:szCs w:val="18"/>
          <w:color w:val="auto"/>
        </w:rPr>
      </w:pPr>
    </w:p>
    <w:p>
      <w:pPr>
        <w:ind w:right="180" w:firstLine="464"/>
        <w:spacing w:after="0" w:line="264" w:lineRule="auto"/>
        <w:tabs>
          <w:tab w:leader="none" w:pos="77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81" w:lineRule="exact"/>
        <w:rPr>
          <w:rFonts w:ascii="Arial" w:cs="Arial" w:eastAsia="Arial" w:hAnsi="Arial"/>
          <w:sz w:val="18"/>
          <w:szCs w:val="18"/>
          <w:color w:val="auto"/>
        </w:rPr>
      </w:pPr>
    </w:p>
    <w:p>
      <w:pPr>
        <w:ind w:right="120" w:firstLine="464"/>
        <w:spacing w:after="0" w:line="257" w:lineRule="auto"/>
        <w:tabs>
          <w:tab w:leader="none" w:pos="77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and Agreement are incorporated herein by reference. This Exercise Notice, the Plan and the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pacing w:after="0" w:line="120" w:lineRule="exact"/>
        <w:rPr>
          <w:rFonts w:ascii="Arial" w:cs="Arial" w:eastAsia="Arial" w:hAnsi="Arial"/>
          <w:sz w:val="18"/>
          <w:szCs w:val="18"/>
          <w:color w:val="auto"/>
        </w:rPr>
      </w:pPr>
    </w:p>
    <w:p>
      <w:pPr>
        <w:ind w:left="5660" w:hanging="96"/>
        <w:spacing w:after="0"/>
        <w:tabs>
          <w:tab w:leader="none" w:pos="5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27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Submitted by:</w:t>
            </w:r>
          </w:p>
        </w:tc>
        <w:tc>
          <w:tcPr>
            <w:tcW w:w="6160" w:type="dxa"/>
            <w:vAlign w:val="bottom"/>
            <w:gridSpan w:val="2"/>
          </w:tcPr>
          <w:p>
            <w:pPr>
              <w:ind w:left="480"/>
              <w:spacing w:after="0"/>
              <w:rPr>
                <w:sz w:val="20"/>
                <w:szCs w:val="20"/>
                <w:color w:val="auto"/>
              </w:rPr>
            </w:pPr>
            <w:r>
              <w:rPr>
                <w:rFonts w:ascii="Arial" w:cs="Arial" w:eastAsia="Arial" w:hAnsi="Arial"/>
                <w:sz w:val="18"/>
                <w:szCs w:val="18"/>
                <w:color w:val="auto"/>
              </w:rPr>
              <w:t>Accepted by:</w:t>
            </w: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PURCHASER</w:t>
            </w:r>
          </w:p>
        </w:tc>
        <w:tc>
          <w:tcPr>
            <w:tcW w:w="80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FLUIDIGM CORPORATION</w:t>
            </w:r>
          </w:p>
        </w:tc>
      </w:tr>
      <w:tr>
        <w:trPr>
          <w:trHeight w:val="432"/>
        </w:trPr>
        <w:tc>
          <w:tcPr>
            <w:tcW w:w="52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24"/>
        </w:trPr>
        <w:tc>
          <w:tcPr>
            <w:tcW w:w="5260" w:type="dxa"/>
            <w:vAlign w:val="bottom"/>
          </w:tcPr>
          <w:p>
            <w:pPr>
              <w:spacing w:after="0"/>
              <w:rPr>
                <w:sz w:val="20"/>
                <w:szCs w:val="20"/>
                <w:color w:val="auto"/>
              </w:rPr>
            </w:pPr>
            <w:r>
              <w:rPr>
                <w:rFonts w:ascii="Arial" w:cs="Arial" w:eastAsia="Arial" w:hAnsi="Arial"/>
                <w:sz w:val="18"/>
                <w:szCs w:val="18"/>
                <w:color w:val="auto"/>
              </w:rPr>
              <w:t>«First_Name» «Last_Name»</w:t>
            </w:r>
          </w:p>
        </w:tc>
        <w:tc>
          <w:tcPr>
            <w:tcW w:w="8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By</w:t>
            </w:r>
          </w:p>
        </w:tc>
      </w:tr>
      <w:tr>
        <w:trPr>
          <w:trHeight w:val="431"/>
        </w:trPr>
        <w:tc>
          <w:tcPr>
            <w:tcW w:w="52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24"/>
        </w:trPr>
        <w:tc>
          <w:tcPr>
            <w:tcW w:w="5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Its</w:t>
            </w:r>
          </w:p>
        </w:tc>
      </w:tr>
      <w:tr>
        <w:trPr>
          <w:trHeight w:val="431"/>
        </w:trPr>
        <w:tc>
          <w:tcPr>
            <w:tcW w:w="5260" w:type="dxa"/>
            <w:vAlign w:val="bottom"/>
          </w:tcPr>
          <w:p>
            <w:pPr>
              <w:spacing w:after="0"/>
              <w:rPr>
                <w:sz w:val="20"/>
                <w:szCs w:val="20"/>
                <w:color w:val="auto"/>
              </w:rPr>
            </w:pPr>
            <w:r>
              <w:rPr>
                <w:rFonts w:ascii="Arial" w:cs="Arial" w:eastAsia="Arial" w:hAnsi="Arial"/>
                <w:sz w:val="18"/>
                <w:szCs w:val="18"/>
                <w:color w:val="auto"/>
              </w:rPr>
              <w:t>Address:</w:t>
            </w:r>
          </w:p>
        </w:tc>
        <w:tc>
          <w:tcPr>
            <w:tcW w:w="8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32"/>
        </w:trPr>
        <w:tc>
          <w:tcPr>
            <w:tcW w:w="52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24"/>
        </w:trPr>
        <w:tc>
          <w:tcPr>
            <w:tcW w:w="5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Date Received</w:t>
            </w:r>
          </w:p>
        </w:tc>
      </w:tr>
      <w:tr>
        <w:trPr>
          <w:trHeight w:val="215"/>
        </w:trPr>
        <w:tc>
          <w:tcPr>
            <w:tcW w:w="526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439"/>
        </w:trPr>
        <w:tc>
          <w:tcPr>
            <w:tcW w:w="52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- 2 -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4353D0CD"/>
    <w:multiLevelType w:val="hybridMultilevel"/>
    <w:lvl w:ilvl="0">
      <w:lvlJc w:val="left"/>
      <w:lvlText w:val="%1"/>
      <w:numFmt w:val="upperLetter"/>
      <w:start w:val="1"/>
    </w:lvl>
    <w:lvl w:ilvl="1">
      <w:lvlJc w:val="left"/>
      <w:lvlText w:val="(%2)"/>
      <w:numFmt w:val="lowerRoman"/>
      <w:start w:val="3"/>
    </w:lvl>
  </w:abstractNum>
  <w:abstractNum w:abstractNumId="3">
    <w:nsid w:val="B03E0C6"/>
    <w:multiLevelType w:val="hybridMultilevel"/>
    <w:lvl w:ilvl="0">
      <w:lvlJc w:val="left"/>
      <w:lvlText w:val="(%1)"/>
      <w:numFmt w:val="upperLetter"/>
      <w:start w:val="2"/>
    </w:lvl>
    <w:lvl w:ilvl="1">
      <w:lvlJc w:val="left"/>
      <w:lvlText w:val="%2"/>
      <w:numFmt w:val="lowerRoman"/>
      <w:start w:val="1"/>
    </w:lvl>
  </w:abstractNum>
  <w:abstractNum w:abstractNumId="4">
    <w:nsid w:val="189A769B"/>
    <w:multiLevelType w:val="hybridMultilevel"/>
    <w:lvl w:ilvl="0">
      <w:lvlJc w:val="left"/>
      <w:lvlText w:val="(%1)"/>
      <w:numFmt w:val="lowerLetter"/>
      <w:start w:val="7"/>
    </w:lvl>
  </w:abstractNum>
  <w:abstractNum w:abstractNumId="5">
    <w:nsid w:val="54E49EB4"/>
    <w:multiLevelType w:val="hybridMultilevel"/>
    <w:lvl w:ilvl="0">
      <w:lvlJc w:val="left"/>
      <w:lvlText w:val="(%1)"/>
      <w:numFmt w:val="lowerLetter"/>
      <w:start w:val="10"/>
    </w:lvl>
    <w:lvl w:ilvl="1">
      <w:lvlJc w:val="left"/>
      <w:lvlText w:val="(%2)"/>
      <w:numFmt w:val="lowerRoman"/>
      <w:start w:val="1"/>
    </w:lvl>
  </w:abstractNum>
  <w:abstractNum w:abstractNumId="6">
    <w:nsid w:val="71F32454"/>
    <w:multiLevelType w:val="hybridMultilevel"/>
    <w:lvl w:ilvl="0">
      <w:lvlJc w:val="left"/>
      <w:lvlText w:val="(%1)"/>
      <w:numFmt w:val="lowerLetter"/>
      <w:start w:val="19"/>
    </w:lvl>
  </w:abstractNum>
  <w:abstractNum w:abstractNumId="7">
    <w:nsid w:val="2CA88611"/>
    <w:multiLevelType w:val="hybridMultilevel"/>
    <w:lvl w:ilvl="0">
      <w:lvlJc w:val="left"/>
      <w:lvlText w:val="(%1)"/>
      <w:numFmt w:val="lowerLetter"/>
      <w:start w:val="27"/>
    </w:lvl>
  </w:abstractNum>
  <w:abstractNum w:abstractNumId="8">
    <w:nsid w:val="836C40E"/>
    <w:multiLevelType w:val="hybridMultilevel"/>
    <w:lvl w:ilvl="0">
      <w:lvlJc w:val="left"/>
      <w:lvlText w:val="%1"/>
      <w:numFmt w:val="decimal"/>
      <w:start w:val="1"/>
    </w:lvl>
    <w:lvl w:ilvl="1">
      <w:lvlJc w:val="left"/>
      <w:lvlText w:val="(%2)"/>
      <w:numFmt w:val="lowerLetter"/>
      <w:start w:val="34"/>
    </w:lvl>
  </w:abstractNum>
  <w:abstractNum w:abstractNumId="9">
    <w:nsid w:val="2901D82"/>
    <w:multiLevelType w:val="hybridMultilevel"/>
    <w:lvl w:ilvl="0">
      <w:lvlJc w:val="left"/>
      <w:lvlText w:val="%1."/>
      <w:numFmt w:val="decimal"/>
      <w:start w:val="3"/>
    </w:lvl>
    <w:lvl w:ilvl="1">
      <w:lvlJc w:val="left"/>
      <w:lvlText w:val="(%2)"/>
      <w:numFmt w:val="lowerLetter"/>
      <w:start w:val="1"/>
    </w:lvl>
  </w:abstractNum>
  <w:abstractNum w:abstractNumId="10">
    <w:nsid w:val="3A95F874"/>
    <w:multiLevelType w:val="hybridMultilevel"/>
    <w:lvl w:ilvl="0">
      <w:lvlJc w:val="left"/>
      <w:lvlText w:val="%1"/>
      <w:numFmt w:val="lowerLetter"/>
      <w:start w:val="1"/>
    </w:lvl>
    <w:lvl w:ilvl="1">
      <w:lvlJc w:val="left"/>
      <w:lvlText w:val="(%2)"/>
      <w:numFmt w:val="lowerRoman"/>
      <w:start w:val="2"/>
    </w:lvl>
  </w:abstractNum>
  <w:abstractNum w:abstractNumId="11">
    <w:nsid w:val="8138641"/>
    <w:multiLevelType w:val="hybridMultilevel"/>
    <w:lvl w:ilvl="0">
      <w:lvlJc w:val="left"/>
      <w:lvlText w:val="(%1)"/>
      <w:numFmt w:val="lowerLetter"/>
      <w:start w:val="2"/>
    </w:lvl>
    <w:lvl w:ilvl="1">
      <w:lvlJc w:val="left"/>
      <w:lvlText w:val="(%2)"/>
      <w:numFmt w:val="lowerRoman"/>
      <w:start w:val="1"/>
    </w:lvl>
  </w:abstractNum>
  <w:abstractNum w:abstractNumId="12">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13">
    <w:nsid w:val="7C3DBD3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
    <w:nsid w:val="737B8DD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5">
    <w:nsid w:val="6CEAF08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6">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7">
    <w:nsid w:val="4516DDE9"/>
    <w:multiLevelType w:val="hybridMultilevel"/>
    <w:lvl w:ilvl="0">
      <w:lvlJc w:val="left"/>
      <w:lvlText w:val="(%1)"/>
      <w:numFmt w:val="decimal"/>
      <w:start w:val="4"/>
    </w:lvl>
    <w:lvl w:ilvl="1">
      <w:lvlJc w:val="left"/>
      <w:lvlText w:val="(%2)"/>
      <w:numFmt w:val="lowerLetter"/>
      <w:start w:val="3"/>
    </w:lvl>
    <w:lvl w:ilvl="2">
      <w:lvlJc w:val="left"/>
      <w:lvlText w:val="(%3)"/>
      <w:numFmt w:val="lowerRoman"/>
      <w:start w:val="1"/>
    </w:lvl>
  </w:abstractNum>
  <w:abstractNum w:abstractNumId="18">
    <w:nsid w:val="3006C83E"/>
    <w:multiLevelType w:val="hybridMultilevel"/>
    <w:lvl w:ilvl="0">
      <w:lvlJc w:val="left"/>
      <w:lvlText w:val="(%1)"/>
      <w:numFmt w:val="lowerRoman"/>
      <w:start w:val="2"/>
    </w:lvl>
  </w:abstractNum>
  <w:abstractNum w:abstractNumId="19">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0">
    <w:nsid w:val="419AC24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1">
    <w:nsid w:val="5577F8E1"/>
    <w:multiLevelType w:val="hybridMultilevel"/>
    <w:lvl w:ilvl="0">
      <w:lvlJc w:val="left"/>
      <w:lvlText w:val="%1"/>
      <w:numFmt w:val="decimal"/>
      <w:start w:val="1"/>
    </w:lvl>
    <w:lvl w:ilvl="1">
      <w:lvlJc w:val="left"/>
      <w:lvlText w:val="(%2)"/>
      <w:numFmt w:val="lowerLetter"/>
      <w:start w:val="3"/>
    </w:lvl>
  </w:abstractNum>
  <w:abstractNum w:abstractNumId="22">
    <w:nsid w:val="440BADFC"/>
    <w:multiLevelType w:val="hybridMultilevel"/>
    <w:lvl w:ilvl="0">
      <w:lvlJc w:val="left"/>
      <w:lvlText w:val="%1."/>
      <w:numFmt w:val="decimal"/>
      <w:start w:val="8"/>
    </w:lvl>
    <w:lvl w:ilvl="1">
      <w:lvlJc w:val="left"/>
      <w:lvlText w:val="(%2)"/>
      <w:numFmt w:val="lowerLetter"/>
      <w:start w:val="1"/>
    </w:lvl>
  </w:abstractNum>
  <w:abstractNum w:abstractNumId="23">
    <w:nsid w:val="5072367"/>
    <w:multiLevelType w:val="hybridMultilevel"/>
    <w:lvl w:ilvl="0">
      <w:lvlJc w:val="left"/>
      <w:lvlText w:val="%1"/>
      <w:numFmt w:val="decimal"/>
      <w:start w:val="1"/>
    </w:lvl>
    <w:lvl w:ilvl="1">
      <w:lvlJc w:val="left"/>
      <w:lvlText w:val="(%2)"/>
      <w:numFmt w:val="lowerLetter"/>
      <w:start w:val="3"/>
    </w:lvl>
  </w:abstractNum>
  <w:abstractNum w:abstractNumId="24">
    <w:nsid w:val="3804823E"/>
    <w:multiLevelType w:val="hybridMultilevel"/>
    <w:lvl w:ilvl="0">
      <w:lvlJc w:val="left"/>
      <w:lvlText w:val="%1."/>
      <w:numFmt w:val="decimal"/>
      <w:start w:val="9"/>
    </w:lvl>
    <w:lvl w:ilvl="1">
      <w:lvlJc w:val="left"/>
      <w:lvlText w:val="(%2)"/>
      <w:numFmt w:val="lowerLetter"/>
      <w:start w:val="1"/>
    </w:lvl>
  </w:abstractNum>
  <w:abstractNum w:abstractNumId="25">
    <w:nsid w:val="77465F01"/>
    <w:multiLevelType w:val="hybridMultilevel"/>
    <w:lvl w:ilvl="0">
      <w:lvlJc w:val="left"/>
      <w:lvlText w:val="(%1)"/>
      <w:numFmt w:val="lowerRoman"/>
      <w:start w:val="1"/>
    </w:lvl>
  </w:abstractNum>
  <w:abstractNum w:abstractNumId="26">
    <w:nsid w:val="7724C67E"/>
    <w:multiLevelType w:val="hybridMultilevel"/>
    <w:lvl w:ilvl="0">
      <w:lvlJc w:val="left"/>
      <w:lvlText w:val="%1."/>
      <w:numFmt w:val="decimal"/>
      <w:start w:val="10"/>
    </w:lvl>
    <w:lvl w:ilvl="1">
      <w:lvlJc w:val="left"/>
      <w:lvlText w:val="(%2)"/>
      <w:numFmt w:val="lowerLetter"/>
      <w:start w:val="1"/>
    </w:lvl>
  </w:abstractNum>
  <w:abstractNum w:abstractNumId="27">
    <w:nsid w:val="5C482A97"/>
    <w:multiLevelType w:val="hybridMultilevel"/>
    <w:lvl w:ilvl="0">
      <w:lvlJc w:val="left"/>
      <w:lvlText w:val="%1"/>
      <w:numFmt w:val="decimal"/>
      <w:start w:val="1"/>
    </w:lvl>
    <w:lvl w:ilvl="1">
      <w:lvlJc w:val="left"/>
      <w:lvlText w:val="(%2)"/>
      <w:numFmt w:val="lowerLetter"/>
      <w:start w:val="6"/>
    </w:lvl>
  </w:abstractNum>
  <w:abstractNum w:abstractNumId="28">
    <w:nsid w:val="2463B9EA"/>
    <w:multiLevelType w:val="hybridMultilevel"/>
    <w:lvl w:ilvl="0">
      <w:lvlJc w:val="left"/>
      <w:lvlText w:val="%1."/>
      <w:numFmt w:val="decimal"/>
      <w:start w:val="11"/>
    </w:lvl>
    <w:lvl w:ilvl="1">
      <w:lvlJc w:val="left"/>
      <w:lvlText w:val="(%2)"/>
      <w:numFmt w:val="lowerLetter"/>
      <w:start w:val="1"/>
    </w:lvl>
  </w:abstractNum>
  <w:abstractNum w:abstractNumId="29">
    <w:nsid w:val="5E884ADC"/>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30">
    <w:nsid w:val="51EAD36B"/>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3"/>
    </w:lvl>
  </w:abstractNum>
  <w:abstractNum w:abstractNumId="31">
    <w:nsid w:val="2D517796"/>
    <w:multiLevelType w:val="hybridMultilevel"/>
    <w:lvl w:ilvl="0">
      <w:lvlJc w:val="left"/>
      <w:lvlText w:val="%1."/>
      <w:numFmt w:val="decimal"/>
      <w:start w:val="15"/>
    </w:lvl>
    <w:lvl w:ilvl="1">
      <w:lvlJc w:val="left"/>
      <w:lvlText w:val="(%2)"/>
      <w:numFmt w:val="lowerLetter"/>
      <w:start w:val="1"/>
    </w:lvl>
  </w:abstractNum>
  <w:abstractNum w:abstractNumId="32">
    <w:nsid w:val="580BD78F"/>
    <w:multiLevelType w:val="hybridMultilevel"/>
    <w:lvl w:ilvl="0">
      <w:lvlJc w:val="left"/>
      <w:lvlText w:val="%1"/>
      <w:numFmt w:val="decimal"/>
      <w:start w:val="1"/>
    </w:lvl>
    <w:lvl w:ilvl="1">
      <w:lvlJc w:val="left"/>
      <w:lvlText w:val="(%2)"/>
      <w:numFmt w:val="lowerLetter"/>
      <w:start w:val="2"/>
    </w:lvl>
  </w:abstractNum>
  <w:abstractNum w:abstractNumId="33">
    <w:nsid w:val="153EA438"/>
    <w:multiLevelType w:val="hybridMultilevel"/>
    <w:lvl w:ilvl="0">
      <w:lvlJc w:val="left"/>
      <w:lvlText w:val="%1."/>
      <w:numFmt w:val="decimal"/>
      <w:start w:val="20"/>
    </w:lvl>
    <w:lvl w:ilvl="1">
      <w:lvlJc w:val="left"/>
      <w:lvlText w:val="%2"/>
      <w:numFmt w:val="lowerLetter"/>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6">
    <w:nsid w:val="6A2342EC"/>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2"/>
    </w:lvl>
  </w:abstractNum>
  <w:abstractNum w:abstractNumId="37">
    <w:nsid w:val="2A487CB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38">
    <w:nsid w:val="1D4ED43B"/>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4"/>
    </w:lvl>
  </w:abstractNum>
  <w:abstractNum w:abstractNumId="39">
    <w:nsid w:val="725A06FB"/>
    <w:multiLevelType w:val="hybridMultilevel"/>
    <w:lvl w:ilvl="0">
      <w:lvlJc w:val="left"/>
      <w:lvlText w:val="%1."/>
      <w:numFmt w:val="decimal"/>
      <w:start w:val="10"/>
    </w:lvl>
  </w:abstractNum>
  <w:abstractNum w:abstractNumId="40">
    <w:nsid w:val="2CD89A32"/>
    <w:multiLevelType w:val="hybridMultilevel"/>
    <w:lvl w:ilvl="0">
      <w:lvlJc w:val="left"/>
      <w:lvlText w:val="%1."/>
      <w:numFmt w:val="decimal"/>
      <w:start w:val="16"/>
    </w:lvl>
    <w:lvl w:ilvl="1">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3">
    <w:nsid w:val="4B588F54"/>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
      <w:numFmt w:val="bullet"/>
      <w:start w:val="1"/>
    </w:lvl>
  </w:abstractNum>
  <w:abstractNum w:abstractNumId="44">
    <w:nsid w:val="542289EC"/>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1"/>
    </w:lvl>
    <w:lvl w:ilvl="3">
      <w:lvlJc w:val="left"/>
      <w:lvlText w:val="-"/>
      <w:numFmt w:val="bullet"/>
      <w:start w:val="1"/>
    </w:lvl>
  </w:abstractNum>
  <w:abstractNum w:abstractNumId="45">
    <w:nsid w:val="6DE91B18"/>
    <w:multiLevelType w:val="hybridMultilevel"/>
    <w:lvl w:ilvl="0">
      <w:lvlJc w:val="left"/>
      <w:lvlText w:val="%1."/>
      <w:numFmt w:val="decimal"/>
      <w:start w:val="9"/>
    </w:lvl>
    <w:lvl w:ilvl="1">
      <w:lvlJc w:val="left"/>
      <w:lvlText w:val="-"/>
      <w:numFmt w:val="bullet"/>
      <w:start w:val="1"/>
    </w:lvl>
  </w:abstractNum>
  <w:abstractNum w:abstractNumId="46">
    <w:nsid w:val="38437FDB"/>
    <w:multiLevelType w:val="hybridMultilevel"/>
    <w:lvl w:ilvl="0">
      <w:lvlJc w:val="left"/>
      <w:lvlText w:val="%1."/>
      <w:numFmt w:val="decimal"/>
      <w:start w:val="16"/>
    </w:lvl>
    <w:lvl w:ilvl="1">
      <w:lvlJc w:val="left"/>
      <w:lvlText w:val="-"/>
      <w:numFmt w:val="bullet"/>
      <w:start w:val="1"/>
    </w:lvl>
  </w:abstractNum>
  <w:abstractNum w:abstractNumId="47">
    <w:nsid w:val="7644A45C"/>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2019-12-06T17:16:47Z</dcterms:created>
  <dcterms:modified xsi:type="dcterms:W3CDTF">2019-12-06T17:16:47Z</dcterms:modified>
</cp:coreProperties>
</file>