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11/05/2018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8"/>
              </w:rPr>
              <w:t>16,503</w:t>
            </w:r>
            <w:r>
              <w:rPr>
                <w:rFonts w:ascii="Arial" w:cs="Arial" w:eastAsia="Arial" w:hAnsi="Arial"/>
                <w:sz w:val="22"/>
                <w:szCs w:val="22"/>
                <w:color w:val="008000"/>
                <w:w w:val="98"/>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6.29</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34,872</w:t>
            </w:r>
          </w:p>
        </w:tc>
        <w:tc>
          <w:tcPr>
            <w:tcW w:w="94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0000FF"/>
                <w:w w:val="91"/>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11/05/2018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8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5,706</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7.4</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29,166</w:t>
            </w:r>
          </w:p>
        </w:tc>
        <w:tc>
          <w:tcPr>
            <w:tcW w:w="94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0000FF"/>
                <w:w w:val="91"/>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8"/>
                <w:szCs w:val="18"/>
                <w:color w:val="0000FF"/>
              </w:rPr>
              <w:t>52,061</w:t>
            </w:r>
          </w:p>
        </w:tc>
        <w:tc>
          <w:tcPr>
            <w:tcW w:w="940" w:type="dxa"/>
            <w:vAlign w:val="bottom"/>
            <w:vMerge w:val="restart"/>
          </w:tcPr>
          <w:p>
            <w:pPr>
              <w:jc w:val="center"/>
              <w:ind w:right="52"/>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grant of Restricted Stock Units issued pursuant to the Issuer's 2011 Equity Incentive Plan in connection with the Issuer's cash retention bonus exchange program. Each Restricted Stock Unit represents the contingent right to receive one share of FLDM common stock upon vesting of the unit. 100% of the Restricted Stock Units vested on November 5, 2018.</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Equal to 85% of the closing price of one share of Issuer's common stock on November 5,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Equal to the closing price of one share of Issuer's common stock on November 5,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indirectly by the Vikram and Pratima Family Trust U/A dated June 23, 2009.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Vikram Jog by Nicholas</w:t>
            </w:r>
          </w:p>
        </w:tc>
        <w:tc>
          <w:tcPr>
            <w:tcW w:w="2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11/07/2018</w:t>
            </w:r>
          </w:p>
        </w:tc>
        <w:tc>
          <w:tcPr>
            <w:tcW w:w="0" w:type="dxa"/>
            <w:vAlign w:val="bottom"/>
          </w:tcPr>
          <w:p>
            <w:pPr>
              <w:spacing w:after="0"/>
              <w:rPr>
                <w:sz w:val="1"/>
                <w:szCs w:val="1"/>
                <w:color w:val="auto"/>
              </w:rPr>
            </w:pPr>
          </w:p>
        </w:tc>
      </w:tr>
      <w:tr>
        <w:trPr>
          <w:trHeight w:val="88"/>
        </w:trPr>
        <w:tc>
          <w:tcPr>
            <w:tcW w:w="188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Khadder, Attorney-in-Fact</w:t>
            </w:r>
          </w:p>
        </w:tc>
        <w:tc>
          <w:tcPr>
            <w:tcW w:w="24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2019-12-23T22:04:17Z</dcterms:created>
  <dcterms:modified xsi:type="dcterms:W3CDTF">2019-12-23T22:04:17Z</dcterms:modified>
</cp:coreProperties>
</file>