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3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 Tower Place, Suite 2000</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145415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On August 11, 2025, Standard BioTools Inc. issued a press release which included information with respect to certain financial results for the three and six months ended June 30, 2025. The press release is attached hereto as Exhibit 99.1.</w:t>
      </w:r>
    </w:p>
    <w:p>
      <w:pPr>
        <w:spacing w:after="0" w:line="162"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 “Full Year 2025 Revenue Outlook” and under the heading “About Standard BioTools Inc.,” together with the forward-looking statement disclaimer, is incorporated by reference into this Item 2.02 of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7"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“Full Year 2025 Revenue Outlook” and under the heading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10000" w:type="dxa"/>
            <w:vAlign w:val="bottom"/>
            <w:tcBorders>
              <w:bottom w:val="single" w:sz="8" w:color="auto"/>
            </w:tcBorders>
            <w:gridSpan w:val="3"/>
          </w:tcPr>
          <w:p>
            <w:pPr>
              <w:ind w:left="458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5100" w:type="dxa"/>
            <w:vAlign w:val="bottom"/>
            <w:tcBorders>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Standard BioTools Inc., dated August 11, 2025</w:t>
            </w:r>
          </w:p>
        </w:tc>
        <w:tc>
          <w:tcPr>
            <w:tcW w:w="20" w:type="dxa"/>
            <w:vAlign w:val="bottom"/>
            <w:tcBorders>
              <w:bottom w:val="single" w:sz="8" w:color="0000EE"/>
            </w:tcBorders>
          </w:tcPr>
          <w:p>
            <w:pPr>
              <w:spacing w:after="0"/>
              <w:rPr>
                <w:sz w:val="15"/>
                <w:szCs w:val="15"/>
                <w:color w:val="auto"/>
              </w:rPr>
            </w:pPr>
          </w:p>
        </w:tc>
        <w:tc>
          <w:tcPr>
            <w:tcW w:w="4880" w:type="dxa"/>
            <w:vAlign w:val="bottom"/>
          </w:tcPr>
          <w:p>
            <w:pPr>
              <w:spacing w:after="0"/>
              <w:rPr>
                <w:sz w:val="15"/>
                <w:szCs w:val="15"/>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4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 2025</w:t>
            </w:r>
          </w:p>
        </w:tc>
      </w:tr>
      <w:tr>
        <w:trPr>
          <w:trHeight w:val="648"/>
        </w:trPr>
        <w:tc>
          <w:tcPr>
            <w:tcW w:w="11240" w:type="dxa"/>
            <w:vAlign w:val="bottom"/>
            <w:gridSpan w:val="3"/>
          </w:tcPr>
          <w:p>
            <w:pPr>
              <w:ind w:left="642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706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706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16"/>
        </w:trPr>
        <w:tc>
          <w:tcPr>
            <w:tcW w:w="706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60" w:type="dxa"/>
            <w:vAlign w:val="bottom"/>
          </w:tcPr>
          <w:p>
            <w:pPr>
              <w:spacing w:after="0"/>
              <w:rPr>
                <w:sz w:val="20"/>
                <w:szCs w:val="20"/>
                <w:color w:val="auto"/>
              </w:rPr>
            </w:pP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7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0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98552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Standard BioTools Reports Second Quarter 2025 Financial Results</w:t>
      </w:r>
    </w:p>
    <w:p>
      <w:pPr>
        <w:spacing w:after="0" w:line="247"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SOUTH SAN FRANCISCO, Calif., August 11, 2025 -- Standard BioTools Inc. (NASDAQ: LAB) (the “Company” or “Standard BioTools”) today announced financial results for the second quarter ended June 30, 2025. Standard BioTools will no longer host its second quarter 2025 earnings call, previously scheduled for Monday, August 11 at 4:30 p.m. 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10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 quarter 2025 total combined company revenue of $42.0 million; Revenue from continuing operations of $21.8 million</w:t>
      </w:r>
    </w:p>
    <w:p>
      <w:pPr>
        <w:spacing w:after="0" w:line="107" w:lineRule="exact"/>
        <w:rPr>
          <w:rFonts w:ascii="Times New Roman" w:cs="Times New Roman" w:eastAsia="Times New Roman" w:hAnsi="Times New Roman"/>
          <w:sz w:val="20"/>
          <w:szCs w:val="20"/>
          <w:color w:val="auto"/>
        </w:rPr>
      </w:pPr>
    </w:p>
    <w:p>
      <w:pPr>
        <w:ind w:left="760" w:right="40" w:hanging="378"/>
        <w:spacing w:after="0" w:line="27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Announced strategic sale of SomaLogic to Illumina for up to $425 million in total cash consideration plus future royalties, expected to close in the first half of 2026</w:t>
      </w:r>
    </w:p>
    <w:p>
      <w:pPr>
        <w:spacing w:after="0" w:line="43" w:lineRule="exact"/>
        <w:rPr>
          <w:rFonts w:ascii="Times New Roman" w:cs="Times New Roman" w:eastAsia="Times New Roman" w:hAnsi="Times New Roman"/>
          <w:sz w:val="20"/>
          <w:szCs w:val="20"/>
          <w:color w:val="auto"/>
        </w:rPr>
      </w:pPr>
    </w:p>
    <w:p>
      <w:pPr>
        <w:ind w:left="760" w:right="140" w:hanging="378"/>
        <w:spacing w:after="0" w:line="273"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$240 million in cash &amp; cash equivalents as of June 30, 2025; At least $550 million in cash &amp; cash equivalents expected at close of transaction with Illumina to fuel inorganic growth strategy</w:t>
      </w:r>
    </w:p>
    <w:p>
      <w:pPr>
        <w:spacing w:after="0" w:line="4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Targeting adjusted EBITDA break-even in 2026</w:t>
      </w:r>
    </w:p>
    <w:p>
      <w:pPr>
        <w:spacing w:after="0" w:line="11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second quarter was a clear demonstration of our strategy in action. Our team delivered another solid quarter of performance, even as U.S. Academic spend remained under pressure, while taking meaningful steps to transform the business,” said Michael Egholm, PhD, President and Chief Executive Officer of Standard BioTools. “The announced sale of SomaLogic to Illumina marks a pivotal milestone in that evolution – unlocking up to $425 million in total cash consideration with additional upside levers and further validating the power of our model.”</w:t>
      </w:r>
    </w:p>
    <w:p>
      <w:pPr>
        <w:spacing w:after="0" w:line="198"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Egholm continued, “With at least $550 million in cash &amp; cash equivalents expected at close and a simplified operating infrastructure, we are driving toward our profitability target in 2026. The combination of a strong balance sheet and a lean operating model positions us to continue playing offense — strategically deploying capital into high-quality, underappreciated assets – to drive scale, reignite growth and create long-term value for our shareholders.”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Financial Results Table: Continuing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18"/>
                <w:szCs w:val="18"/>
                <w:color w:val="auto"/>
              </w:rPr>
            </w:pPr>
          </w:p>
        </w:tc>
        <w:tc>
          <w:tcPr>
            <w:tcW w:w="29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 millions, except percentages)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restricted cash,</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short-term investments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80" w:type="dxa"/>
            <w:vAlign w:val="bottom"/>
            <w:shd w:val="clear" w:color="auto" w:fill="CFF0FC"/>
          </w:tcPr>
          <w:p>
            <w:pPr>
              <w:spacing w:after="0"/>
              <w:rPr>
                <w:sz w:val="20"/>
                <w:szCs w:val="20"/>
                <w:color w:val="auto"/>
              </w:rPr>
            </w:pPr>
          </w:p>
        </w:tc>
      </w:tr>
      <w:tr>
        <w:trPr>
          <w:trHeight w:val="1330"/>
        </w:trPr>
        <w:tc>
          <w:tcPr>
            <w:tcW w:w="4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Second Quarter 2025 Financial Results: Continuing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the announced sale of SomaLogic in June 2025, all financial results in this section reflect continuing operations only</w:t>
      </w:r>
    </w:p>
    <w:p>
      <w:pPr>
        <w:spacing w:after="0" w:line="22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Revenue </w:t>
      </w:r>
      <w:r>
        <w:rPr>
          <w:rFonts w:ascii="Times New Roman" w:cs="Times New Roman" w:eastAsia="Times New Roman" w:hAnsi="Times New Roman"/>
          <w:sz w:val="19"/>
          <w:szCs w:val="19"/>
          <w:color w:val="auto"/>
        </w:rPr>
        <w:t>was $21.8 million in the second quarter of 2025, down 3% year-over-year, and $42 million for the first half of 2025, down</w:t>
      </w:r>
    </w:p>
    <w:p>
      <w:pPr>
        <w:spacing w:after="0" w:line="37"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5% year-over-year:</w:t>
      </w:r>
    </w:p>
    <w:p>
      <w:pPr>
        <w:ind w:left="1500" w:right="80" w:hanging="369"/>
        <w:spacing w:after="0" w:line="242" w:lineRule="auto"/>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Consumables </w:t>
      </w:r>
      <w:r>
        <w:rPr>
          <w:rFonts w:ascii="Times New Roman" w:cs="Times New Roman" w:eastAsia="Times New Roman" w:hAnsi="Times New Roman"/>
          <w:sz w:val="20"/>
          <w:szCs w:val="20"/>
          <w:color w:val="auto"/>
        </w:rPr>
        <w:t>revenue was $10.5 million in the second quarter of 2025, up 18% year-over-year, and $18.6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half of 2025, down 3% year-over-year. Consumables revenue in the quarter increased across imaging, flow and microfluidics product lines.</w:t>
      </w:r>
    </w:p>
    <w:p>
      <w:pPr>
        <w:spacing w:after="0" w:line="34" w:lineRule="exact"/>
        <w:rPr>
          <w:rFonts w:ascii="Times New Roman" w:cs="Times New Roman" w:eastAsia="Times New Roman" w:hAnsi="Times New Roman"/>
          <w:sz w:val="20"/>
          <w:szCs w:val="20"/>
          <w:color w:val="auto"/>
        </w:rPr>
      </w:pPr>
    </w:p>
    <w:p>
      <w:pPr>
        <w:ind w:left="1500" w:right="40" w:hanging="369"/>
        <w:spacing w:after="0" w:line="256" w:lineRule="auto"/>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Instruments </w:t>
      </w:r>
      <w:r>
        <w:rPr>
          <w:rFonts w:ascii="Times New Roman" w:cs="Times New Roman" w:eastAsia="Times New Roman" w:hAnsi="Times New Roman"/>
          <w:sz w:val="20"/>
          <w:szCs w:val="20"/>
          <w:color w:val="auto"/>
        </w:rPr>
        <w:t>revenue was $5.2 million in the second quarter of 2025, down 26% year-over-year, and $11.9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half of 2025, down 1% year-over-year. Instrument revenue in the quarter was impacted by capital constrained end-markets globally.</w:t>
      </w:r>
    </w:p>
    <w:p>
      <w:pPr>
        <w:spacing w:after="0" w:line="33" w:lineRule="exact"/>
        <w:rPr>
          <w:rFonts w:ascii="Times New Roman" w:cs="Times New Roman" w:eastAsia="Times New Roman" w:hAnsi="Times New Roman"/>
          <w:sz w:val="20"/>
          <w:szCs w:val="20"/>
          <w:color w:val="auto"/>
        </w:rPr>
      </w:pPr>
    </w:p>
    <w:p>
      <w:pPr>
        <w:jc w:val="both"/>
        <w:ind w:left="1500" w:right="60" w:hanging="369"/>
        <w:spacing w:after="0" w:line="256" w:lineRule="auto"/>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w:t>
      </w:r>
      <w:r>
        <w:rPr>
          <w:rFonts w:ascii="Times New Roman" w:cs="Times New Roman" w:eastAsia="Times New Roman" w:hAnsi="Times New Roman"/>
          <w:sz w:val="20"/>
          <w:szCs w:val="20"/>
          <w:color w:val="auto"/>
        </w:rPr>
        <w:t>revenue, which is predominantly Field Services, was $6.1 million in the second quarter of 2025, down 8% year-over-year, and $11.5 million for the first half of 2025, down 11% year-over-year. Field Services revenue decreased due to fewer active service contracts and lower on-demand revenue driven by improved instrument quality and uptime.</w:t>
      </w:r>
    </w:p>
    <w:p>
      <w:pPr>
        <w:spacing w:after="0" w:line="20" w:lineRule="exact"/>
        <w:rPr>
          <w:rFonts w:ascii="Times New Roman" w:cs="Times New Roman" w:eastAsia="Times New Roman" w:hAnsi="Times New Roman"/>
          <w:sz w:val="20"/>
          <w:szCs w:val="20"/>
          <w:color w:val="auto"/>
        </w:rPr>
      </w:pPr>
    </w:p>
    <w:p>
      <w:pPr>
        <w:ind w:left="760" w:right="140" w:hanging="378"/>
        <w:spacing w:after="0" w:line="261" w:lineRule="auto"/>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Gross margins </w:t>
      </w:r>
      <w:r>
        <w:rPr>
          <w:rFonts w:ascii="Times New Roman" w:cs="Times New Roman" w:eastAsia="Times New Roman" w:hAnsi="Times New Roman"/>
          <w:sz w:val="19"/>
          <w:szCs w:val="19"/>
          <w:color w:val="auto"/>
        </w:rPr>
        <w:t>in the second quarter of 2025 were approximately 48.8%, versus 46.1% in the second quarter of 2024; and non-GAAP gross margins in the second quarter of 2025 were approximately 54.1%, versus 48.6% in the second quarter of 2024. Gross margins in the first half of the year were 51.6% in 2025 and 48.5% in 2024; and non-GAAP gross margins were approximately</w:t>
      </w:r>
    </w:p>
    <w:p>
      <w:pPr>
        <w:spacing w:after="0" w:line="1" w:lineRule="exact"/>
        <w:rPr>
          <w:rFonts w:ascii="Times New Roman" w:cs="Times New Roman" w:eastAsia="Times New Roman" w:hAnsi="Times New Roman"/>
          <w:sz w:val="17"/>
          <w:szCs w:val="17"/>
          <w:color w:val="auto"/>
        </w:rPr>
      </w:pPr>
    </w:p>
    <w:p>
      <w:pPr>
        <w:ind w:left="760"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55.6% in the first half of 2025 and 54.1% for the same period in 2024. Gross margins and non-GAAP gross margins were driven by product mix and incremental improvements from Standard BioTools Business System (SBS).</w:t>
      </w:r>
    </w:p>
    <w:p>
      <w:pPr>
        <w:spacing w:after="0" w:line="69" w:lineRule="exact"/>
        <w:rPr>
          <w:rFonts w:ascii="Times New Roman" w:cs="Times New Roman" w:eastAsia="Times New Roman" w:hAnsi="Times New Roman"/>
          <w:sz w:val="17"/>
          <w:szCs w:val="17"/>
          <w:color w:val="auto"/>
        </w:rPr>
      </w:pPr>
    </w:p>
    <w:p>
      <w:pPr>
        <w:ind w:left="760" w:right="20" w:hanging="378"/>
        <w:spacing w:after="0" w:line="245"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expenses </w:t>
      </w:r>
      <w:r>
        <w:rPr>
          <w:rFonts w:ascii="Times New Roman" w:cs="Times New Roman" w:eastAsia="Times New Roman" w:hAnsi="Times New Roman"/>
          <w:sz w:val="20"/>
          <w:szCs w:val="20"/>
          <w:color w:val="auto"/>
        </w:rPr>
        <w:t>in the second quarter of 2025 were $36.3 million, a decrease of $4.3 million, or down 11%, compared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second quarter of 2024; and non-GAAP operating expenses, which exclude transaction costs, stock-based compensation, and restructuring charges, were $27.9 million in the second quarter of 2025, a decrease of $0.4 million, or down 1%, compared to the second quarter of 2024. For the first half of 2025, operating expenses decreased by $21.8 million, or 23%, compared to the first half of 2024, to $74.3 million, while non-GAAP operating expenses decreased by $4.7 million, or 8%, compared to the same period in 2024, to $53.5 million. The decrease in operating expenses is a result of the realization of merger cost synergies and continued productivity gains from SBS.</w:t>
      </w:r>
    </w:p>
    <w:p>
      <w:pPr>
        <w:spacing w:after="0" w:line="71" w:lineRule="exact"/>
        <w:rPr>
          <w:rFonts w:ascii="Times New Roman" w:cs="Times New Roman" w:eastAsia="Times New Roman" w:hAnsi="Times New Roman"/>
          <w:sz w:val="20"/>
          <w:szCs w:val="20"/>
          <w:color w:val="auto"/>
        </w:rPr>
      </w:pPr>
    </w:p>
    <w:p>
      <w:pPr>
        <w:ind w:left="760" w:right="40" w:hanging="378"/>
        <w:spacing w:after="0" w:line="24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for the second quarter of 2025 was $17.7 million, compared to a net loss of $25.4 million in the second quarter of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a decrease of $7.7 million or 31%, while adjusted EBITDA for the second quarter of 2025 was a loss of $16.1 million, versus an adjusted EBITDA loss of $17.4 million in the second quarter of 2024, an improvement of $1.2 million, or 7%. Net loss for the first half improved by $0.8 million at $41.0 million while adjusted EBITDA increased by $4.1 million, or 12%, compared to the first half of 2024, to a loss of $30.2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2025 Revenue Outlook</w:t>
      </w:r>
    </w:p>
    <w:p>
      <w:pPr>
        <w:spacing w:after="0" w:line="233"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For fiscal year 2025, the Company expects combined revenue in the range of $165 million to $175 million. Revenue from continuing operations is expected in the range of $78 million to $83 million.</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This combined outlook continues to assume a high single-digit millions decline in our Americas academic revenue due to anticipated NIH funding pressures, with a more pronounced impact on our continuing operations. It also assumes no expected effect from U.S. export controls and limited impact from tariffs.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2" w:right="359" w:bottom="1440" w:gutter="0" w:footer="0" w:header="0"/>
        </w:sectPr>
      </w:pPr>
    </w:p>
    <w:bookmarkStart w:id="5" w:name="page6"/>
    <w:bookmarkEnd w:id="5"/>
    <w:p>
      <w:pPr>
        <w:ind w:right="20"/>
        <w:spacing w:after="0" w:line="254" w:lineRule="auto"/>
        <w:rPr>
          <w:sz w:val="20"/>
          <w:szCs w:val="20"/>
          <w:color w:val="auto"/>
        </w:rPr>
      </w:pPr>
      <w:r>
        <w:rPr>
          <w:rFonts w:ascii="Times New Roman" w:cs="Times New Roman" w:eastAsia="Times New Roman" w:hAnsi="Times New Roman"/>
          <w:sz w:val="20"/>
          <w:szCs w:val="20"/>
          <w:color w:val="auto"/>
        </w:rPr>
        <w:t>Standard BioTools will no longer host its second quarter 2025 earnings call, previously scheduled for Monday, August 11 at 4:30 p.m. ET. In connection with the pending sale of SomaLogic and operational focus, the Company is temporarily pausing earnings conference calls until further notice.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financial results and related disclosures are available in this press release and will be available in the Company’s filings with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 (“SEC”), including its Quarterly Report on Form 10-Q for the quarter ended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Standard BioTools has presented certain financial information in accordance with U.S. GAAP and on a non-GAAP basis. The non-GAAP financial measures included in this press release are non-GAAP gross margin, non-GAAP gross profit,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among others, statements regarding future financial and business performance, including with respect to future revenue and expected cash at the closing of the transaction with Illumina; operational and strategic plans; deployment of capital; market and growth opportunity and potential; and the potential to realize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risks that the anticipated benefits and synergies of announced divestures and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the timing of the closing of the transaction with Illumina and the operating expenses over the intervening period;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 w:name="page7"/>
    <w:bookmarkEnd w:id="6"/>
    <w:p>
      <w:pPr>
        <w:spacing w:after="0" w:line="245" w:lineRule="auto"/>
        <w:rPr>
          <w:sz w:val="20"/>
          <w:szCs w:val="20"/>
          <w:color w:val="auto"/>
        </w:rPr>
      </w:pPr>
      <w:r>
        <w:rPr>
          <w:rFonts w:ascii="Times New Roman" w:cs="Times New Roman" w:eastAsia="Times New Roman" w:hAnsi="Times New Roman"/>
          <w:sz w:val="20"/>
          <w:szCs w:val="20"/>
          <w:color w:val="auto"/>
        </w:rPr>
        <w:t>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11, 2025, the Company’s quarterly report on Form 10-Q for the quarter ended June 30, 2025 to be filed with the SEC, and in the Company’s other filings with the SEC. These forward-looking statements speak only as of the date hereof. The Company disclaims any obligation to update these forward-looking statements except as may be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3"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0"/>
          <w:szCs w:val="20"/>
          <w:color w:val="auto"/>
        </w:rPr>
        <w:t xml:space="preserve">Standard BioTools Inc. (Nasdaq: LAB), has an established portfolio of essential, standardized next-generation technologies that help biomedical researchers develop better medicines faster. As a leading solutions provider, the company provides reliable and repeatable insights in health and disease using its proprietary SomaScan,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t>
      </w:r>
      <w:r>
        <w:rPr>
          <w:rFonts w:ascii="Times New Roman" w:cs="Times New Roman" w:eastAsia="Times New Roman" w:hAnsi="Times New Roman"/>
          <w:sz w:val="20"/>
          <w:szCs w:val="20"/>
          <w:color w:val="0000FF"/>
        </w:rPr>
        <w:t>standardbio.com</w:t>
      </w:r>
      <w:r>
        <w:rPr>
          <w:rFonts w:ascii="Times New Roman" w:cs="Times New Roman" w:eastAsia="Times New Roman" w:hAnsi="Times New Roman"/>
          <w:sz w:val="20"/>
          <w:szCs w:val="20"/>
          <w:color w:val="auto"/>
        </w:rPr>
        <w:t xml:space="preserve"> or connect with us on X, Facebook®, LinkedIn, and YouTube™.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Research Use Only. Not for use in diagnostic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Limited Use Label License and other terms may apply: </w:t>
      </w:r>
      <w:r>
        <w:rPr>
          <w:rFonts w:ascii="Times New Roman" w:cs="Times New Roman" w:eastAsia="Times New Roman" w:hAnsi="Times New Roman"/>
          <w:sz w:val="20"/>
          <w:szCs w:val="20"/>
          <w:color w:val="0000FF"/>
        </w:rPr>
        <w:t>standardbio.com/legal/salesterms</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Patent and License Information: </w:t>
      </w:r>
      <w:r>
        <w:rPr>
          <w:rFonts w:ascii="Times New Roman" w:cs="Times New Roman" w:eastAsia="Times New Roman" w:hAnsi="Times New Roman"/>
          <w:sz w:val="20"/>
          <w:szCs w:val="20"/>
          <w:color w:val="0000FF"/>
        </w:rPr>
        <w:t>standardbio.com/legal/notices</w:t>
      </w:r>
      <w:r>
        <w:rPr>
          <w:rFonts w:ascii="Times New Roman" w:cs="Times New Roman" w:eastAsia="Times New Roman" w:hAnsi="Times New Roman"/>
          <w:sz w:val="20"/>
          <w:szCs w:val="20"/>
          <w:color w:val="auto"/>
        </w:rPr>
        <w:t>.</w:t>
      </w:r>
    </w:p>
    <w:p>
      <w:pPr>
        <w:ind w:right="320"/>
        <w:spacing w:after="0" w:line="246" w:lineRule="auto"/>
        <w:rPr>
          <w:sz w:val="20"/>
          <w:szCs w:val="20"/>
          <w:color w:val="auto"/>
        </w:rPr>
      </w:pPr>
      <w:r>
        <w:rPr>
          <w:rFonts w:ascii="Times New Roman" w:cs="Times New Roman" w:eastAsia="Times New Roman" w:hAnsi="Times New Roman"/>
          <w:sz w:val="20"/>
          <w:szCs w:val="20"/>
          <w:color w:val="auto"/>
        </w:rPr>
        <w:t xml:space="preserve">Trademarks: </w:t>
      </w:r>
      <w:r>
        <w:rPr>
          <w:rFonts w:ascii="Times New Roman" w:cs="Times New Roman" w:eastAsia="Times New Roman" w:hAnsi="Times New Roman"/>
          <w:sz w:val="20"/>
          <w:szCs w:val="20"/>
          <w:color w:val="0000FF"/>
        </w:rPr>
        <w:t>standardbio.com/legal/trademarks</w:t>
      </w:r>
      <w:r>
        <w:rPr>
          <w:rFonts w:ascii="Times New Roman" w:cs="Times New Roman" w:eastAsia="Times New Roman" w:hAnsi="Times New Roman"/>
          <w:sz w:val="20"/>
          <w:szCs w:val="20"/>
          <w:color w:val="auto"/>
        </w:rPr>
        <w:t>. Any other trademarks are the sole property of their respective owners. ©2025 Standard BioTools Inc. (f.k.a. Fluidigm Corporation). All rights reserved.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16"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services and other revenue</w:t>
            </w: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(74,705)</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(25,405)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(41,771)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(41,696)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(17,673)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(25,444)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(41,043)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(41,848)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(15,786)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(20,274)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(18,449)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(36,027)</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(77,875)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(46,014)</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(33,459)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(45,718)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(59,492)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(123,889)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from continuing operations, basic and diluted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from discontinued operations,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38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9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Shares used in computing net loss per share attributable to</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380,498</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379,369</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333,228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common stockholders, basic and diluted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0"/>
        </w:trPr>
        <w:tc>
          <w:tcPr>
            <w:tcW w:w="4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-5297170</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-5297170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-5297170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-5297170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-4731385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-4731385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-4731385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-3608070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-3608070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-3608070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-2211070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-2211070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-2211070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-1902460</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-1902460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-1902460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-1593850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-1576705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-1593850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-1576705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-1576705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-1156335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-1139190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-1156335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-1139190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-1156335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-1139190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158,617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375,883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556,965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612,345</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424,535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471,722</w:t>
            </w:r>
          </w:p>
        </w:tc>
        <w:tc>
          <w:tcPr>
            <w:tcW w:w="100" w:type="dxa"/>
            <w:vAlign w:val="bottom"/>
          </w:tcPr>
          <w:p>
            <w:pPr>
              <w:spacing w:after="0"/>
              <w:rPr>
                <w:sz w:val="18"/>
                <w:szCs w:val="18"/>
                <w:color w:val="auto"/>
              </w:rPr>
            </w:pPr>
          </w:p>
        </w:tc>
      </w:tr>
      <w:tr>
        <w:trPr>
          <w:trHeight w:val="25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556,965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612,345</w:t>
            </w:r>
          </w:p>
        </w:tc>
        <w:tc>
          <w:tcPr>
            <w:tcW w:w="100" w:type="dxa"/>
            <w:vAlign w:val="bottom"/>
            <w:shd w:val="clear" w:color="auto" w:fill="CFF0FC"/>
          </w:tcPr>
          <w:p>
            <w:pPr>
              <w:spacing w:after="0"/>
              <w:rPr>
                <w:sz w:val="21"/>
                <w:szCs w:val="21"/>
                <w:color w:val="auto"/>
              </w:rPr>
            </w:pPr>
          </w:p>
        </w:tc>
      </w:tr>
      <w:tr>
        <w:trPr>
          <w:trHeight w:val="1310"/>
        </w:trPr>
        <w:tc>
          <w:tcPr>
            <w:tcW w:w="768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-3822700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-882015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-864870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5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6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(59,492)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(77,875)</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(25,213)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(1,571)</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(4,544)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(3,400)</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items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(14,519)</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(26,523)</w:t>
            </w:r>
          </w:p>
        </w:tc>
      </w:tr>
      <w:tr>
        <w:trPr>
          <w:trHeight w:val="20"/>
        </w:trPr>
        <w:tc>
          <w:tcPr>
            <w:tcW w:w="66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(50,951)</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(101,526)</w:t>
            </w:r>
          </w:p>
        </w:tc>
      </w:tr>
      <w:tr>
        <w:trPr>
          <w:trHeight w:val="210"/>
        </w:trPr>
        <w:tc>
          <w:tcPr>
            <w:tcW w:w="6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acquired in merger</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(50,929)</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(147,984)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(6,941)</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(2,718)</w:t>
            </w:r>
          </w:p>
        </w:tc>
      </w:tr>
      <w:tr>
        <w:trPr>
          <w:trHeight w:val="210"/>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0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42,130</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368,331</w:t>
            </w:r>
          </w:p>
        </w:tc>
        <w:tc>
          <w:tcPr>
            <w:tcW w:w="120" w:type="dxa"/>
            <w:vAlign w:val="bottom"/>
            <w:tcBorders>
              <w:top w:val="single" w:sz="8" w:color="CFF0FC"/>
            </w:tcBorders>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(8,192)</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term loan fee</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(40,490)</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(48,094)</w:t>
            </w:r>
          </w:p>
        </w:tc>
      </w:tr>
      <w:tr>
        <w:trPr>
          <w:trHeight w:val="20"/>
        </w:trPr>
        <w:tc>
          <w:tcPr>
            <w:tcW w:w="6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66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218,601</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168,818</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161,204</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271,100</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consists of:</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158,617</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269,811</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161,204</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271,100</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9"/>
        </w:trPr>
        <w:tc>
          <w:tcPr>
            <w:tcW w:w="6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-4671060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-4671060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-3693795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-3693795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-2442210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-1868170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4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3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23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Pr>
          <w:p>
            <w:pPr>
              <w:spacing w:after="0"/>
              <w:rPr>
                <w:sz w:val="18"/>
                <w:szCs w:val="18"/>
                <w:color w:val="auto"/>
              </w:rPr>
            </w:pPr>
          </w:p>
        </w:tc>
      </w:tr>
      <w:tr>
        <w:trPr>
          <w:trHeight w:val="216"/>
        </w:trPr>
        <w:tc>
          <w:tcPr>
            <w:tcW w:w="3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Consumables</w:t>
            </w:r>
          </w:p>
        </w:tc>
        <w:tc>
          <w:tcPr>
            <w:tcW w:w="14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10,458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31,208</w:t>
            </w:r>
          </w:p>
        </w:tc>
        <w:tc>
          <w:tcPr>
            <w:tcW w:w="100" w:type="dxa"/>
            <w:vAlign w:val="bottom"/>
          </w:tcPr>
          <w:p>
            <w:pPr>
              <w:spacing w:after="0"/>
              <w:rPr>
                <w:sz w:val="18"/>
                <w:szCs w:val="18"/>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14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3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21,762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0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7"/>
        </w:trPr>
        <w:tc>
          <w:tcPr>
            <w:tcW w:w="3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-1302385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-1302385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-1302385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-1019810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-1019810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-1019810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GROSS PROFIT TO NON-GAAP GROSS PROFIT AND MARGIN PERCENTAGE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180" w:type="dxa"/>
            <w:vAlign w:val="bottom"/>
            <w:shd w:val="clear" w:color="auto" w:fill="CFF0FC"/>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tcPr>
          <w:p>
            <w:pPr>
              <w:spacing w:after="0"/>
              <w:rPr>
                <w:sz w:val="18"/>
                <w:szCs w:val="18"/>
                <w:color w:val="auto"/>
              </w:rPr>
            </w:pP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shd w:val="clear" w:color="auto" w:fill="CFF0FC"/>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spacing w:after="0"/>
              <w:rPr>
                <w:sz w:val="18"/>
                <w:szCs w:val="18"/>
                <w:color w:val="auto"/>
              </w:rPr>
            </w:pP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2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80" w:type="dxa"/>
            <w:vAlign w:val="bottom"/>
            <w:shd w:val="clear" w:color="auto" w:fill="CFF0FC"/>
          </w:tcPr>
          <w:p>
            <w:pPr>
              <w:spacing w:after="0"/>
              <w:rPr>
                <w:sz w:val="19"/>
                <w:szCs w:val="19"/>
                <w:color w:val="auto"/>
              </w:rPr>
            </w:pP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13"/>
        </w:trPr>
        <w:tc>
          <w:tcPr>
            <w:tcW w:w="6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-2142490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-2125345</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-2142490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-2125345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-2142490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-2125345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-2142490</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-2125345</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-1156970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-1156970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-1156970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-1156970</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TO NON-GAAP 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4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96,104</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(1,727)</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(3,279)</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(1,474)</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(19,945)</w:t>
            </w: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(4,970)</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(12,777)</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(6,595)</w:t>
            </w: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(3,277)</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74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operating expenses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2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50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SG&amp;A operating expenses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28,105</w:t>
            </w:r>
          </w:p>
        </w:tc>
        <w:tc>
          <w:tcPr>
            <w:tcW w:w="220" w:type="dxa"/>
            <w:vAlign w:val="bottom"/>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57,929</w:t>
            </w:r>
          </w:p>
        </w:tc>
        <w:tc>
          <w:tcPr>
            <w:tcW w:w="220" w:type="dxa"/>
            <w:vAlign w:val="bottom"/>
          </w:tcPr>
          <w:p>
            <w:pPr>
              <w:spacing w:after="0"/>
              <w:rPr>
                <w:sz w:val="24"/>
                <w:szCs w:val="2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51,274</w:t>
            </w:r>
          </w:p>
        </w:tc>
        <w:tc>
          <w:tcPr>
            <w:tcW w:w="120" w:type="dxa"/>
            <w:vAlign w:val="bottom"/>
          </w:tcPr>
          <w:p>
            <w:pPr>
              <w:spacing w:after="0"/>
              <w:rPr>
                <w:sz w:val="24"/>
                <w:szCs w:val="24"/>
                <w:color w:val="auto"/>
              </w:rPr>
            </w:pP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(4,489)</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(11,957)</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(2,508)</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44,294</w:t>
            </w:r>
          </w:p>
        </w:tc>
        <w:tc>
          <w:tcPr>
            <w:tcW w:w="120" w:type="dxa"/>
            <w:vAlign w:val="bottom"/>
            <w:shd w:val="clear" w:color="auto" w:fill="CFF0FC"/>
          </w:tcPr>
          <w:p>
            <w:pPr>
              <w:spacing w:after="0"/>
              <w:rPr>
                <w:sz w:val="21"/>
                <w:szCs w:val="21"/>
                <w:color w:val="auto"/>
              </w:rPr>
            </w:pPr>
          </w:p>
        </w:tc>
      </w:tr>
      <w:tr>
        <w:trPr>
          <w:trHeight w:val="1297"/>
        </w:trPr>
        <w:tc>
          <w:tcPr>
            <w:tcW w:w="474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-2931160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-2931160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-2931160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-2931160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-1927860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-1910715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-1927860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-1910715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-1927860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-1910715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-1927860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-873760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-856615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-873760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-856615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-873760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-856615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NET LOSS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6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(17,673)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(25,444)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(41,043)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(41,848)</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(5,302)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(5,377)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(11,509)</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(25,213)</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(4,963)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(5,530)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FF0FC"/>
          </w:tcPr>
          <w:p>
            <w:pPr>
              <w:spacing w:after="0"/>
              <w:rPr>
                <w:sz w:val="18"/>
                <w:szCs w:val="18"/>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(17,379)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(30,212)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(34,325)</w:t>
            </w:r>
          </w:p>
        </w:tc>
      </w:tr>
      <w:tr>
        <w:trPr>
          <w:trHeight w:val="20"/>
        </w:trPr>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7"/>
        </w:trPr>
        <w:tc>
          <w:tcPr>
            <w:tcW w:w="6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-1019175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-1019175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-1019175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Results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33,378</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(3,554)</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59,222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74,627</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(20,274)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(18,449)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(36,027)</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7"/>
        </w:trPr>
        <w:tc>
          <w:tcPr>
            <w:tcW w:w="5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-1019810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-1019810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-1019810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GROSS PROFIT TO NON-GAAP GROSS PROFIT AND MARGIN PERCENTAGE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8"/>
                <w:szCs w:val="18"/>
                <w:color w:val="auto"/>
              </w:rPr>
            </w:pPr>
          </w:p>
        </w:tc>
        <w:tc>
          <w:tcPr>
            <w:tcW w:w="24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7"/>
        </w:trPr>
        <w:tc>
          <w:tcPr>
            <w:tcW w:w="6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-2005330</wp:posOffset>
            </wp:positionV>
            <wp:extent cx="1117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-1988185</wp:posOffset>
            </wp:positionV>
            <wp:extent cx="1117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-2005330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-1988185</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-2005330</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-1988185</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-2005330</wp:posOffset>
            </wp:positionV>
            <wp:extent cx="145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-1988185</wp:posOffset>
            </wp:positionV>
            <wp:extent cx="1454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-1019175</wp:posOffset>
            </wp:positionV>
            <wp:extent cx="111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-1019175</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-1019175</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-1019175</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TO NON-GAAP OPERATING 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6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(11,213)</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(2,942)</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(3,112)</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(1,370)</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00" w:type="dxa"/>
            <w:vAlign w:val="bottom"/>
            <w:shd w:val="clear" w:color="auto" w:fill="CFF0FC"/>
          </w:tcPr>
          <w:p>
            <w:pPr>
              <w:spacing w:after="0"/>
              <w:rPr>
                <w:sz w:val="19"/>
                <w:szCs w:val="19"/>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SG&amp;A operating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00" w:type="dxa"/>
            <w:vAlign w:val="bottom"/>
          </w:tcPr>
          <w:p>
            <w:pPr>
              <w:spacing w:after="0"/>
              <w:rPr>
                <w:sz w:val="24"/>
                <w:szCs w:val="24"/>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(8,101)</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0"/>
        </w:trPr>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1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100" w:type="dxa"/>
            <w:vAlign w:val="bottom"/>
            <w:shd w:val="clear" w:color="auto" w:fill="CFF0FC"/>
          </w:tcPr>
          <w:p>
            <w:pPr>
              <w:spacing w:after="0"/>
              <w:rPr>
                <w:sz w:val="21"/>
                <w:szCs w:val="21"/>
                <w:color w:val="auto"/>
              </w:rPr>
            </w:pPr>
          </w:p>
        </w:tc>
      </w:tr>
      <w:tr>
        <w:trPr>
          <w:trHeight w:val="1297"/>
        </w:trPr>
        <w:tc>
          <w:tcPr>
            <w:tcW w:w="628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-2871470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-2871470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-2871470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-1868170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-1851025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-1868170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-1851025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-1868170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-1851025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-873760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-856615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-873760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-856615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-873760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-856615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NET LOSS TO ADJUSTED EBITDA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6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(15,786)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(20,274)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(18,449)</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(36,027)</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(20,434)</w:t>
            </w:r>
          </w:p>
        </w:tc>
      </w:tr>
      <w:tr>
        <w:trPr>
          <w:trHeight w:val="20"/>
        </w:trPr>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7"/>
        </w:trPr>
        <w:tc>
          <w:tcPr>
            <w:tcW w:w="6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-1019175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-1019175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-1019175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Combined Results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 and 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82,745</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84,652</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(8,163)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(15,178)</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(32,862)</w:t>
            </w: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75,421</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82,923</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142,249</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160,620</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(33,459)</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(45,718)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(59,492)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(77,875)</w:t>
            </w:r>
          </w:p>
        </w:tc>
      </w:tr>
      <w:tr>
        <w:trPr>
          <w:trHeight w:val="1297"/>
        </w:trPr>
        <w:tc>
          <w:tcPr>
            <w:tcW w:w="584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-1165225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-1165225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-873760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-856615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-873760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-856615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-873760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-856615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 and 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GROSS PROFIT TO NON-GAAP GROSS PROFIT AND MARGIN PERCENTAGE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r>
      <w:tr>
        <w:trPr>
          <w:trHeight w:val="209"/>
        </w:trPr>
        <w:tc>
          <w:tcPr>
            <w:tcW w:w="6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19,277</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220" w:type="dxa"/>
            <w:vAlign w:val="bottom"/>
            <w:shd w:val="clear" w:color="auto" w:fill="CFF0FC"/>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20" w:type="dxa"/>
            <w:vAlign w:val="bottom"/>
          </w:tcPr>
          <w:p>
            <w:pPr>
              <w:spacing w:after="0"/>
              <w:rPr>
                <w:sz w:val="18"/>
                <w:szCs w:val="18"/>
                <w:color w:val="auto"/>
              </w:rPr>
            </w:pP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shd w:val="clear" w:color="auto" w:fill="CFF0FC"/>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8"/>
                <w:szCs w:val="18"/>
                <w:color w:val="auto"/>
              </w:rPr>
            </w:pP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r>
      <w:tr>
        <w:trPr>
          <w:trHeight w:val="250"/>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22,139</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42,319</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41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r>
      <w:tr>
        <w:trPr>
          <w:trHeight w:val="1310"/>
        </w:trPr>
        <w:tc>
          <w:tcPr>
            <w:tcW w:w="606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-1988185</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-1971040</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-1988185</wp:posOffset>
            </wp:positionV>
            <wp:extent cx="111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-1971040</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-1988185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-1971040</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-1988185</wp:posOffset>
            </wp:positionV>
            <wp:extent cx="1454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-1971040</wp:posOffset>
            </wp:positionV>
            <wp:extent cx="1454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-1002665</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-1002665</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-1002665</wp:posOffset>
            </wp:positionV>
            <wp:extent cx="1111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-1002665</wp:posOffset>
            </wp:positionV>
            <wp:extent cx="1454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 and 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TO NON-GAAP OPERATING 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09"/>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(19,945)</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(6,436)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(14,338)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(17,808)</w:t>
            </w: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(4,281)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R&amp;D operating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40" w:type="dxa"/>
            <w:vAlign w:val="bottom"/>
          </w:tcPr>
          <w:p>
            <w:pPr>
              <w:spacing w:after="0"/>
              <w:rPr>
                <w:sz w:val="24"/>
                <w:szCs w:val="24"/>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SG&amp;A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(14,052)</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59,325</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7"/>
        </w:trPr>
        <w:tc>
          <w:tcPr>
            <w:tcW w:w="6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-2725420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-2708275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-2725420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-2708275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-2725420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-2708275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-2013585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-2013585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-2013585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-1019175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-1019175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-1019175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Continuing Operations and Discontinued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NET LOSS TO ADJUSTED EBITDA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6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(33,459)</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(45,718)</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(59,492)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(77,875)</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(5,302)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(5,377)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(11,509)</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(25,213)</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(5,159)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(9,030)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FF0FC"/>
          </w:tcPr>
          <w:p>
            <w:pPr>
              <w:spacing w:after="0"/>
              <w:rPr>
                <w:sz w:val="18"/>
                <w:szCs w:val="18"/>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(18,567)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(31,032)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(35,413)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(54,759)</w:t>
            </w:r>
          </w:p>
        </w:tc>
      </w:tr>
      <w:tr>
        <w:trPr>
          <w:trHeight w:val="20"/>
        </w:trPr>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7"/>
        </w:trPr>
        <w:tc>
          <w:tcPr>
            <w:tcW w:w="6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-1019810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-1019810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-1019810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2025-08-11T16:09:10Z</dcterms:created>
  <dcterms:modified xsi:type="dcterms:W3CDTF">2025-08-11T16:09:10Z</dcterms:modified>
</cp:coreProperties>
</file>