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Fluidigm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34385P108</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2012</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13d-1(d)</w:t>
      </w:r>
    </w:p>
    <w:p>
      <w:pPr>
        <w:spacing w:after="0" w:line="27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1060" w:right="8160" w:hanging="620"/>
        <w:spacing w:after="0" w:line="342"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Versant Venture Capital I, L.P.</w:t>
      </w:r>
    </w:p>
    <w:p>
      <w:pPr>
        <w:spacing w:after="0" w:line="339" w:lineRule="exact"/>
        <w:rPr>
          <w:rFonts w:ascii="Arial" w:cs="Arial" w:eastAsia="Arial" w:hAnsi="Arial"/>
          <w:sz w:val="16"/>
          <w:szCs w:val="16"/>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x (1)</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jc w:val="both"/>
        <w:ind w:left="1060" w:right="7720" w:hanging="620"/>
        <w:spacing w:after="0" w:line="342"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-563245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-974725</wp:posOffset>
            </wp:positionV>
            <wp:extent cx="58743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-1189355</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-1806575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00"/>
          </w:cols>
          <w:pgMar w:left="240" w:top="436" w:right="259" w:bottom="72" w:gutter="0" w:footer="0" w:header="0"/>
        </w:sectPr>
      </w:pPr>
    </w:p>
    <w:p>
      <w:pPr>
        <w:spacing w:after="0" w:line="353"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961,349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961,349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2040" w:space="720"/>
            <w:col w:w="8640"/>
          </w:cols>
          <w:pgMar w:left="240" w:top="436" w:right="259" w:bottom="72" w:gutter="0" w:footer="0" w:header="0"/>
          <w:type w:val="continuous"/>
        </w:sectPr>
      </w:pPr>
    </w:p>
    <w:p>
      <w:pPr>
        <w:spacing w:after="0" w:line="227" w:lineRule="exact"/>
        <w:rPr>
          <w:sz w:val="24"/>
          <w:szCs w:val="24"/>
          <w:color w:val="auto"/>
        </w:rPr>
      </w:pPr>
    </w:p>
    <w:p>
      <w:pPr>
        <w:ind w:left="1060" w:right="5540" w:hanging="620"/>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961,349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00"/>
          </w:cols>
          <w:pgMar w:left="240" w:top="436" w:right="259" w:bottom="72" w:gutter="0" w:footer="0" w:header="0"/>
          <w:type w:val="continuous"/>
        </w:sectPr>
      </w:pPr>
    </w:p>
    <w:bookmarkStart w:id="1" w:name="page2"/>
    <w:bookmarkEnd w:id="1"/>
    <w:p>
      <w:pPr>
        <w:ind w:left="1052" w:hanging="620"/>
        <w:spacing w:after="0"/>
        <w:tabs>
          <w:tab w:leader="none" w:pos="1052" w:val="left"/>
        </w:tabs>
        <w:numPr>
          <w:ilvl w:val="2"/>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6640" w:hanging="620"/>
        <w:spacing w:after="0" w:line="277" w:lineRule="auto"/>
        <w:tabs>
          <w:tab w:leader="none" w:pos="1052" w:val="left"/>
        </w:tabs>
        <w:numPr>
          <w:ilvl w:val="2"/>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3.85% (3)</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2"/>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252" w:hanging="252"/>
        <w:spacing w:after="0" w:line="259" w:lineRule="auto"/>
        <w:tabs>
          <w:tab w:leader="none" w:pos="2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Schedule 13G is filed by Versant Venture Capital I, L.P. (“VVC- I”), Versant Side Fund I, L.P. (“VSF-I), Versant Affiliates Fund I-A, L.P. (“VAF-I-A”), Versant Affiliates Fund I-B, L.P. (“VAF-I-B”), Versant Ventures I, LLC (“VVI-LLC”), Brian G. Atwood (“BGA”), Samuel D. Colella (“SDC”), Ross A. Jaffe (“RAJ”), William J. Link (“WJL”), Donald B. Milder (“DBM”) Barbara N. Lubash (“BNL”) and Rebecca B. Robertson (“RBR”) (collectively, the “Versant Entities”). The Versant Entities expressly disclaim status as a “group” for purposes of this Schedule 13G.</w:t>
      </w:r>
    </w:p>
    <w:p>
      <w:pPr>
        <w:spacing w:after="0" w:line="186" w:lineRule="exact"/>
        <w:rPr>
          <w:rFonts w:ascii="Arial" w:cs="Arial" w:eastAsia="Arial" w:hAnsi="Arial"/>
          <w:sz w:val="18"/>
          <w:szCs w:val="18"/>
          <w:color w:val="auto"/>
        </w:rPr>
      </w:pPr>
    </w:p>
    <w:p>
      <w:pPr>
        <w:jc w:val="both"/>
        <w:ind w:left="252" w:right="520" w:hanging="252"/>
        <w:spacing w:after="0" w:line="312" w:lineRule="auto"/>
        <w:tabs>
          <w:tab w:leader="none" w:pos="244" w:val="left"/>
        </w:tabs>
        <w:numPr>
          <w:ilvl w:val="0"/>
          <w:numId w:val="5"/>
        </w:numPr>
        <w:rPr>
          <w:rFonts w:ascii="Arial" w:cs="Arial" w:eastAsia="Arial" w:hAnsi="Arial"/>
          <w:sz w:val="16"/>
          <w:szCs w:val="16"/>
          <w:color w:val="auto"/>
        </w:rPr>
      </w:pPr>
      <w:r>
        <w:rPr>
          <w:rFonts w:ascii="Arial" w:cs="Arial" w:eastAsia="Arial" w:hAnsi="Arial"/>
          <w:sz w:val="16"/>
          <w:szCs w:val="16"/>
          <w:color w:val="auto"/>
        </w:rPr>
        <w:t>VVI-LLC serves as the general partner of VVC- I and owns no securities of the Issuer directly. BGA, SDC, RAJ , WJL, DBM, BNL and RBR are directors and/or members of VVI-LLC and share voting and dispositive power over the shares held by VVC-I. The information with respect to the ownership of the Common Stock of the Issuer by the persons filing this statement on Schedule 13G is provided as of December 31, 2012.</w:t>
      </w:r>
    </w:p>
    <w:p>
      <w:pPr>
        <w:spacing w:after="0" w:line="146" w:lineRule="exact"/>
        <w:rPr>
          <w:rFonts w:ascii="Arial" w:cs="Arial" w:eastAsia="Arial" w:hAnsi="Arial"/>
          <w:sz w:val="16"/>
          <w:szCs w:val="16"/>
          <w:color w:val="auto"/>
        </w:rPr>
      </w:pPr>
    </w:p>
    <w:p>
      <w:pPr>
        <w:ind w:left="252" w:right="200" w:hanging="252"/>
        <w:spacing w:after="0" w:line="277" w:lineRule="auto"/>
        <w:tabs>
          <w:tab w:leader="none" w:pos="2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percentage is calculated based upon 24,989,328 shares of the Issuer’s common stock outstanding as of October 31, 2012 as set forth in the Issuer’s most recent 10-Q filed with the Securities and Exchange Commission on November 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-1819910</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-2369185</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-2917825</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-1605915</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52" w:right="8260" w:hanging="620"/>
        <w:spacing w:after="0" w:line="342" w:lineRule="auto"/>
        <w:tabs>
          <w:tab w:leader="none" w:pos="1052"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Names of Reporting Persons Versant Side Fund I, L.P.</w:t>
      </w:r>
    </w:p>
    <w:p>
      <w:pPr>
        <w:spacing w:after="0" w:line="339" w:lineRule="exact"/>
        <w:rPr>
          <w:rFonts w:ascii="Arial" w:cs="Arial" w:eastAsia="Arial" w:hAnsi="Arial"/>
          <w:sz w:val="16"/>
          <w:szCs w:val="16"/>
          <w:color w:val="auto"/>
        </w:rPr>
      </w:pPr>
    </w:p>
    <w:p>
      <w:pPr>
        <w:ind w:left="1052" w:hanging="620"/>
        <w:spacing w:after="0"/>
        <w:tabs>
          <w:tab w:leader="none" w:pos="1052"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12" w:hanging="1159"/>
        <w:spacing w:after="0"/>
        <w:tabs>
          <w:tab w:leader="none" w:pos="2212" w:val="left"/>
        </w:tabs>
        <w:numPr>
          <w:ilvl w:val="1"/>
          <w:numId w:val="6"/>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6"/>
        </w:numPr>
        <w:rPr>
          <w:rFonts w:ascii="Arial" w:cs="Arial" w:eastAsia="Arial" w:hAnsi="Arial"/>
          <w:sz w:val="18"/>
          <w:szCs w:val="18"/>
          <w:color w:val="auto"/>
        </w:rPr>
      </w:pPr>
      <w:r>
        <w:rPr>
          <w:rFonts w:ascii="Arial" w:cs="Arial" w:eastAsia="Arial" w:hAnsi="Arial"/>
          <w:sz w:val="18"/>
          <w:szCs w:val="18"/>
          <w:color w:val="auto"/>
        </w:rPr>
        <w:t>x (1)</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jc w:val="both"/>
        <w:ind w:left="1052" w:right="7700" w:hanging="620"/>
        <w:spacing w:after="0" w:line="342" w:lineRule="auto"/>
        <w:tabs>
          <w:tab w:leader="none" w:pos="1052"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-563245</wp:posOffset>
            </wp:positionV>
            <wp:extent cx="6612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-974725</wp:posOffset>
            </wp:positionV>
            <wp:extent cx="58743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-1189355</wp:posOffset>
            </wp:positionV>
            <wp:extent cx="58743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-1806575</wp:posOffset>
            </wp:positionV>
            <wp:extent cx="6612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72"/>
          </w:cols>
          <w:pgMar w:left="248" w:top="125" w:right="279" w:bottom="139" w:gutter="0" w:footer="0" w:header="0"/>
        </w:sectPr>
      </w:pPr>
    </w:p>
    <w:p>
      <w:pPr>
        <w:spacing w:after="0" w:line="353"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20,017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20,017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620"/>
          </w:cols>
          <w:pgMar w:left="248" w:top="125" w:right="279" w:bottom="139" w:gutter="0" w:footer="0" w:header="0"/>
          <w:type w:val="continuous"/>
        </w:sectPr>
      </w:pPr>
    </w:p>
    <w:p>
      <w:pPr>
        <w:spacing w:after="0" w:line="227" w:lineRule="exact"/>
        <w:rPr>
          <w:sz w:val="20"/>
          <w:szCs w:val="20"/>
          <w:color w:val="auto"/>
        </w:rPr>
      </w:pPr>
    </w:p>
    <w:p>
      <w:pPr>
        <w:ind w:left="1052" w:right="5520" w:hanging="620"/>
        <w:spacing w:after="0" w:line="277" w:lineRule="auto"/>
        <w:tabs>
          <w:tab w:leader="none" w:pos="1052"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20,017 (2)</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0"/>
          <w:numId w:val="7"/>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52" w:right="6640" w:hanging="620"/>
        <w:spacing w:after="0" w:line="277" w:lineRule="auto"/>
        <w:tabs>
          <w:tab w:leader="none" w:pos="1052"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0.08% (3)</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40005</wp:posOffset>
            </wp:positionV>
            <wp:extent cx="6612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-508000</wp:posOffset>
            </wp:positionV>
            <wp:extent cx="6612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-1057275</wp:posOffset>
            </wp:positionV>
            <wp:extent cx="6612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-1468755</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254635</wp:posOffset>
            </wp:positionV>
            <wp:extent cx="18268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72"/>
          </w:cols>
          <w:pgMar w:left="248" w:top="125" w:right="279" w:bottom="139" w:gutter="0" w:footer="0" w:header="0"/>
          <w:type w:val="continuous"/>
        </w:sectPr>
      </w:pPr>
    </w:p>
    <w:bookmarkStart w:id="2" w:name="page3"/>
    <w:bookmarkEnd w:id="2"/>
    <w:p>
      <w:pPr>
        <w:ind w:left="252" w:right="20" w:hanging="252"/>
        <w:spacing w:after="0" w:line="259" w:lineRule="auto"/>
        <w:tabs>
          <w:tab w:leader="none" w:pos="24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Schedule 13G is filed by Versant Venture Capital I, L.P. (“VVC- I”), Versant Side Fund I, L.P. (“VSF-I), Versant Affiliates Fund I-A, L.P. (“VAF-I-A”), Versant Affiliates Fund I-B, L.P. (“VAF-I-B”), Versant Ventures I, LLC (“VVI-LLC”), Brian G. Atwood (“BGA”), Samuel D. Colella (“SDC”), Ross A. Jaffe (“RAJ”), William J. Link (“WJL”), Donald B. Milder (“DBM”) Barbara N. Lubash (“BNL”) and Rebecca B. Robertson (“RBR”) (collectively, the “Versant Entities”). The Versant Entities expressly disclaim status as a “group” for purposes of this Schedule 13G.</w:t>
      </w:r>
    </w:p>
    <w:p>
      <w:pPr>
        <w:spacing w:after="0" w:line="186" w:lineRule="exact"/>
        <w:rPr>
          <w:rFonts w:ascii="Arial" w:cs="Arial" w:eastAsia="Arial" w:hAnsi="Arial"/>
          <w:sz w:val="18"/>
          <w:szCs w:val="18"/>
          <w:color w:val="auto"/>
        </w:rPr>
      </w:pPr>
    </w:p>
    <w:p>
      <w:pPr>
        <w:jc w:val="both"/>
        <w:ind w:left="252" w:hanging="252"/>
        <w:spacing w:after="0" w:line="286" w:lineRule="auto"/>
        <w:tabs>
          <w:tab w:leader="none" w:pos="244" w:val="left"/>
        </w:tabs>
        <w:numPr>
          <w:ilvl w:val="0"/>
          <w:numId w:val="8"/>
        </w:numPr>
        <w:rPr>
          <w:rFonts w:ascii="Arial" w:cs="Arial" w:eastAsia="Arial" w:hAnsi="Arial"/>
          <w:sz w:val="17"/>
          <w:szCs w:val="17"/>
          <w:color w:val="auto"/>
        </w:rPr>
      </w:pPr>
      <w:r>
        <w:rPr>
          <w:rFonts w:ascii="Arial" w:cs="Arial" w:eastAsia="Arial" w:hAnsi="Arial"/>
          <w:sz w:val="17"/>
          <w:szCs w:val="17"/>
          <w:color w:val="auto"/>
        </w:rPr>
        <w:t>VVI-LLC serves as the general partner of VSF-I and owns no securities of the Issuer directly. BGA, SDC, RAJ , WJL, DBM, BNL and RBR are directors and/or members of VVI-LLC and share voting and dispositive power over the shares held by VSF-I. The information with respect to the ownership of the Common Stock of the Issuer by the persons filing this statement on Schedule 13G is provided as of December 31, 2012.</w:t>
      </w:r>
    </w:p>
    <w:p>
      <w:pPr>
        <w:spacing w:after="0" w:line="165" w:lineRule="exact"/>
        <w:rPr>
          <w:rFonts w:ascii="Arial" w:cs="Arial" w:eastAsia="Arial" w:hAnsi="Arial"/>
          <w:sz w:val="17"/>
          <w:szCs w:val="17"/>
          <w:color w:val="auto"/>
        </w:rPr>
      </w:pPr>
    </w:p>
    <w:p>
      <w:pPr>
        <w:ind w:left="252" w:right="220" w:hanging="252"/>
        <w:spacing w:after="0" w:line="277" w:lineRule="auto"/>
        <w:tabs>
          <w:tab w:leader="none" w:pos="24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percentage is calculated based upon 24,989,328 shares of the Issuer’s common stock outstanding as of October 31, 2012 as set forth in the Issuer’s most recent 10-Q filed with the Securities and Exchange Commission on November 9, 2012.</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52" w:right="8000" w:hanging="620"/>
        <w:spacing w:after="0" w:line="342" w:lineRule="auto"/>
        <w:tabs>
          <w:tab w:leader="none" w:pos="1052" w:val="left"/>
        </w:tabs>
        <w:numPr>
          <w:ilvl w:val="0"/>
          <w:numId w:val="9"/>
        </w:numPr>
        <w:rPr>
          <w:rFonts w:ascii="Arial" w:cs="Arial" w:eastAsia="Arial" w:hAnsi="Arial"/>
          <w:sz w:val="16"/>
          <w:szCs w:val="16"/>
          <w:color w:val="auto"/>
        </w:rPr>
      </w:pPr>
      <w:r>
        <w:rPr>
          <w:rFonts w:ascii="Arial" w:cs="Arial" w:eastAsia="Arial" w:hAnsi="Arial"/>
          <w:sz w:val="16"/>
          <w:szCs w:val="16"/>
          <w:color w:val="auto"/>
        </w:rPr>
        <w:t>Names of Reporting Persons Versant Affiliates Fund I-A, L.P.</w:t>
      </w:r>
    </w:p>
    <w:p>
      <w:pPr>
        <w:spacing w:after="0" w:line="339" w:lineRule="exact"/>
        <w:rPr>
          <w:rFonts w:ascii="Arial" w:cs="Arial" w:eastAsia="Arial" w:hAnsi="Arial"/>
          <w:sz w:val="16"/>
          <w:szCs w:val="16"/>
          <w:color w:val="auto"/>
        </w:rPr>
      </w:pPr>
    </w:p>
    <w:p>
      <w:pPr>
        <w:ind w:left="1052" w:hanging="620"/>
        <w:spacing w:after="0"/>
        <w:tabs>
          <w:tab w:leader="none" w:pos="1052"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12" w:hanging="1159"/>
        <w:spacing w:after="0"/>
        <w:tabs>
          <w:tab w:leader="none" w:pos="2212" w:val="left"/>
        </w:tabs>
        <w:numPr>
          <w:ilvl w:val="1"/>
          <w:numId w:val="9"/>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9"/>
        </w:numPr>
        <w:rPr>
          <w:rFonts w:ascii="Arial" w:cs="Arial" w:eastAsia="Arial" w:hAnsi="Arial"/>
          <w:sz w:val="18"/>
          <w:szCs w:val="18"/>
          <w:color w:val="auto"/>
        </w:rPr>
      </w:pPr>
      <w:r>
        <w:rPr>
          <w:rFonts w:ascii="Arial" w:cs="Arial" w:eastAsia="Arial" w:hAnsi="Arial"/>
          <w:sz w:val="18"/>
          <w:szCs w:val="18"/>
          <w:color w:val="auto"/>
        </w:rPr>
        <w:t>x (1)</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jc w:val="both"/>
        <w:ind w:left="1052" w:right="7720" w:hanging="620"/>
        <w:spacing w:after="0" w:line="342" w:lineRule="auto"/>
        <w:tabs>
          <w:tab w:leader="none" w:pos="1052" w:val="left"/>
        </w:tabs>
        <w:numPr>
          <w:ilvl w:val="0"/>
          <w:numId w:val="9"/>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-563245</wp:posOffset>
            </wp:positionV>
            <wp:extent cx="6612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-974725</wp:posOffset>
            </wp:positionV>
            <wp:extent cx="58743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-1189355</wp:posOffset>
            </wp:positionV>
            <wp:extent cx="58743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-1806575</wp:posOffset>
            </wp:positionV>
            <wp:extent cx="6612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92"/>
          </w:cols>
          <w:pgMar w:left="248" w:top="125" w:right="259" w:bottom="0" w:gutter="0" w:footer="0" w:header="0"/>
        </w:sectPr>
      </w:pPr>
    </w:p>
    <w:p>
      <w:pPr>
        <w:spacing w:after="0" w:line="353"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17,696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17,696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640"/>
          </w:cols>
          <w:pgMar w:left="248" w:top="125" w:right="259" w:bottom="0" w:gutter="0" w:footer="0" w:header="0"/>
          <w:type w:val="continuous"/>
        </w:sectPr>
      </w:pPr>
    </w:p>
    <w:p>
      <w:pPr>
        <w:spacing w:after="0" w:line="227" w:lineRule="exact"/>
        <w:rPr>
          <w:sz w:val="20"/>
          <w:szCs w:val="20"/>
          <w:color w:val="auto"/>
        </w:rPr>
      </w:pPr>
    </w:p>
    <w:p>
      <w:pPr>
        <w:ind w:left="1052" w:right="5540" w:hanging="620"/>
        <w:spacing w:after="0" w:line="277" w:lineRule="auto"/>
        <w:tabs>
          <w:tab w:leader="none" w:pos="1052" w:val="left"/>
        </w:tabs>
        <w:numPr>
          <w:ilvl w:val="2"/>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17,696 (2)</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2"/>
          <w:numId w:val="1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6660" w:hanging="620"/>
        <w:spacing w:after="0" w:line="277" w:lineRule="auto"/>
        <w:tabs>
          <w:tab w:leader="none" w:pos="1052" w:val="left"/>
        </w:tabs>
        <w:numPr>
          <w:ilvl w:val="2"/>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 0.07% (3)</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2"/>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252" w:right="20" w:hanging="252"/>
        <w:spacing w:after="0" w:line="259" w:lineRule="auto"/>
        <w:tabs>
          <w:tab w:leader="none" w:pos="2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Schedule 13G is filed by Versant Venture Capital I, L.P. (“VVC- I”), Versant Side Fund I, L.P. (“VSF-I), Versant Affiliates Fund I-A, L.P. (“VAF-I-A”), Versant Affiliates Fund I-B, L.P. (“VAF-I-B”), Versant Ventures I, LLC (“VVI-LLC”), Brian G. Atwood (“BGA”), Samuel D. Colella (“SDC”), Ross A. Jaffe (“RAJ”), William J. Link (“WJL”), Donald B. Milder (“DBM”) Barbara N. Lubash (“BNL”) and Rebecca B. Robertson (“RBR”) (collectively, the “Versant Entities”). The Versant Entities expressly disclaim status as a “group” for purposes of this Schedule 13G.</w:t>
      </w:r>
    </w:p>
    <w:p>
      <w:pPr>
        <w:spacing w:after="0" w:line="186" w:lineRule="exact"/>
        <w:rPr>
          <w:rFonts w:ascii="Arial" w:cs="Arial" w:eastAsia="Arial" w:hAnsi="Arial"/>
          <w:sz w:val="18"/>
          <w:szCs w:val="18"/>
          <w:color w:val="auto"/>
        </w:rPr>
      </w:pPr>
    </w:p>
    <w:p>
      <w:pPr>
        <w:ind w:left="252" w:right="400" w:hanging="252"/>
        <w:spacing w:after="0" w:line="312" w:lineRule="auto"/>
        <w:tabs>
          <w:tab w:leader="none" w:pos="244" w:val="left"/>
        </w:tabs>
        <w:numPr>
          <w:ilvl w:val="0"/>
          <w:numId w:val="11"/>
        </w:numPr>
        <w:rPr>
          <w:rFonts w:ascii="Arial" w:cs="Arial" w:eastAsia="Arial" w:hAnsi="Arial"/>
          <w:sz w:val="16"/>
          <w:szCs w:val="16"/>
          <w:color w:val="auto"/>
        </w:rPr>
      </w:pPr>
      <w:r>
        <w:rPr>
          <w:rFonts w:ascii="Arial" w:cs="Arial" w:eastAsia="Arial" w:hAnsi="Arial"/>
          <w:sz w:val="16"/>
          <w:szCs w:val="16"/>
          <w:color w:val="auto"/>
        </w:rPr>
        <w:t>VVI-LLC serves as the general partner of VAF-I-A and owns no securities of the Issuer directly. BGA, SDC, RAJ , WJL, DBM, BNL and RBR are directors and/or members of VVI-LLC and share voting and dispositive power over the shares held by VAF-I-A. The information with respect to the ownership of the Common Stock of the Issuer by the persons filing this statement on Schedule 13G is provided as of December 31, 2012.</w:t>
      </w:r>
    </w:p>
    <w:p>
      <w:pPr>
        <w:spacing w:after="0" w:line="146" w:lineRule="exact"/>
        <w:rPr>
          <w:rFonts w:ascii="Arial" w:cs="Arial" w:eastAsia="Arial" w:hAnsi="Arial"/>
          <w:sz w:val="16"/>
          <w:szCs w:val="16"/>
          <w:color w:val="auto"/>
        </w:rPr>
      </w:pPr>
    </w:p>
    <w:p>
      <w:pPr>
        <w:ind w:left="252" w:right="220" w:hanging="252"/>
        <w:spacing w:after="0" w:line="277" w:lineRule="auto"/>
        <w:tabs>
          <w:tab w:leader="none" w:pos="2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percentage is calculated based upon 24,989,328 shares of the Issuer’s common stock outstanding as of October 31, 2012 as set forth in the Issuer’s most recent 10-Q filed with the Securities and Exchange Commission on November 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-1819910</wp:posOffset>
            </wp:positionV>
            <wp:extent cx="6612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-2369185</wp:posOffset>
            </wp:positionV>
            <wp:extent cx="6612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-2917825</wp:posOffset>
            </wp:positionV>
            <wp:extent cx="6612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-3329305</wp:posOffset>
            </wp:positionV>
            <wp:extent cx="6612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-1605915</wp:posOffset>
            </wp:positionV>
            <wp:extent cx="1826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92"/>
          </w:cols>
          <w:pgMar w:left="248" w:top="125" w:right="259" w:bottom="0" w:gutter="0" w:footer="0" w:header="0"/>
          <w:type w:val="continuous"/>
        </w:sectPr>
      </w:pPr>
    </w:p>
    <w:bookmarkStart w:id="3" w:name="page4"/>
    <w:bookmarkEnd w:id="3"/>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52" w:right="7980" w:hanging="620"/>
        <w:spacing w:after="0" w:line="342" w:lineRule="auto"/>
        <w:tabs>
          <w:tab w:leader="none" w:pos="1052" w:val="left"/>
        </w:tabs>
        <w:numPr>
          <w:ilvl w:val="0"/>
          <w:numId w:val="12"/>
        </w:numPr>
        <w:rPr>
          <w:rFonts w:ascii="Arial" w:cs="Arial" w:eastAsia="Arial" w:hAnsi="Arial"/>
          <w:sz w:val="16"/>
          <w:szCs w:val="16"/>
          <w:color w:val="auto"/>
        </w:rPr>
      </w:pPr>
      <w:r>
        <w:rPr>
          <w:rFonts w:ascii="Arial" w:cs="Arial" w:eastAsia="Arial" w:hAnsi="Arial"/>
          <w:sz w:val="16"/>
          <w:szCs w:val="16"/>
          <w:color w:val="auto"/>
        </w:rPr>
        <w:t>Names of Reporting Persons Versant Affiliates Fund I-B, L.P.</w:t>
      </w:r>
    </w:p>
    <w:p>
      <w:pPr>
        <w:spacing w:after="0" w:line="339" w:lineRule="exact"/>
        <w:rPr>
          <w:rFonts w:ascii="Arial" w:cs="Arial" w:eastAsia="Arial" w:hAnsi="Arial"/>
          <w:sz w:val="16"/>
          <w:szCs w:val="16"/>
          <w:color w:val="auto"/>
        </w:rPr>
      </w:pPr>
    </w:p>
    <w:p>
      <w:pPr>
        <w:ind w:left="1052" w:hanging="620"/>
        <w:spacing w:after="0"/>
        <w:tabs>
          <w:tab w:leader="none" w:pos="1052"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212" w:hanging="1159"/>
        <w:spacing w:after="0"/>
        <w:tabs>
          <w:tab w:leader="none" w:pos="2212" w:val="left"/>
        </w:tabs>
        <w:numPr>
          <w:ilvl w:val="1"/>
          <w:numId w:val="1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12"/>
        </w:numPr>
        <w:rPr>
          <w:rFonts w:ascii="Arial" w:cs="Arial" w:eastAsia="Arial" w:hAnsi="Arial"/>
          <w:sz w:val="18"/>
          <w:szCs w:val="18"/>
          <w:color w:val="auto"/>
        </w:rPr>
      </w:pPr>
      <w:r>
        <w:rPr>
          <w:rFonts w:ascii="Arial" w:cs="Arial" w:eastAsia="Arial" w:hAnsi="Arial"/>
          <w:sz w:val="18"/>
          <w:szCs w:val="18"/>
          <w:color w:val="auto"/>
        </w:rPr>
        <w:t>x (1)</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jc w:val="both"/>
        <w:ind w:left="1052" w:right="7700" w:hanging="620"/>
        <w:spacing w:after="0" w:line="342" w:lineRule="auto"/>
        <w:tabs>
          <w:tab w:leader="none" w:pos="1052" w:val="left"/>
        </w:tabs>
        <w:numPr>
          <w:ilvl w:val="0"/>
          <w:numId w:val="12"/>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-563245</wp:posOffset>
            </wp:positionV>
            <wp:extent cx="6612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-974725</wp:posOffset>
            </wp:positionV>
            <wp:extent cx="58743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-1189355</wp:posOffset>
            </wp:positionV>
            <wp:extent cx="58743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-1806575</wp:posOffset>
            </wp:positionV>
            <wp:extent cx="6612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72"/>
          </w:cols>
          <w:pgMar w:left="248" w:top="341" w:right="279" w:bottom="0" w:gutter="0" w:footer="0" w:header="0"/>
        </w:sectPr>
      </w:pPr>
    </w:p>
    <w:p>
      <w:pPr>
        <w:spacing w:after="0" w:line="353"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51,878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51,878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620"/>
          </w:cols>
          <w:pgMar w:left="248" w:top="341" w:right="279" w:bottom="0" w:gutter="0" w:footer="0" w:header="0"/>
          <w:type w:val="continuous"/>
        </w:sectPr>
      </w:pPr>
    </w:p>
    <w:p>
      <w:pPr>
        <w:spacing w:after="0" w:line="227" w:lineRule="exact"/>
        <w:rPr>
          <w:sz w:val="20"/>
          <w:szCs w:val="20"/>
          <w:color w:val="auto"/>
        </w:rPr>
      </w:pPr>
    </w:p>
    <w:p>
      <w:pPr>
        <w:ind w:left="1052" w:right="5520" w:hanging="620"/>
        <w:spacing w:after="0" w:line="277" w:lineRule="auto"/>
        <w:tabs>
          <w:tab w:leader="none" w:pos="1052" w:val="left"/>
        </w:tabs>
        <w:numPr>
          <w:ilvl w:val="2"/>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51,878 (2)</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2"/>
          <w:numId w:val="1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6640" w:hanging="620"/>
        <w:spacing w:after="0" w:line="277" w:lineRule="auto"/>
        <w:tabs>
          <w:tab w:leader="none" w:pos="1052" w:val="left"/>
        </w:tabs>
        <w:numPr>
          <w:ilvl w:val="2"/>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0.21% (3)</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2"/>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252" w:hanging="252"/>
        <w:spacing w:after="0" w:line="259" w:lineRule="auto"/>
        <w:tabs>
          <w:tab w:leader="none" w:pos="2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Schedule 13G is filed by Versant Venture Capital I, L.P. (“VVC- I”), Versant Side Fund I, L.P. (“VSF-I), Versant Affiliates Fund I-A, L.P. (“VAF-I-A”), Versant Affiliates Fund I-B, L.P. (“VAF-I-B”), Versant Ventures I, LLC (“VVI-LLC”), Brian G. Atwood (“BGA”), Samuel D. Colella (“SDC”), Ross A. Jaffe (“RAJ”), William J. Link (“WJL”), Donald B. Milder (“DBM”) Barbara N. Lubash (“BNL”) and Rebecca B. Robertson (“RBR”) (collectively, the “Versant Entities”). The Versant Entities expressly disclaim status as a “group” for purposes of this Schedule 13G.</w:t>
      </w:r>
    </w:p>
    <w:p>
      <w:pPr>
        <w:spacing w:after="0" w:line="186" w:lineRule="exact"/>
        <w:rPr>
          <w:rFonts w:ascii="Arial" w:cs="Arial" w:eastAsia="Arial" w:hAnsi="Arial"/>
          <w:sz w:val="18"/>
          <w:szCs w:val="18"/>
          <w:color w:val="auto"/>
        </w:rPr>
      </w:pPr>
    </w:p>
    <w:p>
      <w:pPr>
        <w:ind w:left="252" w:right="380" w:hanging="252"/>
        <w:spacing w:after="0" w:line="312" w:lineRule="auto"/>
        <w:tabs>
          <w:tab w:leader="none" w:pos="244" w:val="left"/>
        </w:tabs>
        <w:numPr>
          <w:ilvl w:val="0"/>
          <w:numId w:val="14"/>
        </w:numPr>
        <w:rPr>
          <w:rFonts w:ascii="Arial" w:cs="Arial" w:eastAsia="Arial" w:hAnsi="Arial"/>
          <w:sz w:val="16"/>
          <w:szCs w:val="16"/>
          <w:color w:val="auto"/>
        </w:rPr>
      </w:pPr>
      <w:r>
        <w:rPr>
          <w:rFonts w:ascii="Arial" w:cs="Arial" w:eastAsia="Arial" w:hAnsi="Arial"/>
          <w:sz w:val="16"/>
          <w:szCs w:val="16"/>
          <w:color w:val="auto"/>
        </w:rPr>
        <w:t>VVI-LLC serves as the general partner of VAF-I-B and owns no securities of the Issuer directly. BGA, SDC, RAJ , WJL, DBM, BNL and RBR are directors and/or members of VVI-LLC and share voting and dispositive power over the shares held by VAF-I-B. The information with respect to the ownership of the Common Stock of the Issuer by the persons filing this statement on Schedule 13G is provided as of December 31, 2012.</w:t>
      </w:r>
    </w:p>
    <w:p>
      <w:pPr>
        <w:spacing w:after="0" w:line="146" w:lineRule="exact"/>
        <w:rPr>
          <w:rFonts w:ascii="Arial" w:cs="Arial" w:eastAsia="Arial" w:hAnsi="Arial"/>
          <w:sz w:val="16"/>
          <w:szCs w:val="16"/>
          <w:color w:val="auto"/>
        </w:rPr>
      </w:pPr>
    </w:p>
    <w:p>
      <w:pPr>
        <w:ind w:left="252" w:right="200" w:hanging="252"/>
        <w:spacing w:after="0" w:line="277" w:lineRule="auto"/>
        <w:tabs>
          <w:tab w:leader="none" w:pos="2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percentage is calculated based upon 24,989,328 shares of the Issuer’s common stock outstanding as of October 31, 2012 as set forth in the Issuer’s most recent 10-Q filed with the Securities and Exchange Commission on November 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-1819910</wp:posOffset>
            </wp:positionV>
            <wp:extent cx="6612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-2369185</wp:posOffset>
            </wp:positionV>
            <wp:extent cx="6612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-2917825</wp:posOffset>
            </wp:positionV>
            <wp:extent cx="6612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-3329305</wp:posOffset>
            </wp:positionV>
            <wp:extent cx="6612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-1605915</wp:posOffset>
            </wp:positionV>
            <wp:extent cx="1826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52" w:right="8260" w:hanging="620"/>
        <w:spacing w:after="0" w:line="342" w:lineRule="auto"/>
        <w:tabs>
          <w:tab w:leader="none" w:pos="10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Names of Reporting Persons Versant Ventures I, LLC</w:t>
      </w:r>
    </w:p>
    <w:p>
      <w:pPr>
        <w:spacing w:after="0" w:line="339" w:lineRule="exact"/>
        <w:rPr>
          <w:rFonts w:ascii="Arial" w:cs="Arial" w:eastAsia="Arial" w:hAnsi="Arial"/>
          <w:sz w:val="16"/>
          <w:szCs w:val="16"/>
          <w:color w:val="auto"/>
        </w:rPr>
      </w:pPr>
    </w:p>
    <w:p>
      <w:pPr>
        <w:ind w:left="1052" w:hanging="620"/>
        <w:spacing w:after="0"/>
        <w:tabs>
          <w:tab w:leader="none" w:pos="10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-361950</wp:posOffset>
            </wp:positionV>
            <wp:extent cx="6612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72"/>
          </w:cols>
          <w:pgMar w:left="248" w:top="341" w:right="279" w:bottom="0" w:gutter="0" w:footer="0" w:header="0"/>
          <w:type w:val="continuous"/>
        </w:sectPr>
      </w:pPr>
    </w:p>
    <w:bookmarkStart w:id="4" w:name="page5"/>
    <w:bookmarkEnd w:id="4"/>
    <w:p>
      <w:pPr>
        <w:spacing w:after="0" w:line="137" w:lineRule="exact"/>
        <w:rPr>
          <w:sz w:val="20"/>
          <w:szCs w:val="20"/>
          <w:color w:val="auto"/>
        </w:rPr>
      </w:pPr>
    </w:p>
    <w:p>
      <w:pPr>
        <w:ind w:left="2212" w:hanging="1159"/>
        <w:spacing w:after="0"/>
        <w:tabs>
          <w:tab w:leader="none" w:pos="2212" w:val="left"/>
        </w:tabs>
        <w:numPr>
          <w:ilvl w:val="1"/>
          <w:numId w:val="16"/>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16"/>
        </w:numPr>
        <w:rPr>
          <w:rFonts w:ascii="Arial" w:cs="Arial" w:eastAsia="Arial" w:hAnsi="Arial"/>
          <w:sz w:val="18"/>
          <w:szCs w:val="18"/>
          <w:color w:val="auto"/>
        </w:rPr>
      </w:pPr>
      <w:r>
        <w:rPr>
          <w:rFonts w:ascii="Arial" w:cs="Arial" w:eastAsia="Arial" w:hAnsi="Arial"/>
          <w:sz w:val="18"/>
          <w:szCs w:val="18"/>
          <w:color w:val="auto"/>
        </w:rPr>
        <w:t>x (1)</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jc w:val="both"/>
        <w:ind w:left="1052" w:right="7700" w:hanging="620"/>
        <w:spacing w:after="0" w:line="342" w:lineRule="auto"/>
        <w:tabs>
          <w:tab w:leader="none" w:pos="1052" w:val="left"/>
        </w:tabs>
        <w:numPr>
          <w:ilvl w:val="0"/>
          <w:numId w:val="17"/>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-563245</wp:posOffset>
            </wp:positionV>
            <wp:extent cx="6612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-974725</wp:posOffset>
            </wp:positionV>
            <wp:extent cx="58743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-1189355</wp:posOffset>
            </wp:positionV>
            <wp:extent cx="58743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ectPr>
          <w:pgSz w:w="11900" w:h="16975" w:orient="portrait"/>
          <w:cols w:equalWidth="0" w:num="1">
            <w:col w:w="11372"/>
          </w:cols>
          <w:pgMar w:left="248" w:top="125" w:right="279" w:bottom="0" w:gutter="0" w:footer="0" w:header="0"/>
        </w:sectPr>
      </w:pPr>
    </w:p>
    <w:p>
      <w:pPr>
        <w:spacing w:after="0" w:line="353"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1,050,940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1,050,940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975" w:orient="portrait"/>
          <w:cols w:equalWidth="0" w:num="2">
            <w:col w:w="2032" w:space="720"/>
            <w:col w:w="8620"/>
          </w:cols>
          <w:pgMar w:left="248" w:top="125" w:right="279" w:bottom="0" w:gutter="0" w:footer="0" w:header="0"/>
          <w:type w:val="continuous"/>
        </w:sectPr>
      </w:pPr>
    </w:p>
    <w:p>
      <w:pPr>
        <w:spacing w:after="0" w:line="227" w:lineRule="exact"/>
        <w:rPr>
          <w:sz w:val="20"/>
          <w:szCs w:val="20"/>
          <w:color w:val="auto"/>
        </w:rPr>
      </w:pPr>
    </w:p>
    <w:p>
      <w:pPr>
        <w:ind w:left="1052" w:right="5520" w:hanging="620"/>
        <w:spacing w:after="0" w:line="277" w:lineRule="auto"/>
        <w:tabs>
          <w:tab w:leader="none" w:pos="1052" w:val="left"/>
        </w:tabs>
        <w:numPr>
          <w:ilvl w:val="2"/>
          <w:numId w:val="1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1,050,940 (2)</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2"/>
          <w:numId w:val="1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6640" w:hanging="620"/>
        <w:spacing w:after="0" w:line="277" w:lineRule="auto"/>
        <w:tabs>
          <w:tab w:leader="none" w:pos="1052" w:val="left"/>
        </w:tabs>
        <w:numPr>
          <w:ilvl w:val="2"/>
          <w:numId w:val="18"/>
        </w:numPr>
        <w:rPr>
          <w:rFonts w:ascii="Arial" w:cs="Arial" w:eastAsia="Arial" w:hAnsi="Arial"/>
          <w:sz w:val="18"/>
          <w:szCs w:val="18"/>
          <w:color w:val="auto"/>
        </w:rPr>
      </w:pPr>
      <w:r>
        <w:rPr>
          <w:rFonts w:ascii="Arial" w:cs="Arial" w:eastAsia="Arial" w:hAnsi="Arial"/>
          <w:sz w:val="18"/>
          <w:szCs w:val="18"/>
          <w:color w:val="auto"/>
        </w:rPr>
        <w:t>Percent of Class Represented by Amount in Row 9 4.21% (3)</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2"/>
          <w:numId w:val="1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252" w:hanging="252"/>
        <w:spacing w:after="0" w:line="274" w:lineRule="auto"/>
        <w:tabs>
          <w:tab w:leader="none" w:pos="244"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This Schedule 13G is filed by Versant Venture Capital I, L.P. (“VVC- I”), Versant Side Fund I, L.P. (“VSF-I), Versant Affiliates Fund I-A, L.P. (“VAF-I-A”), Versant Affiliates Fund I-B, L.P. (“VAF-I-B”), Versant Ventures I, LLC (“VVI-LLC”), Brian G. Atwood (“BGA”), Samuel D. Colella (“SDC”), Ross</w:t>
      </w:r>
    </w:p>
    <w:p>
      <w:pPr>
        <w:ind w:left="252" w:right="200" w:firstLine="7"/>
        <w:spacing w:after="0" w:line="261" w:lineRule="auto"/>
        <w:tabs>
          <w:tab w:leader="none" w:pos="472" w:val="left"/>
        </w:tabs>
        <w:numPr>
          <w:ilvl w:val="1"/>
          <w:numId w:val="19"/>
        </w:numPr>
        <w:rPr>
          <w:rFonts w:ascii="Arial" w:cs="Arial" w:eastAsia="Arial" w:hAnsi="Arial"/>
          <w:sz w:val="18"/>
          <w:szCs w:val="18"/>
          <w:color w:val="auto"/>
        </w:rPr>
      </w:pPr>
      <w:r>
        <w:rPr>
          <w:rFonts w:ascii="Arial" w:cs="Arial" w:eastAsia="Arial" w:hAnsi="Arial"/>
          <w:sz w:val="18"/>
          <w:szCs w:val="18"/>
          <w:color w:val="auto"/>
        </w:rPr>
        <w:t>Jaffe (“RAJ”), William J. Link (“WJL”), Donald B. Milder (“DBM”) Barbara N. Lubash (“BNL”) and Rebecca B. Robertson (“RBR”) (collectively, the “Versant Entities”). The Versant Entities expressly disclaim status as a “group” for purposes of this Schedule 13G.</w:t>
      </w:r>
    </w:p>
    <w:p>
      <w:pPr>
        <w:spacing w:after="0" w:line="183" w:lineRule="exact"/>
        <w:rPr>
          <w:rFonts w:ascii="Arial" w:cs="Arial" w:eastAsia="Arial" w:hAnsi="Arial"/>
          <w:sz w:val="18"/>
          <w:szCs w:val="18"/>
          <w:color w:val="auto"/>
        </w:rPr>
      </w:pPr>
    </w:p>
    <w:p>
      <w:pPr>
        <w:ind w:left="252" w:hanging="252"/>
        <w:spacing w:after="0"/>
        <w:tabs>
          <w:tab w:leader="none" w:pos="252"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(i) 961,349 shares held by VVC-I; (ii) 20,017 shares held by VSF-1; (iii) 17,696 shares held by VAF-I-A; and (iv) 51,878 shares held by VAF-I-</w:t>
      </w:r>
    </w:p>
    <w:p>
      <w:pPr>
        <w:spacing w:after="0" w:line="46" w:lineRule="exact"/>
        <w:rPr>
          <w:rFonts w:ascii="Arial" w:cs="Arial" w:eastAsia="Arial" w:hAnsi="Arial"/>
          <w:sz w:val="16"/>
          <w:szCs w:val="16"/>
          <w:color w:val="auto"/>
        </w:rPr>
      </w:pPr>
    </w:p>
    <w:p>
      <w:pPr>
        <w:jc w:val="both"/>
        <w:ind w:left="252" w:right="260" w:firstLine="7"/>
        <w:spacing w:after="0" w:line="254" w:lineRule="auto"/>
        <w:tabs>
          <w:tab w:leader="none" w:pos="507" w:val="left"/>
        </w:tabs>
        <w:numPr>
          <w:ilvl w:val="1"/>
          <w:numId w:val="20"/>
        </w:numPr>
        <w:rPr>
          <w:rFonts w:ascii="Arial" w:cs="Arial" w:eastAsia="Arial" w:hAnsi="Arial"/>
          <w:sz w:val="18"/>
          <w:szCs w:val="18"/>
          <w:color w:val="auto"/>
        </w:rPr>
      </w:pPr>
      <w:r>
        <w:rPr>
          <w:rFonts w:ascii="Arial" w:cs="Arial" w:eastAsia="Arial" w:hAnsi="Arial"/>
          <w:sz w:val="18"/>
          <w:szCs w:val="18"/>
          <w:color w:val="auto"/>
        </w:rPr>
        <w:t>VVI-LLC serves as the general partner of VVC- I, VSF-I, VAF-I-A, and VAF-I-B and owns no securities of the Issuer directly. BGA, SDC, RAJ , WJL, DBM, BNL and RBR are directors and/or members of VVI-LLC and share voting and dispositive power over the shares held by VVC- I, VSF-I, VAF-I-A and VAF-I-B. The information with respect to the ownership of the Common Stock of the Issuer by the persons filing this statement on Schedule 13G is provided as of December 31, 2012.</w:t>
      </w:r>
    </w:p>
    <w:p>
      <w:pPr>
        <w:spacing w:after="0" w:line="189" w:lineRule="exact"/>
        <w:rPr>
          <w:rFonts w:ascii="Arial" w:cs="Arial" w:eastAsia="Arial" w:hAnsi="Arial"/>
          <w:sz w:val="18"/>
          <w:szCs w:val="18"/>
          <w:color w:val="auto"/>
        </w:rPr>
      </w:pPr>
    </w:p>
    <w:p>
      <w:pPr>
        <w:ind w:left="252" w:right="200" w:hanging="252"/>
        <w:spacing w:after="0" w:line="277" w:lineRule="auto"/>
        <w:tabs>
          <w:tab w:leader="none" w:pos="2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percentage is calculated based upon 24,989,328 shares of the Issuer’s common stock outstanding as of October 31, 2012 as set forth in the Issuer’s most recent 10-Q filed with the Securities and Exchange Commission on November 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-2094865</wp:posOffset>
            </wp:positionV>
            <wp:extent cx="6612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-2643505</wp:posOffset>
            </wp:positionV>
            <wp:extent cx="66122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-3192145</wp:posOffset>
            </wp:positionV>
            <wp:extent cx="66122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-3603625</wp:posOffset>
            </wp:positionV>
            <wp:extent cx="66122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-1880235</wp:posOffset>
            </wp:positionV>
            <wp:extent cx="18268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52" w:hanging="620"/>
        <w:spacing w:after="0"/>
        <w:tabs>
          <w:tab w:leader="none" w:pos="10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BRIAN G. ATWOOD</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12" w:hanging="1159"/>
        <w:spacing w:after="0"/>
        <w:tabs>
          <w:tab w:leader="none" w:pos="2212" w:val="left"/>
        </w:tabs>
        <w:numPr>
          <w:ilvl w:val="1"/>
          <w:numId w:val="2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22"/>
        </w:numPr>
        <w:rPr>
          <w:rFonts w:ascii="Arial" w:cs="Arial" w:eastAsia="Arial" w:hAnsi="Arial"/>
          <w:sz w:val="18"/>
          <w:szCs w:val="18"/>
          <w:color w:val="auto"/>
        </w:rPr>
      </w:pPr>
      <w:r>
        <w:rPr>
          <w:rFonts w:ascii="Arial" w:cs="Arial" w:eastAsia="Arial" w:hAnsi="Arial"/>
          <w:sz w:val="18"/>
          <w:szCs w:val="18"/>
          <w:color w:val="auto"/>
        </w:rPr>
        <w:t>x (1)</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7700" w:hanging="620"/>
        <w:spacing w:after="0" w:line="342" w:lineRule="auto"/>
        <w:tabs>
          <w:tab w:leader="none" w:pos="10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-563245</wp:posOffset>
            </wp:positionV>
            <wp:extent cx="66122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-974725</wp:posOffset>
            </wp:positionV>
            <wp:extent cx="587438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-1189355</wp:posOffset>
            </wp:positionV>
            <wp:extent cx="587438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-1806575</wp:posOffset>
            </wp:positionV>
            <wp:extent cx="66122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975" w:orient="portrait"/>
          <w:cols w:equalWidth="0" w:num="1">
            <w:col w:w="11372"/>
          </w:cols>
          <w:pgMar w:left="248" w:top="125" w:right="279" w:bottom="0" w:gutter="0" w:footer="0" w:header="0"/>
          <w:type w:val="continuous"/>
        </w:sectPr>
      </w:pPr>
    </w:p>
    <w:bookmarkStart w:id="5" w:name="page6"/>
    <w:bookmarkEnd w:id="5"/>
    <w:tbl>
      <w:tblPr>
        <w:tblLayout w:type="fixed"/>
        <w:tblInd w:w="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-1112520</wp:posOffset>
            </wp:positionH>
            <wp:positionV relativeFrom="paragraph">
              <wp:posOffset>-370205</wp:posOffset>
            </wp:positionV>
            <wp:extent cx="66122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1,050,940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1,050,940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720"/>
            <w:col w:w="8660"/>
          </w:cols>
          <w:pgMar w:left="240" w:top="557" w:right="239" w:bottom="0" w:gutter="0" w:footer="0" w:header="0"/>
        </w:sectPr>
      </w:pPr>
    </w:p>
    <w:p>
      <w:pPr>
        <w:spacing w:after="0" w:line="227" w:lineRule="exact"/>
        <w:rPr>
          <w:sz w:val="20"/>
          <w:szCs w:val="20"/>
          <w:color w:val="auto"/>
        </w:rPr>
      </w:pPr>
    </w:p>
    <w:p>
      <w:pPr>
        <w:ind w:left="1060" w:right="5560" w:hanging="620"/>
        <w:spacing w:after="0" w:line="277" w:lineRule="auto"/>
        <w:tabs>
          <w:tab w:leader="none" w:pos="10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1,050,940 (2)</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680" w:hanging="620"/>
        <w:spacing w:after="0" w:line="277" w:lineRule="auto"/>
        <w:tabs>
          <w:tab w:leader="none" w:pos="10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Percent of Class Represented by Amount in Row 9 4.21%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260" w:right="40" w:hanging="252"/>
        <w:spacing w:after="0" w:line="274" w:lineRule="auto"/>
        <w:tabs>
          <w:tab w:leader="none" w:pos="252"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This Schedule 13G is filed by Versant Venture Capital I, L.P. (“VVC- I”), Versant Side Fund I, L.P. (“VSF-I), Versant Affiliates Fund I-A, L.P. (“VAF-I-A”), Versant Affiliates Fund I-B, L.P. (“VAF-I-B”), Versant Ventures I, LLC (“VVI-LLC”), Brian G. Atwood (“BGA”), Samuel D. Colella (“SDC”), Ross</w:t>
      </w:r>
    </w:p>
    <w:p>
      <w:pPr>
        <w:ind w:left="260" w:right="240" w:firstLine="7"/>
        <w:spacing w:after="0" w:line="261" w:lineRule="auto"/>
        <w:tabs>
          <w:tab w:leader="none" w:pos="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Jaffe (“RAJ”), William J. Link (“WJL”), Donald B. Milder (“DBM”) Barbara N. Lubash (“BNL”) and Rebecca B. Robertson (“RBR”) (collectively, the “Versant Entities”). The Versant Entities expressly disclaim status as a “group” for purposes of this Schedule 13G.</w:t>
      </w:r>
    </w:p>
    <w:p>
      <w:pPr>
        <w:spacing w:after="0" w:line="183"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(i) 961,349 shares held by VVC-I; (ii) 20,017 shares held by VSF-1; (iii) 17,696 shares held by VAF-I-A; and (iv) 51,878 shares held by VAF-I-</w:t>
      </w:r>
    </w:p>
    <w:p>
      <w:pPr>
        <w:spacing w:after="0" w:line="46" w:lineRule="exact"/>
        <w:rPr>
          <w:rFonts w:ascii="Arial" w:cs="Arial" w:eastAsia="Arial" w:hAnsi="Arial"/>
          <w:sz w:val="16"/>
          <w:szCs w:val="16"/>
          <w:color w:val="auto"/>
        </w:rPr>
      </w:pPr>
    </w:p>
    <w:p>
      <w:pPr>
        <w:jc w:val="both"/>
        <w:ind w:left="260" w:right="300" w:firstLine="7"/>
        <w:spacing w:after="0" w:line="254" w:lineRule="auto"/>
        <w:tabs>
          <w:tab w:leader="none" w:pos="515" w:val="left"/>
        </w:tabs>
        <w:numPr>
          <w:ilvl w:val="1"/>
          <w:numId w:val="25"/>
        </w:numPr>
        <w:rPr>
          <w:rFonts w:ascii="Arial" w:cs="Arial" w:eastAsia="Arial" w:hAnsi="Arial"/>
          <w:sz w:val="18"/>
          <w:szCs w:val="18"/>
          <w:color w:val="auto"/>
        </w:rPr>
      </w:pPr>
      <w:r>
        <w:rPr>
          <w:rFonts w:ascii="Arial" w:cs="Arial" w:eastAsia="Arial" w:hAnsi="Arial"/>
          <w:sz w:val="18"/>
          <w:szCs w:val="18"/>
          <w:color w:val="auto"/>
        </w:rPr>
        <w:t>VVI-LLC serves as the general partner of VVC- I, VSF-I, VAF-I-A, and VAF-I-B and owns no securities of the Issuer directly. BGA, SDC, RAJ , WJL, DBM, BNL and RBR are directors and/or members of VVI-LLC and share voting and dispositive power over the shares held by VVC- I, VSF-I, VAF-I-A and VAF-I-B. The information with respect to the ownership of the Common Stock of the Issuer by the persons filing this statement on Schedule 13G is provided as of December 31, 2012.</w:t>
      </w:r>
    </w:p>
    <w:p>
      <w:pPr>
        <w:spacing w:after="0" w:line="189" w:lineRule="exact"/>
        <w:rPr>
          <w:rFonts w:ascii="Arial" w:cs="Arial" w:eastAsia="Arial" w:hAnsi="Arial"/>
          <w:sz w:val="18"/>
          <w:szCs w:val="18"/>
          <w:color w:val="auto"/>
        </w:rPr>
      </w:pPr>
    </w:p>
    <w:p>
      <w:pPr>
        <w:ind w:left="260" w:right="240" w:hanging="252"/>
        <w:spacing w:after="0" w:line="277" w:lineRule="auto"/>
        <w:tabs>
          <w:tab w:leader="none" w:pos="2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percentage is calculated based upon 24,989,328 shares of the Issuer’s common stock outstanding as of October 31, 2012 as set forth in the Issuer’s most recent 10-Q filed with the Securities and Exchange Commission on November 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-2094865</wp:posOffset>
            </wp:positionV>
            <wp:extent cx="66122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-2643505</wp:posOffset>
            </wp:positionV>
            <wp:extent cx="6612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-3192145</wp:posOffset>
            </wp:positionV>
            <wp:extent cx="66122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-3603625</wp:posOffset>
            </wp:positionV>
            <wp:extent cx="66122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-1880235</wp:posOffset>
            </wp:positionV>
            <wp:extent cx="18268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60" w:hanging="620"/>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SAMUEL D. COLELLA</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hanging="620"/>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x (1)</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40" w:hanging="620"/>
        <w:spacing w:after="0" w:line="342" w:lineRule="auto"/>
        <w:tabs>
          <w:tab w:leader="none" w:pos="10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-563245</wp:posOffset>
            </wp:positionV>
            <wp:extent cx="66122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-974725</wp:posOffset>
            </wp:positionV>
            <wp:extent cx="587438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-1189355</wp:posOffset>
            </wp:positionV>
            <wp:extent cx="587438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-1806575</wp:posOffset>
            </wp:positionV>
            <wp:extent cx="66122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Shares</w:t>
            </w:r>
          </w:p>
        </w:tc>
        <w:tc>
          <w:tcPr>
            <w:tcW w:w="136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49,586 (2)</w:t>
            </w:r>
          </w:p>
        </w:tc>
        <w:tc>
          <w:tcPr>
            <w:tcW w:w="0" w:type="dxa"/>
            <w:vAlign w:val="bottom"/>
          </w:tcPr>
          <w:p>
            <w:pPr>
              <w:spacing w:after="0"/>
              <w:rPr>
                <w:sz w:val="1"/>
                <w:szCs w:val="1"/>
                <w:color w:val="auto"/>
              </w:rPr>
            </w:pPr>
          </w:p>
        </w:tc>
      </w:tr>
      <w:tr>
        <w:trPr>
          <w:trHeight w:val="68"/>
        </w:trPr>
        <w:tc>
          <w:tcPr>
            <w:tcW w:w="128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8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Reporting</w:t>
            </w:r>
          </w:p>
        </w:tc>
        <w:tc>
          <w:tcPr>
            <w:tcW w:w="136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1,050,940 (3)</w:t>
            </w:r>
          </w:p>
        </w:tc>
        <w:tc>
          <w:tcPr>
            <w:tcW w:w="0" w:type="dxa"/>
            <w:vAlign w:val="bottom"/>
          </w:tcPr>
          <w:p>
            <w:pPr>
              <w:spacing w:after="0"/>
              <w:rPr>
                <w:sz w:val="1"/>
                <w:szCs w:val="1"/>
                <w:color w:val="auto"/>
              </w:rPr>
            </w:pPr>
          </w:p>
        </w:tc>
      </w:tr>
      <w:tr>
        <w:trPr>
          <w:trHeight w:val="68"/>
        </w:trPr>
        <w:tc>
          <w:tcPr>
            <w:tcW w:w="128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8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0" w:gutter="0" w:footer="0" w:header="0"/>
          <w:type w:val="continuous"/>
        </w:sectPr>
      </w:pPr>
    </w:p>
    <w:bookmarkStart w:id="6" w:name="page7"/>
    <w:bookmarkEnd w:id="6"/>
    <w:p>
      <w:pPr>
        <w:ind w:left="2700" w:right="6960" w:hanging="1091"/>
        <w:spacing w:after="0" w:line="277" w:lineRule="auto"/>
        <w:tabs>
          <w:tab w:leader="none" w:pos="2700" w:val="left"/>
        </w:tabs>
        <w:numPr>
          <w:ilvl w:val="2"/>
          <w:numId w:val="28"/>
        </w:numPr>
        <w:rPr>
          <w:rFonts w:ascii="Arial" w:cs="Arial" w:eastAsia="Arial" w:hAnsi="Arial"/>
          <w:sz w:val="18"/>
          <w:szCs w:val="18"/>
          <w:color w:val="auto"/>
        </w:rPr>
      </w:pPr>
      <w:r>
        <w:rPr>
          <w:rFonts w:ascii="Arial" w:cs="Arial" w:eastAsia="Arial" w:hAnsi="Arial"/>
          <w:sz w:val="18"/>
          <w:szCs w:val="18"/>
          <w:color w:val="auto"/>
        </w:rPr>
        <w:t>Sole Dispositive Power 49,586 (2)</w:t>
      </w:r>
    </w:p>
    <w:p>
      <w:pPr>
        <w:spacing w:after="0" w:line="386" w:lineRule="exact"/>
        <w:rPr>
          <w:rFonts w:ascii="Arial" w:cs="Arial" w:eastAsia="Arial" w:hAnsi="Arial"/>
          <w:sz w:val="18"/>
          <w:szCs w:val="18"/>
          <w:color w:val="auto"/>
        </w:rPr>
      </w:pPr>
    </w:p>
    <w:p>
      <w:pPr>
        <w:ind w:left="2700" w:right="6780" w:hanging="1091"/>
        <w:spacing w:after="0" w:line="277" w:lineRule="auto"/>
        <w:tabs>
          <w:tab w:leader="none" w:pos="2700" w:val="left"/>
        </w:tabs>
        <w:numPr>
          <w:ilvl w:val="2"/>
          <w:numId w:val="28"/>
        </w:numPr>
        <w:rPr>
          <w:rFonts w:ascii="Arial" w:cs="Arial" w:eastAsia="Arial" w:hAnsi="Arial"/>
          <w:sz w:val="18"/>
          <w:szCs w:val="18"/>
          <w:color w:val="auto"/>
        </w:rPr>
      </w:pPr>
      <w:r>
        <w:rPr>
          <w:rFonts w:ascii="Arial" w:cs="Arial" w:eastAsia="Arial" w:hAnsi="Arial"/>
          <w:sz w:val="18"/>
          <w:szCs w:val="18"/>
          <w:color w:val="auto"/>
        </w:rPr>
        <w:t>Shared Dispositive Power 1,050,940 (3)</w:t>
      </w:r>
    </w:p>
    <w:p>
      <w:pPr>
        <w:spacing w:after="0" w:line="386" w:lineRule="exact"/>
        <w:rPr>
          <w:rFonts w:ascii="Arial" w:cs="Arial" w:eastAsia="Arial" w:hAnsi="Arial"/>
          <w:sz w:val="18"/>
          <w:szCs w:val="18"/>
          <w:color w:val="auto"/>
        </w:rPr>
      </w:pPr>
    </w:p>
    <w:p>
      <w:pPr>
        <w:ind w:left="1000" w:right="5560" w:hanging="620"/>
        <w:spacing w:after="0" w:line="277" w:lineRule="auto"/>
        <w:tabs>
          <w:tab w:leader="none" w:pos="10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1,100,526 (2)(3)</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680" w:hanging="620"/>
        <w:spacing w:after="0" w:line="277" w:lineRule="auto"/>
        <w:tabs>
          <w:tab w:leader="none" w:pos="10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Percent of Class Represented by Amount in Row 9 4.40% (4)</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600" w:right="120" w:hanging="328"/>
        <w:spacing w:after="0" w:line="279" w:lineRule="auto"/>
        <w:tabs>
          <w:tab w:leader="none" w:pos="621"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This Schedule 13G is filed by Versant Venture Capital I, L.P. (“VVC- I”), Versant Side Fund I, L.P. (“VSF-I), Versant Affiliates Fund I-A, L.P. (“VAF-I-A”), Versant Affiliates Fund I-B, L.P. (“VAF-I-B”), Versant Ventures I, LLC (“VVI-LLC”), Brian G. Atwood (“BGA”), Samuel D. Colella (“SDC”), Ross A. Jaffe (“RAJ”), William J. Link (“WJL”), Donald B. Milder (“DBM”) Barbara N. Lubash (“BNL”) and Rebecca B. Robertson (“RBR”) (collectively, the “Versant Entities”). The Versant Entities expressly disclaim status as a “group” for purposes of this Schedule 13G.</w:t>
      </w:r>
    </w:p>
    <w:p>
      <w:pPr>
        <w:spacing w:after="0" w:line="171" w:lineRule="exact"/>
        <w:rPr>
          <w:rFonts w:ascii="Arial" w:cs="Arial" w:eastAsia="Arial" w:hAnsi="Arial"/>
          <w:sz w:val="17"/>
          <w:szCs w:val="17"/>
          <w:color w:val="auto"/>
        </w:rPr>
      </w:pPr>
    </w:p>
    <w:p>
      <w:pPr>
        <w:ind w:left="600" w:right="380" w:hanging="328"/>
        <w:spacing w:after="0" w:line="277" w:lineRule="auto"/>
        <w:tabs>
          <w:tab w:leader="none" w:pos="621"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(i) options to acquire 41,340 shares of Common Stock held directly by SDC for the benefit of VVI-LLC, and (ii) a warrant to purchase 8,246 shares of Common Stock held by Colella Family Trust u/d/t 9/21/92.</w:t>
      </w:r>
    </w:p>
    <w:p>
      <w:pPr>
        <w:spacing w:after="0" w:line="170" w:lineRule="exact"/>
        <w:rPr>
          <w:rFonts w:ascii="Arial" w:cs="Arial" w:eastAsia="Arial" w:hAnsi="Arial"/>
          <w:sz w:val="18"/>
          <w:szCs w:val="18"/>
          <w:color w:val="auto"/>
        </w:rPr>
      </w:pPr>
    </w:p>
    <w:p>
      <w:pPr>
        <w:ind w:left="600" w:hanging="328"/>
        <w:spacing w:after="0" w:line="273" w:lineRule="auto"/>
        <w:tabs>
          <w:tab w:leader="none" w:pos="621" w:val="left"/>
        </w:tabs>
        <w:numPr>
          <w:ilvl w:val="0"/>
          <w:numId w:val="30"/>
        </w:numPr>
        <w:rPr>
          <w:rFonts w:ascii="Arial" w:cs="Arial" w:eastAsia="Arial" w:hAnsi="Arial"/>
          <w:sz w:val="17"/>
          <w:szCs w:val="17"/>
          <w:color w:val="auto"/>
        </w:rPr>
      </w:pPr>
      <w:r>
        <w:rPr>
          <w:rFonts w:ascii="Arial" w:cs="Arial" w:eastAsia="Arial" w:hAnsi="Arial"/>
          <w:sz w:val="17"/>
          <w:szCs w:val="17"/>
          <w:color w:val="auto"/>
        </w:rPr>
        <w:t>(3) Includes: (i) 961,349 shares held by VVC-I; (ii) 20,017 shares held by VSF-1; (iii) 17,696 shares held by VAF-I-A; (iv) 51,878 shares held by VAF-I-B; (v) options to acquire 41,340 shares of Common Stock held directly by SDC for the benefit of VVI-LLC, and (vi) a warrant to purchase 8,246 shares of Common Stock held by Colella Family Trust u/d/t 9/21/92. VVI-LLC serves as the general partner of VVC- I, VSF-I, VAF-I-A, and VAF-I-B and owns no securities of the Issuer directly. BGA, SDC, RAJ , WJL, DBM, BNL and RBR are directors and/or members of VVI-LLC and share voting and dispositive power over the shares held by VVC- I, VSF-I, VAF-I-A and VAF-I-B. The information with respect to the ownership of the Common Stock of the Issuer by the persons filing this statement on Schedule 13G is provided as of December 31, 2012.</w:t>
      </w:r>
    </w:p>
    <w:p>
      <w:pPr>
        <w:spacing w:after="0" w:line="178" w:lineRule="exact"/>
        <w:rPr>
          <w:rFonts w:ascii="Arial" w:cs="Arial" w:eastAsia="Arial" w:hAnsi="Arial"/>
          <w:sz w:val="17"/>
          <w:szCs w:val="17"/>
          <w:color w:val="auto"/>
        </w:rPr>
      </w:pPr>
    </w:p>
    <w:p>
      <w:pPr>
        <w:ind w:left="600" w:right="420" w:hanging="328"/>
        <w:spacing w:after="0" w:line="277" w:lineRule="auto"/>
        <w:tabs>
          <w:tab w:leader="none" w:pos="62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percentage is calculated based upon 24,989,328 shares of the Issuer’s common stock outstanding as of October 31, 2012 as set forth in the Issuer’s most recent 10-Q filed with the Securities and Exchange Commission on November 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-2643505</wp:posOffset>
            </wp:positionV>
            <wp:extent cx="66122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-3192145</wp:posOffset>
            </wp:positionV>
            <wp:extent cx="66122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-3741420</wp:posOffset>
            </wp:positionV>
            <wp:extent cx="66122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-4152900</wp:posOffset>
            </wp:positionV>
            <wp:extent cx="66122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-4701540</wp:posOffset>
            </wp:positionV>
            <wp:extent cx="553148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-5250180</wp:posOffset>
            </wp:positionV>
            <wp:extent cx="553148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-2428875</wp:posOffset>
            </wp:positionV>
            <wp:extent cx="182689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00" w:right="8300" w:hanging="620"/>
        <w:spacing w:after="0" w:line="342"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Names of Reporting Persons ROSS A. JAFFE, M.D.</w:t>
      </w:r>
    </w:p>
    <w:p>
      <w:pPr>
        <w:spacing w:after="0" w:line="339" w:lineRule="exact"/>
        <w:rPr>
          <w:rFonts w:ascii="Arial" w:cs="Arial" w:eastAsia="Arial" w:hAnsi="Arial"/>
          <w:sz w:val="16"/>
          <w:szCs w:val="16"/>
          <w:color w:val="auto"/>
        </w:rPr>
      </w:pPr>
    </w:p>
    <w:p>
      <w:pPr>
        <w:ind w:left="1000" w:hanging="620"/>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x (1)</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342"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-563245</wp:posOffset>
            </wp:positionV>
            <wp:extent cx="66122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-974725</wp:posOffset>
            </wp:positionV>
            <wp:extent cx="587438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-1189355</wp:posOffset>
            </wp:positionV>
            <wp:extent cx="587438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-1806575</wp:posOffset>
            </wp:positionV>
            <wp:extent cx="66122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60"/>
          </w:cols>
          <w:pgMar w:left="300" w:top="503" w:right="239" w:bottom="0" w:gutter="0" w:footer="0" w:header="0"/>
        </w:sect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Shares</w:t>
            </w:r>
          </w:p>
        </w:tc>
        <w:tc>
          <w:tcPr>
            <w:tcW w:w="46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Reporting</w:t>
            </w:r>
          </w:p>
        </w:tc>
        <w:tc>
          <w:tcPr>
            <w:tcW w:w="46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1,050,940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ectPr>
          <w:pgSz w:w="11900" w:h="16838" w:orient="portrait"/>
          <w:cols w:equalWidth="0" w:num="2">
            <w:col w:w="1980" w:space="720"/>
            <w:col w:w="8660"/>
          </w:cols>
          <w:pgMar w:left="300" w:top="503" w:right="239" w:bottom="0" w:gutter="0" w:footer="0" w:header="0"/>
          <w:type w:val="continuous"/>
        </w:sectPr>
      </w:pPr>
    </w:p>
    <w:bookmarkStart w:id="7" w:name="page8"/>
    <w:bookmarkEnd w:id="7"/>
    <w:p>
      <w:pPr>
        <w:ind w:left="2752" w:right="6740" w:hanging="1091"/>
        <w:spacing w:after="0" w:line="277" w:lineRule="auto"/>
        <w:tabs>
          <w:tab w:leader="none" w:pos="2752" w:val="left"/>
        </w:tabs>
        <w:numPr>
          <w:ilvl w:val="3"/>
          <w:numId w:val="32"/>
        </w:numPr>
        <w:rPr>
          <w:rFonts w:ascii="Arial" w:cs="Arial" w:eastAsia="Arial" w:hAnsi="Arial"/>
          <w:sz w:val="18"/>
          <w:szCs w:val="18"/>
          <w:color w:val="auto"/>
        </w:rPr>
      </w:pPr>
      <w:r>
        <w:rPr>
          <w:rFonts w:ascii="Arial" w:cs="Arial" w:eastAsia="Arial" w:hAnsi="Arial"/>
          <w:sz w:val="18"/>
          <w:szCs w:val="18"/>
          <w:color w:val="auto"/>
        </w:rPr>
        <w:t>Shared Dispositive Power 1,050,940 (2)</w:t>
      </w:r>
    </w:p>
    <w:p>
      <w:pPr>
        <w:spacing w:after="0" w:line="386" w:lineRule="exact"/>
        <w:rPr>
          <w:rFonts w:ascii="Arial" w:cs="Arial" w:eastAsia="Arial" w:hAnsi="Arial"/>
          <w:sz w:val="18"/>
          <w:szCs w:val="18"/>
          <w:color w:val="auto"/>
        </w:rPr>
      </w:pPr>
    </w:p>
    <w:p>
      <w:pPr>
        <w:ind w:left="1052" w:right="5520" w:hanging="620"/>
        <w:spacing w:after="0" w:line="277" w:lineRule="auto"/>
        <w:tabs>
          <w:tab w:leader="none" w:pos="1052" w:val="left"/>
        </w:tabs>
        <w:numPr>
          <w:ilvl w:val="2"/>
          <w:numId w:val="3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1,050,940 (2)</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2"/>
          <w:numId w:val="3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6640" w:hanging="620"/>
        <w:spacing w:after="0" w:line="277" w:lineRule="auto"/>
        <w:tabs>
          <w:tab w:leader="none" w:pos="1052" w:val="left"/>
        </w:tabs>
        <w:numPr>
          <w:ilvl w:val="2"/>
          <w:numId w:val="33"/>
        </w:numPr>
        <w:rPr>
          <w:rFonts w:ascii="Arial" w:cs="Arial" w:eastAsia="Arial" w:hAnsi="Arial"/>
          <w:sz w:val="18"/>
          <w:szCs w:val="18"/>
          <w:color w:val="auto"/>
        </w:rPr>
      </w:pPr>
      <w:r>
        <w:rPr>
          <w:rFonts w:ascii="Arial" w:cs="Arial" w:eastAsia="Arial" w:hAnsi="Arial"/>
          <w:sz w:val="18"/>
          <w:szCs w:val="18"/>
          <w:color w:val="auto"/>
        </w:rPr>
        <w:t>Percent of Class Represented by Amount in Row 9 4.21% (3)</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2"/>
          <w:numId w:val="3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252" w:hanging="252"/>
        <w:spacing w:after="0" w:line="274" w:lineRule="auto"/>
        <w:tabs>
          <w:tab w:leader="none" w:pos="244"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This Schedule 13G is filed by Versant Venture Capital I, L.P. (“VVC- I”), Versant Side Fund I, L.P. (“VSF-I), Versant Affiliates Fund I-A, L.P. (“VAF-I-A”), Versant Affiliates Fund I-B, L.P. (“VAF-I-B”), Versant Ventures I, LLC (“VVI-LLC”), Brian G. Atwood (“BGA”), Samuel D. Colella (“SDC”), Ross</w:t>
      </w:r>
    </w:p>
    <w:p>
      <w:pPr>
        <w:ind w:left="252" w:right="200" w:firstLine="7"/>
        <w:spacing w:after="0" w:line="261" w:lineRule="auto"/>
        <w:tabs>
          <w:tab w:leader="none" w:pos="472" w:val="left"/>
        </w:tabs>
        <w:numPr>
          <w:ilvl w:val="1"/>
          <w:numId w:val="34"/>
        </w:numPr>
        <w:rPr>
          <w:rFonts w:ascii="Arial" w:cs="Arial" w:eastAsia="Arial" w:hAnsi="Arial"/>
          <w:sz w:val="18"/>
          <w:szCs w:val="18"/>
          <w:color w:val="auto"/>
        </w:rPr>
      </w:pPr>
      <w:r>
        <w:rPr>
          <w:rFonts w:ascii="Arial" w:cs="Arial" w:eastAsia="Arial" w:hAnsi="Arial"/>
          <w:sz w:val="18"/>
          <w:szCs w:val="18"/>
          <w:color w:val="auto"/>
        </w:rPr>
        <w:t>Jaffe (“RAJ”), William J. Link (“WJL”), Donald B. Milder (“DBM”) Barbara N. Lubash (“BNL”) and Rebecca B. Robertson (“RBR”) (collectively, the “Versant Entities”). The Versant Entities expressly disclaim status as a “group” for purposes of this Schedule 13G.</w:t>
      </w:r>
    </w:p>
    <w:p>
      <w:pPr>
        <w:spacing w:after="0" w:line="183" w:lineRule="exact"/>
        <w:rPr>
          <w:rFonts w:ascii="Arial" w:cs="Arial" w:eastAsia="Arial" w:hAnsi="Arial"/>
          <w:sz w:val="18"/>
          <w:szCs w:val="18"/>
          <w:color w:val="auto"/>
        </w:rPr>
      </w:pPr>
    </w:p>
    <w:p>
      <w:pPr>
        <w:ind w:left="252" w:hanging="252"/>
        <w:spacing w:after="0"/>
        <w:tabs>
          <w:tab w:leader="none" w:pos="252"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(i) 961,349 shares held by VVC-I; (ii) 20,017 shares held by VSF-1; (iii) 17,696 shares held by VAF-I-A; and (iv) 51,878 shares held by VAF-I-</w:t>
      </w:r>
    </w:p>
    <w:p>
      <w:pPr>
        <w:spacing w:after="0" w:line="46" w:lineRule="exact"/>
        <w:rPr>
          <w:rFonts w:ascii="Arial" w:cs="Arial" w:eastAsia="Arial" w:hAnsi="Arial"/>
          <w:sz w:val="16"/>
          <w:szCs w:val="16"/>
          <w:color w:val="auto"/>
        </w:rPr>
      </w:pPr>
    </w:p>
    <w:p>
      <w:pPr>
        <w:jc w:val="both"/>
        <w:ind w:left="252" w:right="260" w:firstLine="7"/>
        <w:spacing w:after="0" w:line="254" w:lineRule="auto"/>
        <w:tabs>
          <w:tab w:leader="none" w:pos="507" w:val="left"/>
        </w:tabs>
        <w:numPr>
          <w:ilvl w:val="1"/>
          <w:numId w:val="35"/>
        </w:numPr>
        <w:rPr>
          <w:rFonts w:ascii="Arial" w:cs="Arial" w:eastAsia="Arial" w:hAnsi="Arial"/>
          <w:sz w:val="18"/>
          <w:szCs w:val="18"/>
          <w:color w:val="auto"/>
        </w:rPr>
      </w:pPr>
      <w:r>
        <w:rPr>
          <w:rFonts w:ascii="Arial" w:cs="Arial" w:eastAsia="Arial" w:hAnsi="Arial"/>
          <w:sz w:val="18"/>
          <w:szCs w:val="18"/>
          <w:color w:val="auto"/>
        </w:rPr>
        <w:t>VVI-LLC serves as the general partner of VVC- I, VSF-I, VAF-I-A, and VAF-I-B and owns no securities of the Issuer directly. BGA, SDC, RAJ , WJL, DBM, BNL and RBR are directors and/or members of VVI-LLC and share voting and dispositive power over the shares held by VVC- I, VSF-I, VAF-I-A and VAF-I-B. The information with respect to the ownership of the Common Stock of the Issuer by the persons filing this statement on Schedule 13G is provided as of December 31, 2012.</w:t>
      </w:r>
    </w:p>
    <w:p>
      <w:pPr>
        <w:spacing w:after="0" w:line="189" w:lineRule="exact"/>
        <w:rPr>
          <w:rFonts w:ascii="Arial" w:cs="Arial" w:eastAsia="Arial" w:hAnsi="Arial"/>
          <w:sz w:val="18"/>
          <w:szCs w:val="18"/>
          <w:color w:val="auto"/>
        </w:rPr>
      </w:pPr>
    </w:p>
    <w:p>
      <w:pPr>
        <w:ind w:left="252" w:right="200" w:hanging="252"/>
        <w:spacing w:after="0" w:line="277" w:lineRule="auto"/>
        <w:tabs>
          <w:tab w:leader="none" w:pos="24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percentage is calculated based upon 24,989,328 shares of the Issuer’s common stock outstanding as of October 31, 2012 as set forth in the Issuer’s most recent 10-Q filed with the Securities and Exchange Commission on November 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-2094865</wp:posOffset>
            </wp:positionV>
            <wp:extent cx="66122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-2643505</wp:posOffset>
            </wp:positionV>
            <wp:extent cx="66122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-3192145</wp:posOffset>
            </wp:positionV>
            <wp:extent cx="6612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-3603625</wp:posOffset>
            </wp:positionV>
            <wp:extent cx="6612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1715135</wp:posOffset>
            </wp:positionH>
            <wp:positionV relativeFrom="paragraph">
              <wp:posOffset>-4152900</wp:posOffset>
            </wp:positionV>
            <wp:extent cx="553148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-1880235</wp:posOffset>
            </wp:positionV>
            <wp:extent cx="182689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52" w:right="8260" w:hanging="620"/>
        <w:spacing w:after="0" w:line="342" w:lineRule="auto"/>
        <w:tabs>
          <w:tab w:leader="none" w:pos="1052" w:val="left"/>
        </w:tabs>
        <w:numPr>
          <w:ilvl w:val="0"/>
          <w:numId w:val="37"/>
        </w:numPr>
        <w:rPr>
          <w:rFonts w:ascii="Arial" w:cs="Arial" w:eastAsia="Arial" w:hAnsi="Arial"/>
          <w:sz w:val="16"/>
          <w:szCs w:val="16"/>
          <w:color w:val="auto"/>
        </w:rPr>
      </w:pPr>
      <w:r>
        <w:rPr>
          <w:rFonts w:ascii="Arial" w:cs="Arial" w:eastAsia="Arial" w:hAnsi="Arial"/>
          <w:sz w:val="16"/>
          <w:szCs w:val="16"/>
          <w:color w:val="auto"/>
        </w:rPr>
        <w:t>Names of Reporting Persons WILLIAM J. LINK, Ph.D.</w:t>
      </w:r>
    </w:p>
    <w:p>
      <w:pPr>
        <w:spacing w:after="0" w:line="339" w:lineRule="exact"/>
        <w:rPr>
          <w:rFonts w:ascii="Arial" w:cs="Arial" w:eastAsia="Arial" w:hAnsi="Arial"/>
          <w:sz w:val="16"/>
          <w:szCs w:val="16"/>
          <w:color w:val="auto"/>
        </w:rPr>
      </w:pPr>
    </w:p>
    <w:p>
      <w:pPr>
        <w:ind w:left="1052" w:hanging="620"/>
        <w:spacing w:after="0"/>
        <w:tabs>
          <w:tab w:leader="none" w:pos="10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12" w:hanging="1159"/>
        <w:spacing w:after="0"/>
        <w:tabs>
          <w:tab w:leader="none" w:pos="2212" w:val="left"/>
        </w:tabs>
        <w:numPr>
          <w:ilvl w:val="1"/>
          <w:numId w:val="37"/>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37"/>
        </w:numPr>
        <w:rPr>
          <w:rFonts w:ascii="Arial" w:cs="Arial" w:eastAsia="Arial" w:hAnsi="Arial"/>
          <w:sz w:val="18"/>
          <w:szCs w:val="18"/>
          <w:color w:val="auto"/>
        </w:rPr>
      </w:pPr>
      <w:r>
        <w:rPr>
          <w:rFonts w:ascii="Arial" w:cs="Arial" w:eastAsia="Arial" w:hAnsi="Arial"/>
          <w:sz w:val="18"/>
          <w:szCs w:val="18"/>
          <w:color w:val="auto"/>
        </w:rPr>
        <w:t>x (1)</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7700" w:hanging="620"/>
        <w:spacing w:after="0" w:line="342" w:lineRule="auto"/>
        <w:tabs>
          <w:tab w:leader="none" w:pos="1052" w:val="left"/>
        </w:tabs>
        <w:numPr>
          <w:ilvl w:val="0"/>
          <w:numId w:val="37"/>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-563245</wp:posOffset>
            </wp:positionV>
            <wp:extent cx="66122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-974725</wp:posOffset>
            </wp:positionV>
            <wp:extent cx="587438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-1189355</wp:posOffset>
            </wp:positionV>
            <wp:extent cx="587438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-1806575</wp:posOffset>
            </wp:positionV>
            <wp:extent cx="66122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72"/>
          </w:cols>
          <w:pgMar w:left="248" w:top="179" w:right="279" w:bottom="0" w:gutter="0" w:footer="0" w:header="0"/>
        </w:sectPr>
      </w:pPr>
    </w:p>
    <w:p>
      <w:pPr>
        <w:spacing w:after="0" w:line="353"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1,050,940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1,050,940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620"/>
          </w:cols>
          <w:pgMar w:left="248" w:top="179" w:right="279" w:bottom="0" w:gutter="0" w:footer="0" w:header="0"/>
          <w:type w:val="continuous"/>
        </w:sectPr>
      </w:pPr>
    </w:p>
    <w:p>
      <w:pPr>
        <w:spacing w:after="0" w:line="227" w:lineRule="exact"/>
        <w:rPr>
          <w:sz w:val="20"/>
          <w:szCs w:val="20"/>
          <w:color w:val="auto"/>
        </w:rPr>
      </w:pPr>
    </w:p>
    <w:p>
      <w:pPr>
        <w:ind w:left="1052" w:right="5520" w:hanging="620"/>
        <w:spacing w:after="0" w:line="277" w:lineRule="auto"/>
        <w:tabs>
          <w:tab w:leader="none" w:pos="10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1,050,940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72"/>
          </w:cols>
          <w:pgMar w:left="248" w:top="179" w:right="279" w:bottom="0" w:gutter="0" w:footer="0" w:header="0"/>
          <w:type w:val="continuous"/>
        </w:sectPr>
      </w:pPr>
    </w:p>
    <w:p>
      <w:pPr>
        <w:spacing w:after="0" w:line="387" w:lineRule="exact"/>
        <w:rPr>
          <w:sz w:val="20"/>
          <w:szCs w:val="20"/>
          <w:color w:val="auto"/>
        </w:rPr>
      </w:pPr>
    </w:p>
    <w:p>
      <w:pPr>
        <w:ind w:left="432"/>
        <w:spacing w:after="0"/>
        <w:tabs>
          <w:tab w:leader="none" w:pos="1032"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Check if the Aggregate Amount in Row (9)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63500</wp:posOffset>
            </wp:positionV>
            <wp:extent cx="66122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72"/>
          </w:cols>
          <w:pgMar w:left="248" w:top="179" w:right="279" w:bottom="0" w:gutter="0" w:footer="0" w:header="0"/>
          <w:type w:val="continuous"/>
        </w:sectPr>
      </w:pPr>
    </w:p>
    <w:bookmarkStart w:id="8" w:name="page9"/>
    <w:bookmarkEnd w:id="8"/>
    <w:p>
      <w:pPr>
        <w:ind w:left="1052" w:right="6640" w:hanging="620"/>
        <w:spacing w:after="0" w:line="277" w:lineRule="auto"/>
        <w:tabs>
          <w:tab w:leader="none" w:pos="1052" w:val="left"/>
        </w:tabs>
        <w:numPr>
          <w:ilvl w:val="2"/>
          <w:numId w:val="39"/>
        </w:numPr>
        <w:rPr>
          <w:rFonts w:ascii="Arial" w:cs="Arial" w:eastAsia="Arial" w:hAnsi="Arial"/>
          <w:sz w:val="18"/>
          <w:szCs w:val="18"/>
          <w:color w:val="auto"/>
        </w:rPr>
      </w:pPr>
      <w:r>
        <w:rPr>
          <w:rFonts w:ascii="Arial" w:cs="Arial" w:eastAsia="Arial" w:hAnsi="Arial"/>
          <w:sz w:val="18"/>
          <w:szCs w:val="18"/>
          <w:color w:val="auto"/>
        </w:rPr>
        <w:t>Percent of Class Represented by Amount in Row 9 4.21% (3)</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2"/>
          <w:numId w:val="3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252" w:hanging="252"/>
        <w:spacing w:after="0" w:line="274" w:lineRule="auto"/>
        <w:tabs>
          <w:tab w:leader="none" w:pos="244"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This Schedule 13G is filed by Versant Venture Capital I, L.P. (“VVC- I”), Versant Side Fund I, L.P. (“VSF-I), Versant Affiliates Fund I-A, L.P. (“VAF-I-A”), Versant Affiliates Fund I-B, L.P. (“VAF-I-B”), Versant Ventures I, LLC (“VVI-LLC”), Brian G. Atwood (“BGA”), Samuel D. Colella (“SDC”), Ross</w:t>
      </w:r>
    </w:p>
    <w:p>
      <w:pPr>
        <w:ind w:left="252" w:right="200" w:firstLine="7"/>
        <w:spacing w:after="0" w:line="261" w:lineRule="auto"/>
        <w:tabs>
          <w:tab w:leader="none" w:pos="472" w:val="left"/>
        </w:tabs>
        <w:numPr>
          <w:ilvl w:val="1"/>
          <w:numId w:val="40"/>
        </w:numPr>
        <w:rPr>
          <w:rFonts w:ascii="Arial" w:cs="Arial" w:eastAsia="Arial" w:hAnsi="Arial"/>
          <w:sz w:val="18"/>
          <w:szCs w:val="18"/>
          <w:color w:val="auto"/>
        </w:rPr>
      </w:pPr>
      <w:r>
        <w:rPr>
          <w:rFonts w:ascii="Arial" w:cs="Arial" w:eastAsia="Arial" w:hAnsi="Arial"/>
          <w:sz w:val="18"/>
          <w:szCs w:val="18"/>
          <w:color w:val="auto"/>
        </w:rPr>
        <w:t>Jaffe (“RAJ”), William J. Link (“WJL”), Donald B. Milder (“DBM”) Barbara N. Lubash (“BNL”) and Rebecca B. Robertson (“RBR”) (collectively, the “Versant Entities”). The Versant Entities expressly disclaim status as a “group” for purposes of this Schedule 13G.</w:t>
      </w:r>
    </w:p>
    <w:p>
      <w:pPr>
        <w:spacing w:after="0" w:line="183" w:lineRule="exact"/>
        <w:rPr>
          <w:rFonts w:ascii="Arial" w:cs="Arial" w:eastAsia="Arial" w:hAnsi="Arial"/>
          <w:sz w:val="18"/>
          <w:szCs w:val="18"/>
          <w:color w:val="auto"/>
        </w:rPr>
      </w:pPr>
    </w:p>
    <w:p>
      <w:pPr>
        <w:ind w:left="252" w:hanging="252"/>
        <w:spacing w:after="0"/>
        <w:tabs>
          <w:tab w:leader="none" w:pos="252"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(i) 961,349 shares held by VVC-I; (ii) 20,017 shares held by VSF-1; (iii) 17,696 shares held by VAF-I-A; and (iv) 51,878 shares held by VAF-I-</w:t>
      </w:r>
    </w:p>
    <w:p>
      <w:pPr>
        <w:spacing w:after="0" w:line="46" w:lineRule="exact"/>
        <w:rPr>
          <w:rFonts w:ascii="Arial" w:cs="Arial" w:eastAsia="Arial" w:hAnsi="Arial"/>
          <w:sz w:val="16"/>
          <w:szCs w:val="16"/>
          <w:color w:val="auto"/>
        </w:rPr>
      </w:pPr>
    </w:p>
    <w:p>
      <w:pPr>
        <w:jc w:val="both"/>
        <w:ind w:left="252" w:right="260" w:firstLine="7"/>
        <w:spacing w:after="0" w:line="254" w:lineRule="auto"/>
        <w:tabs>
          <w:tab w:leader="none" w:pos="507" w:val="left"/>
        </w:tabs>
        <w:numPr>
          <w:ilvl w:val="1"/>
          <w:numId w:val="41"/>
        </w:numPr>
        <w:rPr>
          <w:rFonts w:ascii="Arial" w:cs="Arial" w:eastAsia="Arial" w:hAnsi="Arial"/>
          <w:sz w:val="18"/>
          <w:szCs w:val="18"/>
          <w:color w:val="auto"/>
        </w:rPr>
      </w:pPr>
      <w:r>
        <w:rPr>
          <w:rFonts w:ascii="Arial" w:cs="Arial" w:eastAsia="Arial" w:hAnsi="Arial"/>
          <w:sz w:val="18"/>
          <w:szCs w:val="18"/>
          <w:color w:val="auto"/>
        </w:rPr>
        <w:t>VVI-LLC serves as the general partner of VVC- I, VSF-I, VAF-I-A, and VAF-I-B and owns no securities of the Issuer directly. BGA, SDC, RAJ , WJL, DBM, BNL and RBR are directors and/or members of VVI-LLC and share voting and dispositive power over the shares held by VVC- I, VSF-I, VAF-I-A and VAF-I-B. The information with respect to the ownership of the Common Stock of the Issuer by the persons filing this statement on Schedule 13G is provided as of December 31, 2012.</w:t>
      </w:r>
    </w:p>
    <w:p>
      <w:pPr>
        <w:spacing w:after="0" w:line="189" w:lineRule="exact"/>
        <w:rPr>
          <w:rFonts w:ascii="Arial" w:cs="Arial" w:eastAsia="Arial" w:hAnsi="Arial"/>
          <w:sz w:val="18"/>
          <w:szCs w:val="18"/>
          <w:color w:val="auto"/>
        </w:rPr>
      </w:pPr>
    </w:p>
    <w:p>
      <w:pPr>
        <w:ind w:left="252" w:right="200" w:hanging="252"/>
        <w:spacing w:after="0" w:line="277" w:lineRule="auto"/>
        <w:tabs>
          <w:tab w:leader="none" w:pos="24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percentage is calculated based upon 24,989,328 shares of the Issuer’s common stock outstanding as of October 31, 2012 as set forth in the Issuer’s most recent 10-Q filed with the Securities and Exchange Commission on November 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-2094865</wp:posOffset>
            </wp:positionV>
            <wp:extent cx="66122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-2643505</wp:posOffset>
            </wp:positionV>
            <wp:extent cx="66122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-1880235</wp:posOffset>
            </wp:positionV>
            <wp:extent cx="182689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52" w:hanging="620"/>
        <w:spacing w:after="0"/>
        <w:tabs>
          <w:tab w:leader="none" w:pos="10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DONALD B. MILDER</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12" w:hanging="1159"/>
        <w:spacing w:after="0"/>
        <w:tabs>
          <w:tab w:leader="none" w:pos="2212" w:val="left"/>
        </w:tabs>
        <w:numPr>
          <w:ilvl w:val="1"/>
          <w:numId w:val="4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43"/>
        </w:numPr>
        <w:rPr>
          <w:rFonts w:ascii="Arial" w:cs="Arial" w:eastAsia="Arial" w:hAnsi="Arial"/>
          <w:sz w:val="18"/>
          <w:szCs w:val="18"/>
          <w:color w:val="auto"/>
        </w:rPr>
      </w:pPr>
      <w:r>
        <w:rPr>
          <w:rFonts w:ascii="Arial" w:cs="Arial" w:eastAsia="Arial" w:hAnsi="Arial"/>
          <w:sz w:val="18"/>
          <w:szCs w:val="18"/>
          <w:color w:val="auto"/>
        </w:rPr>
        <w:t>x (1)</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7700" w:hanging="620"/>
        <w:spacing w:after="0" w:line="342" w:lineRule="auto"/>
        <w:tabs>
          <w:tab w:leader="none" w:pos="1052" w:val="left"/>
        </w:tabs>
        <w:numPr>
          <w:ilvl w:val="0"/>
          <w:numId w:val="43"/>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-563245</wp:posOffset>
            </wp:positionV>
            <wp:extent cx="66122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-974725</wp:posOffset>
            </wp:positionV>
            <wp:extent cx="587438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-1189355</wp:posOffset>
            </wp:positionV>
            <wp:extent cx="58743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-1806575</wp:posOffset>
            </wp:positionV>
            <wp:extent cx="66122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72"/>
          </w:cols>
          <w:pgMar w:left="248" w:top="476" w:right="279" w:bottom="4" w:gutter="0" w:footer="0" w:header="0"/>
        </w:sectPr>
      </w:pPr>
    </w:p>
    <w:p>
      <w:pPr>
        <w:spacing w:after="0" w:line="353"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1,050,940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1,050,940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620"/>
          </w:cols>
          <w:pgMar w:left="248" w:top="476" w:right="279" w:bottom="4" w:gutter="0" w:footer="0" w:header="0"/>
          <w:type w:val="continuous"/>
        </w:sectPr>
      </w:pPr>
    </w:p>
    <w:p>
      <w:pPr>
        <w:spacing w:after="0" w:line="227" w:lineRule="exact"/>
        <w:rPr>
          <w:sz w:val="20"/>
          <w:szCs w:val="20"/>
          <w:color w:val="auto"/>
        </w:rPr>
      </w:pPr>
    </w:p>
    <w:p>
      <w:pPr>
        <w:ind w:left="1052" w:right="5520" w:hanging="620"/>
        <w:spacing w:after="0" w:line="277" w:lineRule="auto"/>
        <w:tabs>
          <w:tab w:leader="none" w:pos="10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1,050,940 (2)</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0"/>
          <w:numId w:val="44"/>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52" w:right="6640" w:hanging="620"/>
        <w:spacing w:after="0" w:line="277" w:lineRule="auto"/>
        <w:tabs>
          <w:tab w:leader="none" w:pos="10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Percent of Class Represented by Amount in Row 9 4.21% (3)</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40005</wp:posOffset>
            </wp:positionV>
            <wp:extent cx="661225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-508000</wp:posOffset>
            </wp:positionV>
            <wp:extent cx="66122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-1057275</wp:posOffset>
            </wp:positionV>
            <wp:extent cx="66122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-1468755</wp:posOffset>
            </wp:positionV>
            <wp:extent cx="66122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254635</wp:posOffset>
            </wp:positionV>
            <wp:extent cx="182689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72"/>
          </w:cols>
          <w:pgMar w:left="248" w:top="476" w:right="279" w:bottom="4" w:gutter="0" w:footer="0" w:header="0"/>
          <w:type w:val="continuous"/>
        </w:sectPr>
      </w:pPr>
    </w:p>
    <w:bookmarkStart w:id="9" w:name="page10"/>
    <w:bookmarkEnd w:id="9"/>
    <w:p>
      <w:pPr>
        <w:ind w:left="252" w:hanging="252"/>
        <w:spacing w:after="0" w:line="274" w:lineRule="auto"/>
        <w:tabs>
          <w:tab w:leader="none" w:pos="244"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This Schedule 13G is filed by Versant Venture Capital I, L.P. (“VVC- I”), Versant Side Fund I, L.P. (“VSF-I), Versant Affiliates Fund I-A, L.P. (“VAF-I-A”), Versant Affiliates Fund I-B, L.P. (“VAF-I-B”), Versant Ventures I, LLC (“VVI-LLC”), Brian G. Atwood (“BGA”), Samuel D. Colella (“SDC”), Ross</w:t>
      </w:r>
    </w:p>
    <w:p>
      <w:pPr>
        <w:ind w:left="252" w:right="200" w:firstLine="7"/>
        <w:spacing w:after="0" w:line="261" w:lineRule="auto"/>
        <w:tabs>
          <w:tab w:leader="none" w:pos="472" w:val="left"/>
        </w:tabs>
        <w:numPr>
          <w:ilvl w:val="1"/>
          <w:numId w:val="45"/>
        </w:numPr>
        <w:rPr>
          <w:rFonts w:ascii="Arial" w:cs="Arial" w:eastAsia="Arial" w:hAnsi="Arial"/>
          <w:sz w:val="18"/>
          <w:szCs w:val="18"/>
          <w:color w:val="auto"/>
        </w:rPr>
      </w:pPr>
      <w:r>
        <w:rPr>
          <w:rFonts w:ascii="Arial" w:cs="Arial" w:eastAsia="Arial" w:hAnsi="Arial"/>
          <w:sz w:val="18"/>
          <w:szCs w:val="18"/>
          <w:color w:val="auto"/>
        </w:rPr>
        <w:t>Jaffe (“RAJ”), William J. Link (“WJL”), Donald B. Milder (“DBM”) Barbara N. Lubash (“BNL”) and Rebecca B. Robertson (“RBR”) (collectively, the “Versant Entities”). The Versant Entities expressly disclaim status as a “group” for purposes of this Schedule 13G.</w:t>
      </w:r>
    </w:p>
    <w:p>
      <w:pPr>
        <w:spacing w:after="0" w:line="183" w:lineRule="exact"/>
        <w:rPr>
          <w:rFonts w:ascii="Arial" w:cs="Arial" w:eastAsia="Arial" w:hAnsi="Arial"/>
          <w:sz w:val="18"/>
          <w:szCs w:val="18"/>
          <w:color w:val="auto"/>
        </w:rPr>
      </w:pPr>
    </w:p>
    <w:p>
      <w:pPr>
        <w:ind w:left="252" w:hanging="252"/>
        <w:spacing w:after="0"/>
        <w:tabs>
          <w:tab w:leader="none" w:pos="252"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(i) 961,349 shares held by VVC-I; (ii) 20,017 shares held by VSF-1; (iii) 17,696 shares held by VAF-I-A; and (iv) 51,878 shares held by VAF-I-</w:t>
      </w:r>
    </w:p>
    <w:p>
      <w:pPr>
        <w:spacing w:after="0" w:line="46" w:lineRule="exact"/>
        <w:rPr>
          <w:rFonts w:ascii="Arial" w:cs="Arial" w:eastAsia="Arial" w:hAnsi="Arial"/>
          <w:sz w:val="16"/>
          <w:szCs w:val="16"/>
          <w:color w:val="auto"/>
        </w:rPr>
      </w:pPr>
    </w:p>
    <w:p>
      <w:pPr>
        <w:jc w:val="both"/>
        <w:ind w:left="252" w:right="260" w:firstLine="7"/>
        <w:spacing w:after="0" w:line="254" w:lineRule="auto"/>
        <w:tabs>
          <w:tab w:leader="none" w:pos="507" w:val="left"/>
        </w:tabs>
        <w:numPr>
          <w:ilvl w:val="1"/>
          <w:numId w:val="46"/>
        </w:numPr>
        <w:rPr>
          <w:rFonts w:ascii="Arial" w:cs="Arial" w:eastAsia="Arial" w:hAnsi="Arial"/>
          <w:sz w:val="18"/>
          <w:szCs w:val="18"/>
          <w:color w:val="auto"/>
        </w:rPr>
      </w:pPr>
      <w:r>
        <w:rPr>
          <w:rFonts w:ascii="Arial" w:cs="Arial" w:eastAsia="Arial" w:hAnsi="Arial"/>
          <w:sz w:val="18"/>
          <w:szCs w:val="18"/>
          <w:color w:val="auto"/>
        </w:rPr>
        <w:t>VVI-LLC serves as the general partner of VVC- I, VSF-I, VAF-I-A, and VAF-I-B and owns no securities of the Issuer directly. BGA, SDC, RAJ , WJL, DBM, BNL and RBR are directors and/or members of VVI-LLC and share voting and dispositive power over the shares held by VVC- I, VSF-I, VAF-I-A and VAF-I-B. The information with respect to the ownership of the Common Stock of the Issuer by the persons filing this statement on Schedule 13G is provided as of December 31, 2012.</w:t>
      </w:r>
    </w:p>
    <w:p>
      <w:pPr>
        <w:spacing w:after="0" w:line="189" w:lineRule="exact"/>
        <w:rPr>
          <w:rFonts w:ascii="Arial" w:cs="Arial" w:eastAsia="Arial" w:hAnsi="Arial"/>
          <w:sz w:val="18"/>
          <w:szCs w:val="18"/>
          <w:color w:val="auto"/>
        </w:rPr>
      </w:pPr>
    </w:p>
    <w:p>
      <w:pPr>
        <w:ind w:left="252" w:right="200" w:hanging="252"/>
        <w:spacing w:after="0" w:line="277" w:lineRule="auto"/>
        <w:tabs>
          <w:tab w:leader="none" w:pos="24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percentage is calculated based upon 24,989,328 shares of the Issuer’s common stock outstanding as of October 31, 2012 as set forth in the Issuer’s most recent 10-Q filed with the Securities and Exchange Commission on November 9, 2012.</w:t>
      </w:r>
    </w:p>
    <w:p>
      <w:pPr>
        <w:spacing w:after="0" w:line="17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52" w:hanging="620"/>
        <w:spacing w:after="0"/>
        <w:tabs>
          <w:tab w:leader="none" w:pos="10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REBECCA B. ROBERTSON</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12" w:hanging="1159"/>
        <w:spacing w:after="0"/>
        <w:tabs>
          <w:tab w:leader="none" w:pos="2212" w:val="left"/>
        </w:tabs>
        <w:numPr>
          <w:ilvl w:val="1"/>
          <w:numId w:val="48"/>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48"/>
        </w:numPr>
        <w:rPr>
          <w:rFonts w:ascii="Arial" w:cs="Arial" w:eastAsia="Arial" w:hAnsi="Arial"/>
          <w:sz w:val="18"/>
          <w:szCs w:val="18"/>
          <w:color w:val="auto"/>
        </w:rPr>
      </w:pPr>
      <w:r>
        <w:rPr>
          <w:rFonts w:ascii="Arial" w:cs="Arial" w:eastAsia="Arial" w:hAnsi="Arial"/>
          <w:sz w:val="18"/>
          <w:szCs w:val="18"/>
          <w:color w:val="auto"/>
        </w:rPr>
        <w:t>x (1)</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7700" w:hanging="620"/>
        <w:spacing w:after="0" w:line="342" w:lineRule="auto"/>
        <w:tabs>
          <w:tab w:leader="none" w:pos="1052" w:val="left"/>
        </w:tabs>
        <w:numPr>
          <w:ilvl w:val="0"/>
          <w:numId w:val="48"/>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-563245</wp:posOffset>
            </wp:positionV>
            <wp:extent cx="66122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-974725</wp:posOffset>
            </wp:positionV>
            <wp:extent cx="587438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-1189355</wp:posOffset>
            </wp:positionV>
            <wp:extent cx="587438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-1806575</wp:posOffset>
            </wp:positionV>
            <wp:extent cx="661225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72"/>
          </w:cols>
          <w:pgMar w:left="248" w:top="125" w:right="279" w:bottom="0" w:gutter="0" w:footer="0" w:header="0"/>
        </w:sectPr>
      </w:pPr>
    </w:p>
    <w:p>
      <w:pPr>
        <w:spacing w:after="0" w:line="353"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1,050,940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1,050,940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620"/>
          </w:cols>
          <w:pgMar w:left="248" w:top="125" w:right="279" w:bottom="0" w:gutter="0" w:footer="0" w:header="0"/>
          <w:type w:val="continuous"/>
        </w:sectPr>
      </w:pPr>
    </w:p>
    <w:p>
      <w:pPr>
        <w:spacing w:after="0" w:line="227" w:lineRule="exact"/>
        <w:rPr>
          <w:sz w:val="20"/>
          <w:szCs w:val="20"/>
          <w:color w:val="auto"/>
        </w:rPr>
      </w:pPr>
    </w:p>
    <w:p>
      <w:pPr>
        <w:ind w:left="1052" w:right="5520" w:hanging="620"/>
        <w:spacing w:after="0" w:line="277" w:lineRule="auto"/>
        <w:tabs>
          <w:tab w:leader="none" w:pos="1052" w:val="left"/>
        </w:tabs>
        <w:numPr>
          <w:ilvl w:val="2"/>
          <w:numId w:val="4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1,050,940 (2)</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2"/>
          <w:numId w:val="4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6640" w:hanging="620"/>
        <w:spacing w:after="0" w:line="277" w:lineRule="auto"/>
        <w:tabs>
          <w:tab w:leader="none" w:pos="1052" w:val="left"/>
        </w:tabs>
        <w:numPr>
          <w:ilvl w:val="2"/>
          <w:numId w:val="49"/>
        </w:numPr>
        <w:rPr>
          <w:rFonts w:ascii="Arial" w:cs="Arial" w:eastAsia="Arial" w:hAnsi="Arial"/>
          <w:sz w:val="18"/>
          <w:szCs w:val="18"/>
          <w:color w:val="auto"/>
        </w:rPr>
      </w:pPr>
      <w:r>
        <w:rPr>
          <w:rFonts w:ascii="Arial" w:cs="Arial" w:eastAsia="Arial" w:hAnsi="Arial"/>
          <w:sz w:val="18"/>
          <w:szCs w:val="18"/>
          <w:color w:val="auto"/>
        </w:rPr>
        <w:t>Percent of Class Represented by Amount in Row 9 4.21% (3)</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2"/>
          <w:numId w:val="4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252" w:hanging="252"/>
        <w:spacing w:after="0" w:line="274" w:lineRule="auto"/>
        <w:tabs>
          <w:tab w:leader="none" w:pos="244"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This Schedule 13G is filed by Versant Venture Capital I, L.P. (“VVC- I”), Versant Side Fund I, L.P. (“VSF-I), Versant Affiliates Fund I-A, L.P. (“VAF-I-A”), Versant Affiliates Fund I-B, L.P. (“VAF-I-B”), Versant Ventures I, LLC (“VVI-LLC”), Brian G. Atwood (“BGA”), Samuel D. Colella (“SDC”), Ross</w:t>
      </w:r>
    </w:p>
    <w:p>
      <w:pPr>
        <w:ind w:left="252" w:right="200" w:firstLine="7"/>
        <w:spacing w:after="0" w:line="261" w:lineRule="auto"/>
        <w:tabs>
          <w:tab w:leader="none" w:pos="472" w:val="left"/>
        </w:tabs>
        <w:numPr>
          <w:ilvl w:val="1"/>
          <w:numId w:val="50"/>
        </w:numPr>
        <w:rPr>
          <w:rFonts w:ascii="Arial" w:cs="Arial" w:eastAsia="Arial" w:hAnsi="Arial"/>
          <w:sz w:val="18"/>
          <w:szCs w:val="18"/>
          <w:color w:val="auto"/>
        </w:rPr>
      </w:pPr>
      <w:r>
        <w:rPr>
          <w:rFonts w:ascii="Arial" w:cs="Arial" w:eastAsia="Arial" w:hAnsi="Arial"/>
          <w:sz w:val="18"/>
          <w:szCs w:val="18"/>
          <w:color w:val="auto"/>
        </w:rPr>
        <w:t>Jaffe (“RAJ”), William J. Link (“WJL”), Donald B. Milder (“DBM”) Barbara N. Lubash (“BNL”) and Rebecca B. Robertson (“RBR”) (collectively, the “Versant Entities”). The Versant Entities expressly disclaim status as a “group” for purposes of this Schedule 13G.</w:t>
      </w:r>
    </w:p>
    <w:p>
      <w:pPr>
        <w:spacing w:after="0" w:line="183" w:lineRule="exact"/>
        <w:rPr>
          <w:rFonts w:ascii="Arial" w:cs="Arial" w:eastAsia="Arial" w:hAnsi="Arial"/>
          <w:sz w:val="18"/>
          <w:szCs w:val="18"/>
          <w:color w:val="auto"/>
        </w:rPr>
      </w:pPr>
    </w:p>
    <w:p>
      <w:pPr>
        <w:ind w:left="252" w:hanging="252"/>
        <w:spacing w:after="0"/>
        <w:tabs>
          <w:tab w:leader="none" w:pos="252"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Includes: (i) 961,349 shares held by VVC-I; (ii) 20,017 shares held by VSF-1; (iii) 17,696 shares held by VAF-I-A; and (iv) 51,878 shares held by VAF-I-</w:t>
      </w:r>
    </w:p>
    <w:p>
      <w:pPr>
        <w:spacing w:after="0" w:line="46" w:lineRule="exact"/>
        <w:rPr>
          <w:rFonts w:ascii="Arial" w:cs="Arial" w:eastAsia="Arial" w:hAnsi="Arial"/>
          <w:sz w:val="16"/>
          <w:szCs w:val="16"/>
          <w:color w:val="auto"/>
        </w:rPr>
      </w:pPr>
    </w:p>
    <w:p>
      <w:pPr>
        <w:jc w:val="both"/>
        <w:ind w:left="252" w:right="260" w:firstLine="7"/>
        <w:spacing w:after="0" w:line="323" w:lineRule="auto"/>
        <w:tabs>
          <w:tab w:leader="none" w:pos="507" w:val="left"/>
        </w:tabs>
        <w:numPr>
          <w:ilvl w:val="1"/>
          <w:numId w:val="51"/>
        </w:numPr>
        <w:rPr>
          <w:rFonts w:ascii="Arial" w:cs="Arial" w:eastAsia="Arial" w:hAnsi="Arial"/>
          <w:sz w:val="16"/>
          <w:szCs w:val="16"/>
          <w:color w:val="auto"/>
        </w:rPr>
      </w:pPr>
      <w:r>
        <w:rPr>
          <w:rFonts w:ascii="Arial" w:cs="Arial" w:eastAsia="Arial" w:hAnsi="Arial"/>
          <w:sz w:val="16"/>
          <w:szCs w:val="16"/>
          <w:color w:val="auto"/>
        </w:rPr>
        <w:t>VVI-LLC serves as the general partner of VVC- I, VSF-I, VAF-I-A, and VAF-I-B and owns no securities of the Issuer directly. BGA, SDC, RAJ , WJL, DBM, BNL and RBR are directors and/or members of VVI-LLC and share voting and dispositive power over the shares held by VVC- I, VSF-I,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-1428750</wp:posOffset>
            </wp:positionV>
            <wp:extent cx="661225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-1977390</wp:posOffset>
            </wp:positionV>
            <wp:extent cx="661225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-2526665</wp:posOffset>
            </wp:positionV>
            <wp:extent cx="661225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-2938145</wp:posOffset>
            </wp:positionV>
            <wp:extent cx="661225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-1214120</wp:posOffset>
            </wp:positionV>
            <wp:extent cx="182689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72"/>
          </w:cols>
          <w:pgMar w:left="248" w:top="125" w:right="279" w:bottom="0" w:gutter="0" w:footer="0" w:header="0"/>
          <w:type w:val="continuous"/>
        </w:sectPr>
      </w:pPr>
    </w:p>
    <w:bookmarkStart w:id="10" w:name="page11"/>
    <w:bookmarkEnd w:id="10"/>
    <w:p>
      <w:pPr>
        <w:ind w:left="252" w:right="660"/>
        <w:spacing w:after="0" w:line="277" w:lineRule="auto"/>
        <w:rPr>
          <w:sz w:val="20"/>
          <w:szCs w:val="20"/>
          <w:color w:val="auto"/>
        </w:rPr>
      </w:pPr>
      <w:r>
        <w:rPr>
          <w:rFonts w:ascii="Arial" w:cs="Arial" w:eastAsia="Arial" w:hAnsi="Arial"/>
          <w:sz w:val="18"/>
          <w:szCs w:val="18"/>
          <w:color w:val="auto"/>
        </w:rPr>
        <w:t>VAF-I-A and VAF-I-B. The information with respect to the ownership of the Common Stock of the Issuer by the persons filing this statement on Schedule 13G is provided as of December 31, 2012.</w:t>
      </w:r>
    </w:p>
    <w:p>
      <w:pPr>
        <w:spacing w:after="0" w:line="170" w:lineRule="exact"/>
        <w:rPr>
          <w:sz w:val="20"/>
          <w:szCs w:val="20"/>
          <w:color w:val="auto"/>
        </w:rPr>
      </w:pPr>
    </w:p>
    <w:p>
      <w:pPr>
        <w:ind w:left="252" w:right="200" w:hanging="252"/>
        <w:spacing w:after="0" w:line="277" w:lineRule="auto"/>
        <w:tabs>
          <w:tab w:leader="none" w:pos="24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percentage is calculated based upon 24,989,328 shares of the Issuer’s common stock outstanding as of October 31, 2012 as set forth in the Issuer’s most recent 10-Q filed with the Securities and Exchange Commission on November 9, 2012.</w:t>
      </w:r>
    </w:p>
    <w:p>
      <w:pPr>
        <w:spacing w:after="0" w:line="17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52" w:hanging="620"/>
        <w:spacing w:after="0"/>
        <w:tabs>
          <w:tab w:leader="none" w:pos="10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BARBARA N. LUBASH</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12" w:hanging="1159"/>
        <w:spacing w:after="0"/>
        <w:tabs>
          <w:tab w:leader="none" w:pos="2212" w:val="left"/>
        </w:tabs>
        <w:numPr>
          <w:ilvl w:val="1"/>
          <w:numId w:val="5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53"/>
        </w:numPr>
        <w:rPr>
          <w:rFonts w:ascii="Arial" w:cs="Arial" w:eastAsia="Arial" w:hAnsi="Arial"/>
          <w:sz w:val="18"/>
          <w:szCs w:val="18"/>
          <w:color w:val="auto"/>
        </w:rPr>
      </w:pPr>
      <w:r>
        <w:rPr>
          <w:rFonts w:ascii="Arial" w:cs="Arial" w:eastAsia="Arial" w:hAnsi="Arial"/>
          <w:sz w:val="18"/>
          <w:szCs w:val="18"/>
          <w:color w:val="auto"/>
        </w:rPr>
        <w:t>x (1)</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7700" w:hanging="620"/>
        <w:spacing w:after="0" w:line="342" w:lineRule="auto"/>
        <w:tabs>
          <w:tab w:leader="none" w:pos="1052" w:val="left"/>
        </w:tabs>
        <w:numPr>
          <w:ilvl w:val="0"/>
          <w:numId w:val="53"/>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-563245</wp:posOffset>
            </wp:positionV>
            <wp:extent cx="661225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-974725</wp:posOffset>
            </wp:positionV>
            <wp:extent cx="587438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-1189355</wp:posOffset>
            </wp:positionV>
            <wp:extent cx="587438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-1806575</wp:posOffset>
            </wp:positionV>
            <wp:extent cx="661225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72"/>
          </w:cols>
          <w:pgMar w:left="248" w:top="125" w:right="279" w:bottom="177" w:gutter="0" w:footer="0" w:header="0"/>
        </w:sectPr>
      </w:pPr>
    </w:p>
    <w:p>
      <w:pPr>
        <w:spacing w:after="0" w:line="353"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1,050,940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1,050,940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620"/>
          </w:cols>
          <w:pgMar w:left="248" w:top="125" w:right="279" w:bottom="177" w:gutter="0" w:footer="0" w:header="0"/>
          <w:type w:val="continuous"/>
        </w:sectPr>
      </w:pPr>
    </w:p>
    <w:p>
      <w:pPr>
        <w:spacing w:after="0" w:line="227" w:lineRule="exact"/>
        <w:rPr>
          <w:sz w:val="20"/>
          <w:szCs w:val="20"/>
          <w:color w:val="auto"/>
        </w:rPr>
      </w:pPr>
    </w:p>
    <w:p>
      <w:pPr>
        <w:ind w:left="1052" w:right="5520" w:hanging="620"/>
        <w:spacing w:after="0" w:line="277" w:lineRule="auto"/>
        <w:tabs>
          <w:tab w:leader="none" w:pos="1052" w:val="left"/>
        </w:tabs>
        <w:numPr>
          <w:ilvl w:val="2"/>
          <w:numId w:val="5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1,050,940 (2)</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2"/>
          <w:numId w:val="5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6640" w:hanging="620"/>
        <w:spacing w:after="0" w:line="277" w:lineRule="auto"/>
        <w:tabs>
          <w:tab w:leader="none" w:pos="1052" w:val="left"/>
        </w:tabs>
        <w:numPr>
          <w:ilvl w:val="2"/>
          <w:numId w:val="54"/>
        </w:numPr>
        <w:rPr>
          <w:rFonts w:ascii="Arial" w:cs="Arial" w:eastAsia="Arial" w:hAnsi="Arial"/>
          <w:sz w:val="18"/>
          <w:szCs w:val="18"/>
          <w:color w:val="auto"/>
        </w:rPr>
      </w:pPr>
      <w:r>
        <w:rPr>
          <w:rFonts w:ascii="Arial" w:cs="Arial" w:eastAsia="Arial" w:hAnsi="Arial"/>
          <w:sz w:val="18"/>
          <w:szCs w:val="18"/>
          <w:color w:val="auto"/>
        </w:rPr>
        <w:t>Percent of Class Represented by Amount in Row 9 4.21% (3)</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2"/>
          <w:numId w:val="5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252" w:hanging="252"/>
        <w:spacing w:after="0" w:line="274" w:lineRule="auto"/>
        <w:tabs>
          <w:tab w:leader="none" w:pos="244"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This Schedule 13G is filed by Versant Venture Capital I, L.P. (“VVC- I”), Versant Side Fund I, L.P. (“VSF-I), Versant Affiliates Fund I-A, L.P. (“VAF-I-A”), Versant Affiliates Fund I-B, L.P. (“VAF-I-B”), Versant Ventures I, LLC (“VVI-LLC”), Brian G. Atwood (“BGA”), Samuel D. Colella (“SDC”), Ross</w:t>
      </w:r>
    </w:p>
    <w:p>
      <w:pPr>
        <w:ind w:left="252" w:right="200" w:firstLine="7"/>
        <w:spacing w:after="0" w:line="261" w:lineRule="auto"/>
        <w:tabs>
          <w:tab w:leader="none" w:pos="472" w:val="left"/>
        </w:tabs>
        <w:numPr>
          <w:ilvl w:val="1"/>
          <w:numId w:val="55"/>
        </w:numPr>
        <w:rPr>
          <w:rFonts w:ascii="Arial" w:cs="Arial" w:eastAsia="Arial" w:hAnsi="Arial"/>
          <w:sz w:val="18"/>
          <w:szCs w:val="18"/>
          <w:color w:val="auto"/>
        </w:rPr>
      </w:pPr>
      <w:r>
        <w:rPr>
          <w:rFonts w:ascii="Arial" w:cs="Arial" w:eastAsia="Arial" w:hAnsi="Arial"/>
          <w:sz w:val="18"/>
          <w:szCs w:val="18"/>
          <w:color w:val="auto"/>
        </w:rPr>
        <w:t>Jaffe (“RAJ”), William J. Link (“WJL”), Donald B. Milder (“DBM”) Barbara N. Lubash (“BNL”) and Rebecca B. Robertson (“RBR”) (collectively, the “Versant Entities”). The Versant Entities expressly disclaim status as a “group” for purposes of this Schedule 13G.</w:t>
      </w:r>
    </w:p>
    <w:p>
      <w:pPr>
        <w:spacing w:after="0" w:line="183" w:lineRule="exact"/>
        <w:rPr>
          <w:rFonts w:ascii="Arial" w:cs="Arial" w:eastAsia="Arial" w:hAnsi="Arial"/>
          <w:sz w:val="18"/>
          <w:szCs w:val="18"/>
          <w:color w:val="auto"/>
        </w:rPr>
      </w:pPr>
    </w:p>
    <w:p>
      <w:pPr>
        <w:ind w:left="252" w:hanging="252"/>
        <w:spacing w:after="0"/>
        <w:tabs>
          <w:tab w:leader="none" w:pos="252"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(i) 961,349 shares held by VVC-I; (ii) 20,017 shares held by VSF-1; (iii) 17,696 shares held by VAF-I-A; and (iv) 51,878 shares held by VAF-I-</w:t>
      </w:r>
    </w:p>
    <w:p>
      <w:pPr>
        <w:spacing w:after="0" w:line="46" w:lineRule="exact"/>
        <w:rPr>
          <w:rFonts w:ascii="Arial" w:cs="Arial" w:eastAsia="Arial" w:hAnsi="Arial"/>
          <w:sz w:val="16"/>
          <w:szCs w:val="16"/>
          <w:color w:val="auto"/>
        </w:rPr>
      </w:pPr>
    </w:p>
    <w:p>
      <w:pPr>
        <w:jc w:val="both"/>
        <w:ind w:left="252" w:right="260" w:firstLine="7"/>
        <w:spacing w:after="0" w:line="254" w:lineRule="auto"/>
        <w:tabs>
          <w:tab w:leader="none" w:pos="507" w:val="left"/>
        </w:tabs>
        <w:numPr>
          <w:ilvl w:val="1"/>
          <w:numId w:val="56"/>
        </w:numPr>
        <w:rPr>
          <w:rFonts w:ascii="Arial" w:cs="Arial" w:eastAsia="Arial" w:hAnsi="Arial"/>
          <w:sz w:val="18"/>
          <w:szCs w:val="18"/>
          <w:color w:val="auto"/>
        </w:rPr>
      </w:pPr>
      <w:r>
        <w:rPr>
          <w:rFonts w:ascii="Arial" w:cs="Arial" w:eastAsia="Arial" w:hAnsi="Arial"/>
          <w:sz w:val="18"/>
          <w:szCs w:val="18"/>
          <w:color w:val="auto"/>
        </w:rPr>
        <w:t>VVI-LLC serves as the general partner of VVC- I, VSF-I, VAF-I-A, and VAF-I-B and owns no securities of the Issuer directly. BGA, SDC, RAJ , WJL, DBM, BNL and RBR are directors and/or members of VVI-LLC and share voting and dispositive power over the shares held by VVC- I, VSF-I, VAF-I-A and VAF-I-B. The information with respect to the ownership of the Common Stock of the Issuer by the persons filing this statement on Schedule 13G is provided as of December 31, 2012.</w:t>
      </w:r>
    </w:p>
    <w:p>
      <w:pPr>
        <w:spacing w:after="0" w:line="189" w:lineRule="exact"/>
        <w:rPr>
          <w:rFonts w:ascii="Arial" w:cs="Arial" w:eastAsia="Arial" w:hAnsi="Arial"/>
          <w:sz w:val="18"/>
          <w:szCs w:val="18"/>
          <w:color w:val="auto"/>
        </w:rPr>
      </w:pPr>
    </w:p>
    <w:p>
      <w:pPr>
        <w:ind w:left="252" w:right="200" w:hanging="252"/>
        <w:spacing w:after="0" w:line="277" w:lineRule="auto"/>
        <w:tabs>
          <w:tab w:leader="none" w:pos="24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percentage is calculated based upon 24,989,328 shares of the Issuer’s common stock outstanding as of October 31, 2012 as set forth in the Issuer’s most recent 10-Q filed with the Securities and Exchange Commission on November 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-2094865</wp:posOffset>
            </wp:positionV>
            <wp:extent cx="661225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-2643505</wp:posOffset>
            </wp:positionV>
            <wp:extent cx="661225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-3192145</wp:posOffset>
            </wp:positionV>
            <wp:extent cx="661225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-3603625</wp:posOffset>
            </wp:positionV>
            <wp:extent cx="661225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-1880235</wp:posOffset>
            </wp:positionV>
            <wp:extent cx="182689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72"/>
          </w:cols>
          <w:pgMar w:left="248" w:top="125" w:right="279" w:bottom="177" w:gutter="0" w:footer="0" w:header="0"/>
          <w:type w:val="continuous"/>
        </w:sectPr>
      </w:pPr>
    </w:p>
    <w:p>
      <w:pPr>
        <w:spacing w:after="0" w:line="170" w:lineRule="exact"/>
        <w:rPr>
          <w:sz w:val="20"/>
          <w:szCs w:val="20"/>
          <w:color w:val="auto"/>
        </w:rPr>
      </w:pPr>
    </w:p>
    <w:p>
      <w:pPr>
        <w:jc w:val="center"/>
        <w:ind w:right="-31"/>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95885</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125" w:right="279" w:bottom="177"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7"/>
          <w:szCs w:val="17"/>
          <w:b w:val="1"/>
          <w:bCs w:val="1"/>
          <w:color w:val="auto"/>
        </w:rPr>
        <w:t>Item 1(a).</w:t>
      </w:r>
    </w:p>
    <w:p>
      <w:pPr>
        <w:spacing w:after="0" w:line="34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2(c).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2(d).</w:t>
      </w:r>
    </w:p>
    <w:p>
      <w:pPr>
        <w:spacing w:after="0" w:line="35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2(e).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Arial" w:cs="Arial" w:eastAsia="Arial" w:hAnsi="Arial"/>
          <w:sz w:val="18"/>
          <w:szCs w:val="18"/>
          <w:color w:val="auto"/>
        </w:rPr>
        <w:t>Name of Issuer:</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FLUIDIGM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40005</wp:posOffset>
            </wp:positionV>
            <wp:extent cx="63119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311900" cy="8890"/>
                    </a:xfrm>
                    <a:prstGeom prst="rect">
                      <a:avLst/>
                    </a:prstGeom>
                    <a:noFill/>
                  </pic:spPr>
                </pic:pic>
              </a:graphicData>
            </a:graphic>
          </wp:anchor>
        </w:drawing>
      </w:r>
    </w:p>
    <w:p>
      <w:pPr>
        <w:spacing w:after="0" w:line="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Address of Issuer’s Principal Executive Offices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7000 Shoreline Court, Suite 100</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South San Francisco, California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40005</wp:posOffset>
            </wp:positionV>
            <wp:extent cx="63119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31190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 of Person Filing:</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Versant Venture Capital I, L.P. (“VVC-I”)</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Versant Side Fund I, L.P. (“VSF-I”)</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Versant Affiliates Fund I-A, L.P. (“VAF-I-A”)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Versant Affiliates Fund I-B, L.P. (“VAF-I-B”)</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Versant Ventures I, LLC (“VVI-LLC”)</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Brian G. Atwood (“BGA”)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Samuel D. Colella (“SDC”)</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Ross A. Jaffe (“RAJ”)</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William J. Link (“WJL”)</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Donald B. Milder (“DBM”)</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Rebecca B. Robertson (“RBR”)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Barbara N. Lubash (“BNL”)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40005</wp:posOffset>
            </wp:positionV>
            <wp:extent cx="63119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311900" cy="8890"/>
                    </a:xfrm>
                    <a:prstGeom prst="rect">
                      <a:avLst/>
                    </a:prstGeom>
                    <a:noFill/>
                  </pic:spPr>
                </pic:pic>
              </a:graphicData>
            </a:graphic>
          </wp:anchor>
        </w:drawing>
      </w:r>
    </w:p>
    <w:p>
      <w:pPr>
        <w:spacing w:after="0" w:line="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Address of Principal Business Office or, if none, Residence: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Versant Ventures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3000 Sand Hill Road, #4-210</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Menlo Park, CA 94025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40005</wp:posOffset>
            </wp:positionV>
            <wp:extent cx="63119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311900" cy="8890"/>
                    </a:xfrm>
                    <a:prstGeom prst="rect">
                      <a:avLst/>
                    </a:prstGeom>
                    <a:noFill/>
                  </pic:spPr>
                </pic:pic>
              </a:graphicData>
            </a:graphic>
          </wp:anchor>
        </w:drawing>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1300" w:type="dxa"/>
            <w:vAlign w:val="bottom"/>
          </w:tcPr>
          <w:p>
            <w:pPr>
              <w:ind w:left="60"/>
              <w:spacing w:after="0"/>
              <w:rPr>
                <w:sz w:val="20"/>
                <w:szCs w:val="20"/>
                <w:color w:val="auto"/>
              </w:rPr>
            </w:pPr>
            <w:r>
              <w:rPr>
                <w:rFonts w:ascii="Arial" w:cs="Arial" w:eastAsia="Arial" w:hAnsi="Arial"/>
                <w:sz w:val="18"/>
                <w:szCs w:val="18"/>
                <w:color w:val="auto"/>
              </w:rPr>
              <w:t>Citizenship:</w:t>
            </w:r>
          </w:p>
        </w:tc>
        <w:tc>
          <w:tcPr>
            <w:tcW w:w="1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0" w:type="dxa"/>
            <w:vAlign w:val="bottom"/>
          </w:tcPr>
          <w:p>
            <w:pPr>
              <w:spacing w:after="0"/>
              <w:rPr>
                <w:sz w:val="20"/>
                <w:szCs w:val="20"/>
                <w:color w:val="auto"/>
              </w:rPr>
            </w:pPr>
          </w:p>
        </w:tc>
      </w:tr>
      <w:tr>
        <w:trPr>
          <w:trHeight w:val="256"/>
        </w:trPr>
        <w:tc>
          <w:tcPr>
            <w:tcW w:w="1300" w:type="dxa"/>
            <w:vAlign w:val="bottom"/>
          </w:tcPr>
          <w:p>
            <w:pPr>
              <w:ind w:left="80"/>
              <w:spacing w:after="0"/>
              <w:rPr>
                <w:sz w:val="20"/>
                <w:szCs w:val="20"/>
                <w:color w:val="auto"/>
              </w:rPr>
            </w:pPr>
            <w:r>
              <w:rPr>
                <w:rFonts w:ascii="Arial" w:cs="Arial" w:eastAsia="Arial" w:hAnsi="Arial"/>
                <w:sz w:val="18"/>
                <w:szCs w:val="18"/>
                <w:color w:val="auto"/>
              </w:rPr>
              <w:t>Entities:</w:t>
            </w:r>
          </w:p>
        </w:tc>
        <w:tc>
          <w:tcPr>
            <w:tcW w:w="1380" w:type="dxa"/>
            <w:vAlign w:val="bottom"/>
          </w:tcPr>
          <w:p>
            <w:pPr>
              <w:ind w:left="380"/>
              <w:spacing w:after="0"/>
              <w:rPr>
                <w:sz w:val="20"/>
                <w:szCs w:val="20"/>
                <w:color w:val="auto"/>
              </w:rPr>
            </w:pPr>
            <w:r>
              <w:rPr>
                <w:rFonts w:ascii="Arial" w:cs="Arial" w:eastAsia="Arial" w:hAnsi="Arial"/>
                <w:sz w:val="18"/>
                <w:szCs w:val="18"/>
                <w:color w:val="auto"/>
              </w:rPr>
              <w:t>VVC-I</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600" w:type="dxa"/>
            <w:vAlign w:val="bottom"/>
          </w:tcPr>
          <w:p>
            <w:pPr>
              <w:ind w:left="300"/>
              <w:spacing w:after="0"/>
              <w:rPr>
                <w:sz w:val="20"/>
                <w:szCs w:val="20"/>
                <w:color w:val="auto"/>
              </w:rPr>
            </w:pPr>
            <w:r>
              <w:rPr>
                <w:rFonts w:ascii="Arial" w:cs="Arial" w:eastAsia="Arial" w:hAnsi="Arial"/>
                <w:sz w:val="18"/>
                <w:szCs w:val="18"/>
                <w:color w:val="auto"/>
              </w:rPr>
              <w:t>Delaware, United States of America</w:t>
            </w:r>
          </w:p>
        </w:tc>
      </w:tr>
      <w:tr>
        <w:trPr>
          <w:trHeight w:val="216"/>
        </w:trPr>
        <w:tc>
          <w:tcPr>
            <w:tcW w:w="1300" w:type="dxa"/>
            <w:vAlign w:val="bottom"/>
          </w:tcPr>
          <w:p>
            <w:pPr>
              <w:spacing w:after="0"/>
              <w:rPr>
                <w:sz w:val="18"/>
                <w:szCs w:val="18"/>
                <w:color w:val="auto"/>
              </w:rPr>
            </w:pPr>
          </w:p>
        </w:tc>
        <w:tc>
          <w:tcPr>
            <w:tcW w:w="1380" w:type="dxa"/>
            <w:vAlign w:val="bottom"/>
          </w:tcPr>
          <w:p>
            <w:pPr>
              <w:ind w:left="380"/>
              <w:spacing w:after="0"/>
              <w:rPr>
                <w:sz w:val="20"/>
                <w:szCs w:val="20"/>
                <w:color w:val="auto"/>
              </w:rPr>
            </w:pPr>
            <w:r>
              <w:rPr>
                <w:rFonts w:ascii="Arial" w:cs="Arial" w:eastAsia="Arial" w:hAnsi="Arial"/>
                <w:sz w:val="18"/>
                <w:szCs w:val="18"/>
                <w:color w:val="auto"/>
              </w:rPr>
              <w:t>VSF-1</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600" w:type="dxa"/>
            <w:vAlign w:val="bottom"/>
          </w:tcPr>
          <w:p>
            <w:pPr>
              <w:ind w:left="300"/>
              <w:spacing w:after="0"/>
              <w:rPr>
                <w:sz w:val="20"/>
                <w:szCs w:val="20"/>
                <w:color w:val="auto"/>
              </w:rPr>
            </w:pPr>
            <w:r>
              <w:rPr>
                <w:rFonts w:ascii="Arial" w:cs="Arial" w:eastAsia="Arial" w:hAnsi="Arial"/>
                <w:sz w:val="18"/>
                <w:szCs w:val="18"/>
                <w:color w:val="auto"/>
              </w:rPr>
              <w:t>Delaware, United States of America</w:t>
            </w:r>
          </w:p>
        </w:tc>
      </w:tr>
      <w:tr>
        <w:trPr>
          <w:trHeight w:val="216"/>
        </w:trPr>
        <w:tc>
          <w:tcPr>
            <w:tcW w:w="1300" w:type="dxa"/>
            <w:vAlign w:val="bottom"/>
          </w:tcPr>
          <w:p>
            <w:pPr>
              <w:spacing w:after="0"/>
              <w:rPr>
                <w:sz w:val="18"/>
                <w:szCs w:val="18"/>
                <w:color w:val="auto"/>
              </w:rPr>
            </w:pPr>
          </w:p>
        </w:tc>
        <w:tc>
          <w:tcPr>
            <w:tcW w:w="1380" w:type="dxa"/>
            <w:vAlign w:val="bottom"/>
          </w:tcPr>
          <w:p>
            <w:pPr>
              <w:ind w:left="380"/>
              <w:spacing w:after="0"/>
              <w:rPr>
                <w:sz w:val="20"/>
                <w:szCs w:val="20"/>
                <w:color w:val="auto"/>
              </w:rPr>
            </w:pPr>
            <w:r>
              <w:rPr>
                <w:rFonts w:ascii="Arial" w:cs="Arial" w:eastAsia="Arial" w:hAnsi="Arial"/>
                <w:sz w:val="18"/>
                <w:szCs w:val="18"/>
                <w:color w:val="auto"/>
              </w:rPr>
              <w:t>VAF-1-A</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600" w:type="dxa"/>
            <w:vAlign w:val="bottom"/>
          </w:tcPr>
          <w:p>
            <w:pPr>
              <w:ind w:left="300"/>
              <w:spacing w:after="0"/>
              <w:rPr>
                <w:sz w:val="20"/>
                <w:szCs w:val="20"/>
                <w:color w:val="auto"/>
              </w:rPr>
            </w:pPr>
            <w:r>
              <w:rPr>
                <w:rFonts w:ascii="Arial" w:cs="Arial" w:eastAsia="Arial" w:hAnsi="Arial"/>
                <w:sz w:val="18"/>
                <w:szCs w:val="18"/>
                <w:color w:val="auto"/>
              </w:rPr>
              <w:t>Delaware, United States of America</w:t>
            </w:r>
          </w:p>
        </w:tc>
      </w:tr>
      <w:tr>
        <w:trPr>
          <w:trHeight w:val="216"/>
        </w:trPr>
        <w:tc>
          <w:tcPr>
            <w:tcW w:w="1300" w:type="dxa"/>
            <w:vAlign w:val="bottom"/>
          </w:tcPr>
          <w:p>
            <w:pPr>
              <w:spacing w:after="0"/>
              <w:rPr>
                <w:sz w:val="18"/>
                <w:szCs w:val="18"/>
                <w:color w:val="auto"/>
              </w:rPr>
            </w:pPr>
          </w:p>
        </w:tc>
        <w:tc>
          <w:tcPr>
            <w:tcW w:w="1380" w:type="dxa"/>
            <w:vAlign w:val="bottom"/>
          </w:tcPr>
          <w:p>
            <w:pPr>
              <w:ind w:left="380"/>
              <w:spacing w:after="0"/>
              <w:rPr>
                <w:sz w:val="20"/>
                <w:szCs w:val="20"/>
                <w:color w:val="auto"/>
              </w:rPr>
            </w:pPr>
            <w:r>
              <w:rPr>
                <w:rFonts w:ascii="Arial" w:cs="Arial" w:eastAsia="Arial" w:hAnsi="Arial"/>
                <w:sz w:val="18"/>
                <w:szCs w:val="18"/>
                <w:color w:val="auto"/>
              </w:rPr>
              <w:t>VAF-1-B</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600" w:type="dxa"/>
            <w:vAlign w:val="bottom"/>
          </w:tcPr>
          <w:p>
            <w:pPr>
              <w:ind w:left="300"/>
              <w:spacing w:after="0"/>
              <w:rPr>
                <w:sz w:val="20"/>
                <w:szCs w:val="20"/>
                <w:color w:val="auto"/>
              </w:rPr>
            </w:pPr>
            <w:r>
              <w:rPr>
                <w:rFonts w:ascii="Arial" w:cs="Arial" w:eastAsia="Arial" w:hAnsi="Arial"/>
                <w:sz w:val="18"/>
                <w:szCs w:val="18"/>
                <w:color w:val="auto"/>
              </w:rPr>
              <w:t>Delaware, United States of America</w:t>
            </w:r>
          </w:p>
        </w:tc>
      </w:tr>
      <w:tr>
        <w:trPr>
          <w:trHeight w:val="230"/>
        </w:trPr>
        <w:tc>
          <w:tcPr>
            <w:tcW w:w="1300" w:type="dxa"/>
            <w:vAlign w:val="bottom"/>
          </w:tcPr>
          <w:p>
            <w:pPr>
              <w:spacing w:after="0"/>
              <w:rPr>
                <w:sz w:val="20"/>
                <w:szCs w:val="20"/>
                <w:color w:val="auto"/>
              </w:rPr>
            </w:pPr>
          </w:p>
        </w:tc>
        <w:tc>
          <w:tcPr>
            <w:tcW w:w="1380" w:type="dxa"/>
            <w:vAlign w:val="bottom"/>
          </w:tcPr>
          <w:p>
            <w:pPr>
              <w:ind w:left="380"/>
              <w:spacing w:after="0"/>
              <w:rPr>
                <w:sz w:val="20"/>
                <w:szCs w:val="20"/>
                <w:color w:val="auto"/>
              </w:rPr>
            </w:pPr>
            <w:r>
              <w:rPr>
                <w:rFonts w:ascii="Arial" w:cs="Arial" w:eastAsia="Arial" w:hAnsi="Arial"/>
                <w:sz w:val="18"/>
                <w:szCs w:val="18"/>
                <w:color w:val="auto"/>
              </w:rPr>
              <w:t>VVI-LLC</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600" w:type="dxa"/>
            <w:vAlign w:val="bottom"/>
          </w:tcPr>
          <w:p>
            <w:pPr>
              <w:ind w:left="300"/>
              <w:spacing w:after="0"/>
              <w:rPr>
                <w:sz w:val="20"/>
                <w:szCs w:val="20"/>
                <w:color w:val="auto"/>
              </w:rPr>
            </w:pPr>
            <w:r>
              <w:rPr>
                <w:rFonts w:ascii="Arial" w:cs="Arial" w:eastAsia="Arial" w:hAnsi="Arial"/>
                <w:sz w:val="18"/>
                <w:szCs w:val="18"/>
                <w:color w:val="auto"/>
              </w:rPr>
              <w:t>Delaware, United States of America</w:t>
            </w:r>
          </w:p>
        </w:tc>
      </w:tr>
      <w:tr>
        <w:trPr>
          <w:trHeight w:val="418"/>
        </w:trPr>
        <w:tc>
          <w:tcPr>
            <w:tcW w:w="1300" w:type="dxa"/>
            <w:vAlign w:val="bottom"/>
          </w:tcPr>
          <w:p>
            <w:pPr>
              <w:ind w:left="80"/>
              <w:spacing w:after="0"/>
              <w:rPr>
                <w:sz w:val="20"/>
                <w:szCs w:val="20"/>
                <w:color w:val="auto"/>
              </w:rPr>
            </w:pPr>
            <w:r>
              <w:rPr>
                <w:rFonts w:ascii="Arial" w:cs="Arial" w:eastAsia="Arial" w:hAnsi="Arial"/>
                <w:sz w:val="18"/>
                <w:szCs w:val="18"/>
                <w:color w:val="auto"/>
              </w:rPr>
              <w:t>Individuals:</w:t>
            </w:r>
          </w:p>
        </w:tc>
        <w:tc>
          <w:tcPr>
            <w:tcW w:w="1380" w:type="dxa"/>
            <w:vAlign w:val="bottom"/>
          </w:tcPr>
          <w:p>
            <w:pPr>
              <w:ind w:left="380"/>
              <w:spacing w:after="0"/>
              <w:rPr>
                <w:sz w:val="20"/>
                <w:szCs w:val="20"/>
                <w:color w:val="auto"/>
              </w:rPr>
            </w:pPr>
            <w:r>
              <w:rPr>
                <w:rFonts w:ascii="Arial" w:cs="Arial" w:eastAsia="Arial" w:hAnsi="Arial"/>
                <w:sz w:val="18"/>
                <w:szCs w:val="18"/>
                <w:color w:val="auto"/>
              </w:rPr>
              <w:t>BGA</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600" w:type="dxa"/>
            <w:vAlign w:val="bottom"/>
          </w:tcPr>
          <w:p>
            <w:pPr>
              <w:ind w:left="300"/>
              <w:spacing w:after="0"/>
              <w:rPr>
                <w:sz w:val="20"/>
                <w:szCs w:val="20"/>
                <w:color w:val="auto"/>
              </w:rPr>
            </w:pPr>
            <w:r>
              <w:rPr>
                <w:rFonts w:ascii="Arial" w:cs="Arial" w:eastAsia="Arial" w:hAnsi="Arial"/>
                <w:sz w:val="18"/>
                <w:szCs w:val="18"/>
                <w:color w:val="auto"/>
              </w:rPr>
              <w:t>United States of America</w:t>
            </w:r>
          </w:p>
        </w:tc>
      </w:tr>
      <w:tr>
        <w:trPr>
          <w:trHeight w:val="216"/>
        </w:trPr>
        <w:tc>
          <w:tcPr>
            <w:tcW w:w="1300" w:type="dxa"/>
            <w:vAlign w:val="bottom"/>
          </w:tcPr>
          <w:p>
            <w:pPr>
              <w:spacing w:after="0"/>
              <w:rPr>
                <w:sz w:val="18"/>
                <w:szCs w:val="18"/>
                <w:color w:val="auto"/>
              </w:rPr>
            </w:pPr>
          </w:p>
        </w:tc>
        <w:tc>
          <w:tcPr>
            <w:tcW w:w="1380" w:type="dxa"/>
            <w:vAlign w:val="bottom"/>
          </w:tcPr>
          <w:p>
            <w:pPr>
              <w:ind w:left="380"/>
              <w:spacing w:after="0"/>
              <w:rPr>
                <w:sz w:val="20"/>
                <w:szCs w:val="20"/>
                <w:color w:val="auto"/>
              </w:rPr>
            </w:pPr>
            <w:r>
              <w:rPr>
                <w:rFonts w:ascii="Arial" w:cs="Arial" w:eastAsia="Arial" w:hAnsi="Arial"/>
                <w:sz w:val="18"/>
                <w:szCs w:val="18"/>
                <w:color w:val="auto"/>
              </w:rPr>
              <w:t>SDC</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600" w:type="dxa"/>
            <w:vAlign w:val="bottom"/>
          </w:tcPr>
          <w:p>
            <w:pPr>
              <w:ind w:left="300"/>
              <w:spacing w:after="0"/>
              <w:rPr>
                <w:sz w:val="20"/>
                <w:szCs w:val="20"/>
                <w:color w:val="auto"/>
              </w:rPr>
            </w:pPr>
            <w:r>
              <w:rPr>
                <w:rFonts w:ascii="Arial" w:cs="Arial" w:eastAsia="Arial" w:hAnsi="Arial"/>
                <w:sz w:val="18"/>
                <w:szCs w:val="18"/>
                <w:color w:val="auto"/>
              </w:rPr>
              <w:t>United States of America</w:t>
            </w:r>
          </w:p>
        </w:tc>
      </w:tr>
      <w:tr>
        <w:trPr>
          <w:trHeight w:val="216"/>
        </w:trPr>
        <w:tc>
          <w:tcPr>
            <w:tcW w:w="1300" w:type="dxa"/>
            <w:vAlign w:val="bottom"/>
          </w:tcPr>
          <w:p>
            <w:pPr>
              <w:spacing w:after="0"/>
              <w:rPr>
                <w:sz w:val="18"/>
                <w:szCs w:val="18"/>
                <w:color w:val="auto"/>
              </w:rPr>
            </w:pPr>
          </w:p>
        </w:tc>
        <w:tc>
          <w:tcPr>
            <w:tcW w:w="1380" w:type="dxa"/>
            <w:vAlign w:val="bottom"/>
          </w:tcPr>
          <w:p>
            <w:pPr>
              <w:ind w:left="380"/>
              <w:spacing w:after="0"/>
              <w:rPr>
                <w:sz w:val="20"/>
                <w:szCs w:val="20"/>
                <w:color w:val="auto"/>
              </w:rPr>
            </w:pPr>
            <w:r>
              <w:rPr>
                <w:rFonts w:ascii="Arial" w:cs="Arial" w:eastAsia="Arial" w:hAnsi="Arial"/>
                <w:sz w:val="18"/>
                <w:szCs w:val="18"/>
                <w:color w:val="auto"/>
              </w:rPr>
              <w:t>RAJ</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600" w:type="dxa"/>
            <w:vAlign w:val="bottom"/>
          </w:tcPr>
          <w:p>
            <w:pPr>
              <w:ind w:left="300"/>
              <w:spacing w:after="0"/>
              <w:rPr>
                <w:sz w:val="20"/>
                <w:szCs w:val="20"/>
                <w:color w:val="auto"/>
              </w:rPr>
            </w:pPr>
            <w:r>
              <w:rPr>
                <w:rFonts w:ascii="Arial" w:cs="Arial" w:eastAsia="Arial" w:hAnsi="Arial"/>
                <w:sz w:val="18"/>
                <w:szCs w:val="18"/>
                <w:color w:val="auto"/>
              </w:rPr>
              <w:t>United States of America</w:t>
            </w:r>
          </w:p>
        </w:tc>
      </w:tr>
      <w:tr>
        <w:trPr>
          <w:trHeight w:val="216"/>
        </w:trPr>
        <w:tc>
          <w:tcPr>
            <w:tcW w:w="1300" w:type="dxa"/>
            <w:vAlign w:val="bottom"/>
          </w:tcPr>
          <w:p>
            <w:pPr>
              <w:spacing w:after="0"/>
              <w:rPr>
                <w:sz w:val="18"/>
                <w:szCs w:val="18"/>
                <w:color w:val="auto"/>
              </w:rPr>
            </w:pPr>
          </w:p>
        </w:tc>
        <w:tc>
          <w:tcPr>
            <w:tcW w:w="1380" w:type="dxa"/>
            <w:vAlign w:val="bottom"/>
          </w:tcPr>
          <w:p>
            <w:pPr>
              <w:ind w:left="380"/>
              <w:spacing w:after="0"/>
              <w:rPr>
                <w:sz w:val="20"/>
                <w:szCs w:val="20"/>
                <w:color w:val="auto"/>
              </w:rPr>
            </w:pPr>
            <w:r>
              <w:rPr>
                <w:rFonts w:ascii="Arial" w:cs="Arial" w:eastAsia="Arial" w:hAnsi="Arial"/>
                <w:sz w:val="18"/>
                <w:szCs w:val="18"/>
                <w:color w:val="auto"/>
              </w:rPr>
              <w:t>WJL</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600" w:type="dxa"/>
            <w:vAlign w:val="bottom"/>
          </w:tcPr>
          <w:p>
            <w:pPr>
              <w:ind w:left="300"/>
              <w:spacing w:after="0"/>
              <w:rPr>
                <w:sz w:val="20"/>
                <w:szCs w:val="20"/>
                <w:color w:val="auto"/>
              </w:rPr>
            </w:pPr>
            <w:r>
              <w:rPr>
                <w:rFonts w:ascii="Arial" w:cs="Arial" w:eastAsia="Arial" w:hAnsi="Arial"/>
                <w:sz w:val="18"/>
                <w:szCs w:val="18"/>
                <w:color w:val="auto"/>
              </w:rPr>
              <w:t>United States of America</w:t>
            </w:r>
          </w:p>
        </w:tc>
      </w:tr>
      <w:tr>
        <w:trPr>
          <w:trHeight w:val="216"/>
        </w:trPr>
        <w:tc>
          <w:tcPr>
            <w:tcW w:w="1300" w:type="dxa"/>
            <w:vAlign w:val="bottom"/>
          </w:tcPr>
          <w:p>
            <w:pPr>
              <w:spacing w:after="0"/>
              <w:rPr>
                <w:sz w:val="18"/>
                <w:szCs w:val="18"/>
                <w:color w:val="auto"/>
              </w:rPr>
            </w:pPr>
          </w:p>
        </w:tc>
        <w:tc>
          <w:tcPr>
            <w:tcW w:w="1380" w:type="dxa"/>
            <w:vAlign w:val="bottom"/>
          </w:tcPr>
          <w:p>
            <w:pPr>
              <w:ind w:left="380"/>
              <w:spacing w:after="0"/>
              <w:rPr>
                <w:sz w:val="20"/>
                <w:szCs w:val="20"/>
                <w:color w:val="auto"/>
              </w:rPr>
            </w:pPr>
            <w:r>
              <w:rPr>
                <w:rFonts w:ascii="Arial" w:cs="Arial" w:eastAsia="Arial" w:hAnsi="Arial"/>
                <w:sz w:val="18"/>
                <w:szCs w:val="18"/>
                <w:color w:val="auto"/>
              </w:rPr>
              <w:t>DBM</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600" w:type="dxa"/>
            <w:vAlign w:val="bottom"/>
          </w:tcPr>
          <w:p>
            <w:pPr>
              <w:ind w:left="300"/>
              <w:spacing w:after="0"/>
              <w:rPr>
                <w:sz w:val="20"/>
                <w:szCs w:val="20"/>
                <w:color w:val="auto"/>
              </w:rPr>
            </w:pPr>
            <w:r>
              <w:rPr>
                <w:rFonts w:ascii="Arial" w:cs="Arial" w:eastAsia="Arial" w:hAnsi="Arial"/>
                <w:sz w:val="18"/>
                <w:szCs w:val="18"/>
                <w:color w:val="auto"/>
              </w:rPr>
              <w:t>United States of America</w:t>
            </w:r>
          </w:p>
        </w:tc>
      </w:tr>
      <w:tr>
        <w:trPr>
          <w:trHeight w:val="216"/>
        </w:trPr>
        <w:tc>
          <w:tcPr>
            <w:tcW w:w="1300" w:type="dxa"/>
            <w:vAlign w:val="bottom"/>
          </w:tcPr>
          <w:p>
            <w:pPr>
              <w:spacing w:after="0"/>
              <w:rPr>
                <w:sz w:val="18"/>
                <w:szCs w:val="18"/>
                <w:color w:val="auto"/>
              </w:rPr>
            </w:pPr>
          </w:p>
        </w:tc>
        <w:tc>
          <w:tcPr>
            <w:tcW w:w="1380" w:type="dxa"/>
            <w:vAlign w:val="bottom"/>
          </w:tcPr>
          <w:p>
            <w:pPr>
              <w:ind w:left="380"/>
              <w:spacing w:after="0"/>
              <w:rPr>
                <w:sz w:val="20"/>
                <w:szCs w:val="20"/>
                <w:color w:val="auto"/>
              </w:rPr>
            </w:pPr>
            <w:r>
              <w:rPr>
                <w:rFonts w:ascii="Arial" w:cs="Arial" w:eastAsia="Arial" w:hAnsi="Arial"/>
                <w:sz w:val="18"/>
                <w:szCs w:val="18"/>
                <w:color w:val="auto"/>
              </w:rPr>
              <w:t>BNL</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600" w:type="dxa"/>
            <w:vAlign w:val="bottom"/>
          </w:tcPr>
          <w:p>
            <w:pPr>
              <w:ind w:left="300"/>
              <w:spacing w:after="0"/>
              <w:rPr>
                <w:sz w:val="20"/>
                <w:szCs w:val="20"/>
                <w:color w:val="auto"/>
              </w:rPr>
            </w:pPr>
            <w:r>
              <w:rPr>
                <w:rFonts w:ascii="Arial" w:cs="Arial" w:eastAsia="Arial" w:hAnsi="Arial"/>
                <w:sz w:val="18"/>
                <w:szCs w:val="18"/>
                <w:color w:val="auto"/>
              </w:rPr>
              <w:t>United States of America</w:t>
            </w:r>
          </w:p>
        </w:tc>
      </w:tr>
      <w:tr>
        <w:trPr>
          <w:trHeight w:val="230"/>
        </w:trPr>
        <w:tc>
          <w:tcPr>
            <w:tcW w:w="1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RBR</w:t>
            </w: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66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United States of America</w:t>
            </w:r>
          </w:p>
        </w:tc>
      </w:tr>
    </w:tbl>
    <w:p>
      <w:pPr>
        <w:spacing w:after="0" w:line="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of Class of Securities: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40005</wp:posOffset>
            </wp:positionV>
            <wp:extent cx="63119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311900" cy="8890"/>
                    </a:xfrm>
                    <a:prstGeom prst="rect">
                      <a:avLst/>
                    </a:prstGeom>
                    <a:noFill/>
                  </pic:spPr>
                </pic:pic>
              </a:graphicData>
            </a:graphic>
          </wp:anchor>
        </w:drawing>
      </w:r>
    </w:p>
    <w:p>
      <w:pPr>
        <w:spacing w:after="0" w:line="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CUSIP Number:</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40005</wp:posOffset>
            </wp:positionV>
            <wp:extent cx="63119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31190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this statement is filed pursuant to §§240.13d-1(b), or 240.13d-2(b) or (c), check whether the person filing is 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0" w:space="200"/>
            <w:col w:w="10400"/>
          </w:cols>
          <w:pgMar w:left="240" w:top="391" w:right="239" w:bottom="0" w:gutter="0" w:footer="0" w:header="0"/>
        </w:sectPr>
      </w:pPr>
    </w:p>
    <w:p>
      <w:pPr>
        <w:spacing w:after="0" w:line="200" w:lineRule="exact"/>
        <w:rPr>
          <w:sz w:val="20"/>
          <w:szCs w:val="20"/>
          <w:color w:val="auto"/>
        </w:rPr>
      </w:pPr>
    </w:p>
    <w:p>
      <w:pPr>
        <w:spacing w:after="0" w:line="375"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Versant</w:t>
            </w: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 Held</w:t>
            </w: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Sole Voting</w:t>
            </w: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Shared Voting</w:t>
            </w: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Sole Dispositive</w:t>
            </w:r>
          </w:p>
        </w:tc>
        <w:tc>
          <w:tcPr>
            <w:tcW w:w="16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Shared Dispositive</w:t>
            </w:r>
          </w:p>
        </w:tc>
        <w:tc>
          <w:tcPr>
            <w:tcW w:w="13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Beneficial</w:t>
            </w: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Percentage of Class</w:t>
            </w:r>
          </w:p>
        </w:tc>
      </w:tr>
      <w:tr>
        <w:trPr>
          <w:trHeight w:val="171"/>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Entities</w:t>
            </w:r>
          </w:p>
        </w:tc>
        <w:tc>
          <w:tcPr>
            <w:tcW w:w="24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Directly</w:t>
            </w:r>
          </w:p>
        </w:tc>
        <w:tc>
          <w:tcPr>
            <w:tcW w:w="2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Power</w:t>
            </w:r>
          </w:p>
        </w:tc>
        <w:tc>
          <w:tcPr>
            <w:tcW w:w="22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Power</w:t>
            </w:r>
          </w:p>
        </w:tc>
        <w:tc>
          <w:tcPr>
            <w:tcW w:w="1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Power</w:t>
            </w:r>
          </w:p>
        </w:tc>
        <w:tc>
          <w:tcPr>
            <w:tcW w:w="22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Power</w:t>
            </w:r>
          </w:p>
        </w:tc>
        <w:tc>
          <w:tcPr>
            <w:tcW w:w="2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Ownership</w:t>
            </w:r>
          </w:p>
        </w:tc>
        <w:tc>
          <w:tcPr>
            <w:tcW w:w="22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w:t>
            </w:r>
          </w:p>
        </w:tc>
        <w:tc>
          <w:tcPr>
            <w:tcW w:w="220" w:type="dxa"/>
            <w:vAlign w:val="bottom"/>
            <w:tcBorders>
              <w:bottom w:val="single" w:sz="8" w:color="CCEEFF"/>
            </w:tcBorders>
          </w:tcPr>
          <w:p>
            <w:pPr>
              <w:spacing w:after="0"/>
              <w:rPr>
                <w:sz w:val="14"/>
                <w:szCs w:val="14"/>
                <w:color w:val="auto"/>
              </w:rPr>
            </w:pPr>
          </w:p>
        </w:tc>
      </w:tr>
      <w:tr>
        <w:trPr>
          <w:trHeight w:val="142"/>
        </w:trPr>
        <w:tc>
          <w:tcPr>
            <w:tcW w:w="9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VVC-1</w:t>
            </w: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961,349</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961,349</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961,349</w:t>
            </w: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961,349</w:t>
            </w:r>
          </w:p>
        </w:tc>
        <w:tc>
          <w:tcPr>
            <w:tcW w:w="22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3.85%</w:t>
            </w:r>
          </w:p>
        </w:tc>
      </w:tr>
      <w:tr>
        <w:trPr>
          <w:trHeight w:val="149"/>
        </w:trPr>
        <w:tc>
          <w:tcPr>
            <w:tcW w:w="1140" w:type="dxa"/>
            <w:vAlign w:val="bottom"/>
            <w:gridSpan w:val="2"/>
          </w:tcPr>
          <w:p>
            <w:pPr>
              <w:spacing w:after="0" w:line="149" w:lineRule="exact"/>
              <w:rPr>
                <w:sz w:val="20"/>
                <w:szCs w:val="20"/>
                <w:color w:val="auto"/>
              </w:rPr>
            </w:pPr>
            <w:r>
              <w:rPr>
                <w:rFonts w:ascii="Arial" w:cs="Arial" w:eastAsia="Arial" w:hAnsi="Arial"/>
                <w:sz w:val="14"/>
                <w:szCs w:val="14"/>
                <w:color w:val="auto"/>
              </w:rPr>
              <w:t>VSF-1</w:t>
            </w: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20,017</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20,017</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1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20,017</w:t>
            </w:r>
          </w:p>
        </w:tc>
        <w:tc>
          <w:tcPr>
            <w:tcW w:w="1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20,017</w:t>
            </w:r>
          </w:p>
        </w:tc>
        <w:tc>
          <w:tcPr>
            <w:tcW w:w="1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0.08%</w:t>
            </w:r>
          </w:p>
        </w:tc>
      </w:tr>
      <w:tr>
        <w:trPr>
          <w:trHeight w:val="149"/>
        </w:trPr>
        <w:tc>
          <w:tcPr>
            <w:tcW w:w="1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VAF-I-A</w:t>
            </w: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17,696</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17,696</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17,696</w:t>
            </w:r>
          </w:p>
        </w:tc>
        <w:tc>
          <w:tcPr>
            <w:tcW w:w="1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17,696</w:t>
            </w:r>
          </w:p>
        </w:tc>
        <w:tc>
          <w:tcPr>
            <w:tcW w:w="1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0.07%</w:t>
            </w:r>
          </w:p>
        </w:tc>
      </w:tr>
      <w:tr>
        <w:trPr>
          <w:trHeight w:val="149"/>
        </w:trPr>
        <w:tc>
          <w:tcPr>
            <w:tcW w:w="1140" w:type="dxa"/>
            <w:vAlign w:val="bottom"/>
            <w:gridSpan w:val="2"/>
          </w:tcPr>
          <w:p>
            <w:pPr>
              <w:spacing w:after="0" w:line="149" w:lineRule="exact"/>
              <w:rPr>
                <w:sz w:val="20"/>
                <w:szCs w:val="20"/>
                <w:color w:val="auto"/>
              </w:rPr>
            </w:pPr>
            <w:r>
              <w:rPr>
                <w:rFonts w:ascii="Arial" w:cs="Arial" w:eastAsia="Arial" w:hAnsi="Arial"/>
                <w:sz w:val="14"/>
                <w:szCs w:val="14"/>
                <w:color w:val="auto"/>
              </w:rPr>
              <w:t>VAF-I-B</w:t>
            </w: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51,878</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51,878</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1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51,878</w:t>
            </w:r>
          </w:p>
        </w:tc>
        <w:tc>
          <w:tcPr>
            <w:tcW w:w="1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51,878</w:t>
            </w:r>
          </w:p>
        </w:tc>
        <w:tc>
          <w:tcPr>
            <w:tcW w:w="1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0.21%</w:t>
            </w:r>
          </w:p>
        </w:tc>
      </w:tr>
      <w:tr>
        <w:trPr>
          <w:trHeight w:val="149"/>
        </w:trPr>
        <w:tc>
          <w:tcPr>
            <w:tcW w:w="1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VVI-LLC</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1,050,940</w:t>
            </w:r>
          </w:p>
        </w:tc>
        <w:tc>
          <w:tcPr>
            <w:tcW w:w="1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1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1,050,940</w:t>
            </w: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1,050,940</w:t>
            </w:r>
          </w:p>
        </w:tc>
        <w:tc>
          <w:tcPr>
            <w:tcW w:w="1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4.21%</w:t>
            </w:r>
          </w:p>
        </w:tc>
      </w:tr>
      <w:tr>
        <w:trPr>
          <w:trHeight w:val="149"/>
        </w:trPr>
        <w:tc>
          <w:tcPr>
            <w:tcW w:w="1140" w:type="dxa"/>
            <w:vAlign w:val="bottom"/>
            <w:gridSpan w:val="2"/>
          </w:tcPr>
          <w:p>
            <w:pPr>
              <w:spacing w:after="0" w:line="149" w:lineRule="exact"/>
              <w:rPr>
                <w:sz w:val="20"/>
                <w:szCs w:val="20"/>
                <w:color w:val="auto"/>
              </w:rPr>
            </w:pPr>
            <w:r>
              <w:rPr>
                <w:rFonts w:ascii="Arial" w:cs="Arial" w:eastAsia="Arial" w:hAnsi="Arial"/>
                <w:sz w:val="14"/>
                <w:szCs w:val="14"/>
                <w:color w:val="auto"/>
              </w:rPr>
              <w:t>BGA</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1,050,940</w:t>
            </w:r>
          </w:p>
        </w:tc>
        <w:tc>
          <w:tcPr>
            <w:tcW w:w="180" w:type="dxa"/>
            <w:vAlign w:val="bottom"/>
          </w:tcPr>
          <w:p>
            <w:pPr>
              <w:spacing w:after="0"/>
              <w:rPr>
                <w:sz w:val="12"/>
                <w:szCs w:val="12"/>
                <w:color w:val="auto"/>
              </w:rPr>
            </w:pPr>
          </w:p>
        </w:tc>
        <w:tc>
          <w:tcPr>
            <w:tcW w:w="1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1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1,050,940</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1,050,940</w:t>
            </w:r>
          </w:p>
        </w:tc>
        <w:tc>
          <w:tcPr>
            <w:tcW w:w="1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4.21%</w:t>
            </w:r>
          </w:p>
        </w:tc>
      </w:tr>
      <w:tr>
        <w:trPr>
          <w:trHeight w:val="149"/>
        </w:trPr>
        <w:tc>
          <w:tcPr>
            <w:tcW w:w="1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SDC</w:t>
            </w: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49,586</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49,586</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1,050,940</w:t>
            </w:r>
          </w:p>
        </w:tc>
        <w:tc>
          <w:tcPr>
            <w:tcW w:w="1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49,586</w:t>
            </w:r>
          </w:p>
        </w:tc>
        <w:tc>
          <w:tcPr>
            <w:tcW w:w="1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1,050,940</w:t>
            </w: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1,100,526</w:t>
            </w:r>
          </w:p>
        </w:tc>
        <w:tc>
          <w:tcPr>
            <w:tcW w:w="1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4.40%</w:t>
            </w:r>
          </w:p>
        </w:tc>
      </w:tr>
      <w:tr>
        <w:trPr>
          <w:trHeight w:val="149"/>
        </w:trPr>
        <w:tc>
          <w:tcPr>
            <w:tcW w:w="1140" w:type="dxa"/>
            <w:vAlign w:val="bottom"/>
            <w:gridSpan w:val="2"/>
          </w:tcPr>
          <w:p>
            <w:pPr>
              <w:spacing w:after="0" w:line="149" w:lineRule="exact"/>
              <w:rPr>
                <w:sz w:val="20"/>
                <w:szCs w:val="20"/>
                <w:color w:val="auto"/>
              </w:rPr>
            </w:pPr>
            <w:r>
              <w:rPr>
                <w:rFonts w:ascii="Arial" w:cs="Arial" w:eastAsia="Arial" w:hAnsi="Arial"/>
                <w:sz w:val="14"/>
                <w:szCs w:val="14"/>
                <w:color w:val="auto"/>
              </w:rPr>
              <w:t>RAJ</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1,050,940</w:t>
            </w:r>
          </w:p>
        </w:tc>
        <w:tc>
          <w:tcPr>
            <w:tcW w:w="180" w:type="dxa"/>
            <w:vAlign w:val="bottom"/>
          </w:tcPr>
          <w:p>
            <w:pPr>
              <w:spacing w:after="0"/>
              <w:rPr>
                <w:sz w:val="12"/>
                <w:szCs w:val="12"/>
                <w:color w:val="auto"/>
              </w:rPr>
            </w:pPr>
          </w:p>
        </w:tc>
        <w:tc>
          <w:tcPr>
            <w:tcW w:w="1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1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1,050,940</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1,050,940</w:t>
            </w:r>
          </w:p>
        </w:tc>
        <w:tc>
          <w:tcPr>
            <w:tcW w:w="1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4.21%</w:t>
            </w:r>
          </w:p>
        </w:tc>
      </w:tr>
      <w:tr>
        <w:trPr>
          <w:trHeight w:val="149"/>
        </w:trPr>
        <w:tc>
          <w:tcPr>
            <w:tcW w:w="1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WJL</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1,050,940</w:t>
            </w:r>
          </w:p>
        </w:tc>
        <w:tc>
          <w:tcPr>
            <w:tcW w:w="1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1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1,050,940</w:t>
            </w: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1,050,940</w:t>
            </w:r>
          </w:p>
        </w:tc>
        <w:tc>
          <w:tcPr>
            <w:tcW w:w="1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4.21%</w:t>
            </w:r>
          </w:p>
        </w:tc>
      </w:tr>
      <w:tr>
        <w:trPr>
          <w:trHeight w:val="149"/>
        </w:trPr>
        <w:tc>
          <w:tcPr>
            <w:tcW w:w="1140" w:type="dxa"/>
            <w:vAlign w:val="bottom"/>
            <w:gridSpan w:val="2"/>
          </w:tcPr>
          <w:p>
            <w:pPr>
              <w:spacing w:after="0" w:line="149" w:lineRule="exact"/>
              <w:rPr>
                <w:sz w:val="20"/>
                <w:szCs w:val="20"/>
                <w:color w:val="auto"/>
              </w:rPr>
            </w:pPr>
            <w:r>
              <w:rPr>
                <w:rFonts w:ascii="Arial" w:cs="Arial" w:eastAsia="Arial" w:hAnsi="Arial"/>
                <w:sz w:val="14"/>
                <w:szCs w:val="14"/>
                <w:color w:val="auto"/>
              </w:rPr>
              <w:t>DBM</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1,050,940</w:t>
            </w:r>
          </w:p>
        </w:tc>
        <w:tc>
          <w:tcPr>
            <w:tcW w:w="180" w:type="dxa"/>
            <w:vAlign w:val="bottom"/>
          </w:tcPr>
          <w:p>
            <w:pPr>
              <w:spacing w:after="0"/>
              <w:rPr>
                <w:sz w:val="12"/>
                <w:szCs w:val="12"/>
                <w:color w:val="auto"/>
              </w:rPr>
            </w:pPr>
          </w:p>
        </w:tc>
        <w:tc>
          <w:tcPr>
            <w:tcW w:w="1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1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1,050,940</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1,050,940</w:t>
            </w:r>
          </w:p>
        </w:tc>
        <w:tc>
          <w:tcPr>
            <w:tcW w:w="1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4.21%</w:t>
            </w:r>
          </w:p>
        </w:tc>
      </w:tr>
      <w:tr>
        <w:trPr>
          <w:trHeight w:val="149"/>
        </w:trPr>
        <w:tc>
          <w:tcPr>
            <w:tcW w:w="1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BNL</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1,050,940</w:t>
            </w:r>
          </w:p>
        </w:tc>
        <w:tc>
          <w:tcPr>
            <w:tcW w:w="1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1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1,050,940</w:t>
            </w: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1,050,940</w:t>
            </w:r>
          </w:p>
        </w:tc>
        <w:tc>
          <w:tcPr>
            <w:tcW w:w="1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4.21%</w:t>
            </w:r>
          </w:p>
        </w:tc>
      </w:tr>
      <w:tr>
        <w:trPr>
          <w:trHeight w:val="182"/>
        </w:trPr>
        <w:tc>
          <w:tcPr>
            <w:tcW w:w="1140" w:type="dxa"/>
            <w:vAlign w:val="bottom"/>
            <w:gridSpan w:val="2"/>
          </w:tcPr>
          <w:p>
            <w:pPr>
              <w:spacing w:after="0"/>
              <w:rPr>
                <w:sz w:val="20"/>
                <w:szCs w:val="20"/>
                <w:color w:val="auto"/>
              </w:rPr>
            </w:pPr>
            <w:r>
              <w:rPr>
                <w:rFonts w:ascii="Arial" w:cs="Arial" w:eastAsia="Arial" w:hAnsi="Arial"/>
                <w:sz w:val="14"/>
                <w:szCs w:val="14"/>
                <w:color w:val="auto"/>
              </w:rPr>
              <w:t>RBR</w:t>
            </w:r>
          </w:p>
        </w:tc>
        <w:tc>
          <w:tcPr>
            <w:tcW w:w="1100" w:type="dxa"/>
            <w:vAlign w:val="bottom"/>
          </w:tcPr>
          <w:p>
            <w:pPr>
              <w:jc w:val="right"/>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1200" w:type="dxa"/>
            <w:vAlign w:val="bottom"/>
          </w:tcPr>
          <w:p>
            <w:pPr>
              <w:jc w:val="right"/>
              <w:spacing w:after="0"/>
              <w:rPr>
                <w:sz w:val="20"/>
                <w:szCs w:val="20"/>
                <w:color w:val="auto"/>
              </w:rPr>
            </w:pPr>
            <w:r>
              <w:rPr>
                <w:rFonts w:ascii="Arial" w:cs="Arial" w:eastAsia="Arial" w:hAnsi="Arial"/>
                <w:sz w:val="14"/>
                <w:szCs w:val="14"/>
                <w:color w:val="auto"/>
              </w:rPr>
              <w:t>1,050,940</w:t>
            </w:r>
          </w:p>
        </w:tc>
        <w:tc>
          <w:tcPr>
            <w:tcW w:w="1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1680" w:type="dxa"/>
            <w:vAlign w:val="bottom"/>
            <w:gridSpan w:val="2"/>
          </w:tcPr>
          <w:p>
            <w:pPr>
              <w:jc w:val="right"/>
              <w:ind w:right="220"/>
              <w:spacing w:after="0"/>
              <w:rPr>
                <w:sz w:val="20"/>
                <w:szCs w:val="20"/>
                <w:color w:val="auto"/>
              </w:rPr>
            </w:pPr>
            <w:r>
              <w:rPr>
                <w:rFonts w:ascii="Arial" w:cs="Arial" w:eastAsia="Arial" w:hAnsi="Arial"/>
                <w:sz w:val="14"/>
                <w:szCs w:val="14"/>
                <w:color w:val="auto"/>
              </w:rPr>
              <w:t>1,050,940</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1,050,940</w:t>
            </w:r>
          </w:p>
        </w:tc>
        <w:tc>
          <w:tcPr>
            <w:tcW w:w="1780" w:type="dxa"/>
            <w:vAlign w:val="bottom"/>
            <w:gridSpan w:val="2"/>
          </w:tcPr>
          <w:p>
            <w:pPr>
              <w:jc w:val="right"/>
              <w:ind w:right="100"/>
              <w:spacing w:after="0"/>
              <w:rPr>
                <w:sz w:val="20"/>
                <w:szCs w:val="20"/>
                <w:color w:val="auto"/>
              </w:rPr>
            </w:pPr>
            <w:r>
              <w:rPr>
                <w:rFonts w:ascii="Arial" w:cs="Arial" w:eastAsia="Arial" w:hAnsi="Arial"/>
                <w:sz w:val="14"/>
                <w:szCs w:val="14"/>
                <w:color w:val="auto"/>
              </w:rPr>
              <w:t>4.21%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82689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4" w:lineRule="exact"/>
        <w:rPr>
          <w:sz w:val="20"/>
          <w:szCs w:val="20"/>
          <w:color w:val="auto"/>
        </w:rPr>
      </w:pPr>
    </w:p>
    <w:p>
      <w:pPr>
        <w:ind w:left="780" w:right="60" w:hanging="329"/>
        <w:spacing w:after="0" w:line="342" w:lineRule="auto"/>
        <w:tabs>
          <w:tab w:leader="none" w:pos="787" w:val="left"/>
        </w:tabs>
        <w:numPr>
          <w:ilvl w:val="0"/>
          <w:numId w:val="58"/>
        </w:numPr>
        <w:rPr>
          <w:rFonts w:ascii="Arial" w:cs="Arial" w:eastAsia="Arial" w:hAnsi="Arial"/>
          <w:sz w:val="16"/>
          <w:szCs w:val="16"/>
          <w:color w:val="auto"/>
        </w:rPr>
      </w:pPr>
      <w:r>
        <w:rPr>
          <w:rFonts w:ascii="Arial" w:cs="Arial" w:eastAsia="Arial" w:hAnsi="Arial"/>
          <w:sz w:val="16"/>
          <w:szCs w:val="16"/>
          <w:color w:val="auto"/>
        </w:rPr>
        <w:t>VVI-LLC serves as the general partner of VVC-I, VSF-I, VAF-I-A, and VAF-I-B and owns no securities of the Issuer directly. BGA, SDC, RAJ, WJL, DBM, BNL and RBR are directors and/or members of VVI-LLC. None of BGA, SDC, RAJ, WJL, DBM, BNL and RBR owns no securities</w:t>
      </w:r>
    </w:p>
    <w:p>
      <w:pPr>
        <w:sectPr>
          <w:pgSz w:w="11900" w:h="16838" w:orient="portrait"/>
          <w:cols w:equalWidth="0" w:num="1">
            <w:col w:w="11420"/>
          </w:cols>
          <w:pgMar w:left="240" w:top="391" w:right="239" w:bottom="0" w:gutter="0" w:footer="0" w:header="0"/>
          <w:type w:val="continuous"/>
        </w:sectPr>
      </w:pPr>
    </w:p>
    <w:bookmarkStart w:id="12" w:name="page13"/>
    <w:bookmarkEnd w:id="12"/>
    <w:p>
      <w:pPr>
        <w:ind w:left="780"/>
        <w:spacing w:after="0"/>
        <w:rPr>
          <w:sz w:val="20"/>
          <w:szCs w:val="20"/>
          <w:color w:val="auto"/>
        </w:rPr>
      </w:pPr>
      <w:r>
        <w:rPr>
          <w:rFonts w:ascii="Arial" w:cs="Arial" w:eastAsia="Arial" w:hAnsi="Arial"/>
          <w:sz w:val="18"/>
          <w:szCs w:val="18"/>
          <w:color w:val="auto"/>
        </w:rPr>
        <w:t>of the Issuer directly except as otherwise set forth above.</w:t>
      </w:r>
    </w:p>
    <w:p>
      <w:pPr>
        <w:spacing w:after="0" w:line="23" w:lineRule="exact"/>
        <w:rPr>
          <w:sz w:val="20"/>
          <w:szCs w:val="20"/>
          <w:color w:val="auto"/>
        </w:rPr>
      </w:pPr>
    </w:p>
    <w:p>
      <w:pPr>
        <w:ind w:left="780" w:right="260" w:hanging="329"/>
        <w:spacing w:after="0" w:line="261" w:lineRule="auto"/>
        <w:tabs>
          <w:tab w:leader="none" w:pos="78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percentage is calculated based upon 24,989,328 shares of the Issuer’s common stock outstanding as of October 31, 2012 as set forth in the Issuer’s most recent 10-Q filed with the Securities and Exchange Commission on November 9, 2012.</w:t>
      </w:r>
    </w:p>
    <w:p>
      <w:pPr>
        <w:spacing w:after="0" w:line="396"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121"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x.</w:t>
      </w:r>
    </w:p>
    <w:p>
      <w:pPr>
        <w:spacing w:after="0" w:line="383"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37" w:lineRule="exact"/>
        <w:rPr>
          <w:sz w:val="20"/>
          <w:szCs w:val="20"/>
          <w:color w:val="auto"/>
        </w:rPr>
      </w:pPr>
    </w:p>
    <w:p>
      <w:pPr>
        <w:ind w:left="1180" w:right="20" w:hanging="1120"/>
        <w:spacing w:after="0" w:line="282" w:lineRule="auto"/>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a Group</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300"/>
        <w:spacing w:after="0" w:line="49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 Dated: February 7, 2013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Affiliates Fund I-A,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Versant Ventures I, LLC</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Its:</w:t>
            </w:r>
          </w:p>
        </w:tc>
        <w:tc>
          <w:tcPr>
            <w:tcW w:w="502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L. Praeger</w:t>
            </w:r>
          </w:p>
        </w:tc>
      </w:tr>
      <w:tr>
        <w:trPr>
          <w:trHeight w:val="224"/>
        </w:trPr>
        <w:tc>
          <w:tcPr>
            <w:tcW w:w="78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Authorized Representative</w:t>
            </w:r>
          </w:p>
        </w:tc>
      </w:tr>
      <w:tr>
        <w:trPr>
          <w:trHeight w:val="418"/>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Versant Affiliates Fund I-B, L.P.</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Versant Ventures I, LLC</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Its:</w:t>
            </w:r>
          </w:p>
        </w:tc>
        <w:tc>
          <w:tcPr>
            <w:tcW w:w="502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L. Praeger</w:t>
            </w:r>
          </w:p>
        </w:tc>
      </w:tr>
      <w:tr>
        <w:trPr>
          <w:trHeight w:val="224"/>
        </w:trPr>
        <w:tc>
          <w:tcPr>
            <w:tcW w:w="78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Authorized Representative</w:t>
            </w:r>
          </w:p>
        </w:tc>
      </w:tr>
      <w:tr>
        <w:trPr>
          <w:trHeight w:val="418"/>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Versant Side Fund I, L.P.</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Versant Ventures I, LLC</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Its:</w:t>
            </w:r>
          </w:p>
        </w:tc>
        <w:tc>
          <w:tcPr>
            <w:tcW w:w="502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L. Praeger</w:t>
            </w:r>
          </w:p>
        </w:tc>
      </w:tr>
      <w:tr>
        <w:trPr>
          <w:trHeight w:val="224"/>
        </w:trPr>
        <w:tc>
          <w:tcPr>
            <w:tcW w:w="78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Authorized Representative</w:t>
            </w:r>
          </w:p>
        </w:tc>
      </w:tr>
      <w:tr>
        <w:trPr>
          <w:trHeight w:val="418"/>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Versant Venture Capital I, L.P.</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Versant Ventures I, LLC</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Its:</w:t>
            </w:r>
          </w:p>
        </w:tc>
        <w:tc>
          <w:tcPr>
            <w:tcW w:w="502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L. Praeger</w:t>
            </w:r>
          </w:p>
        </w:tc>
      </w:tr>
      <w:tr>
        <w:trPr>
          <w:trHeight w:val="224"/>
        </w:trPr>
        <w:tc>
          <w:tcPr>
            <w:tcW w:w="78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Authorized Representative</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I, LLC</w:t>
      </w:r>
    </w:p>
    <w:p>
      <w:pPr>
        <w:sectPr>
          <w:pgSz w:w="11900" w:h="16838" w:orient="portrait"/>
          <w:cols w:equalWidth="0" w:num="1">
            <w:col w:w="11360"/>
          </w:cols>
          <w:pgMar w:left="240" w:top="125" w:right="299" w:bottom="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L. Praeger</w:t>
            </w:r>
          </w:p>
        </w:tc>
      </w:tr>
      <w:tr>
        <w:trPr>
          <w:trHeight w:val="224"/>
        </w:trPr>
        <w:tc>
          <w:tcPr>
            <w:tcW w:w="78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Authorized Representative</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G. Atwood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791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Samuel D. Colella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791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Ross A. Jaffe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791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791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Donald B. Milder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791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Rebecca B.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791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Barbara N. Lubash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791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20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JOINT FILING STATEMENT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the undersigned, hereby express our agreement that the attached Schedule 13G (or any amendments thereto) related to the Common Stock of Fluidigm Corporation is filed on behalf of each of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7,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Affiliates Fund I-A,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Pr>
          <w:p>
            <w:pPr>
              <w:spacing w:after="0"/>
              <w:rPr>
                <w:sz w:val="20"/>
                <w:szCs w:val="20"/>
                <w:color w:val="auto"/>
              </w:rPr>
            </w:pPr>
            <w:r>
              <w:rPr>
                <w:rFonts w:ascii="Arial" w:cs="Arial" w:eastAsia="Arial" w:hAnsi="Arial"/>
                <w:sz w:val="18"/>
                <w:szCs w:val="18"/>
                <w:color w:val="auto"/>
              </w:rPr>
              <w:t>Versant Ventures I, LLC</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Its:</w:t>
            </w:r>
          </w:p>
        </w:tc>
        <w:tc>
          <w:tcPr>
            <w:tcW w:w="49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L. Praeger</w:t>
            </w:r>
          </w:p>
        </w:tc>
      </w:tr>
      <w:tr>
        <w:trPr>
          <w:trHeight w:val="224"/>
        </w:trPr>
        <w:tc>
          <w:tcPr>
            <w:tcW w:w="80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Authorized Representative</w:t>
            </w:r>
          </w:p>
        </w:tc>
      </w:tr>
      <w:tr>
        <w:trPr>
          <w:trHeight w:val="418"/>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Versant Affiliates Fund I-B, L.P.</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Pr>
          <w:p>
            <w:pPr>
              <w:spacing w:after="0"/>
              <w:rPr>
                <w:sz w:val="20"/>
                <w:szCs w:val="20"/>
                <w:color w:val="auto"/>
              </w:rPr>
            </w:pPr>
            <w:r>
              <w:rPr>
                <w:rFonts w:ascii="Arial" w:cs="Arial" w:eastAsia="Arial" w:hAnsi="Arial"/>
                <w:sz w:val="18"/>
                <w:szCs w:val="18"/>
                <w:color w:val="auto"/>
              </w:rPr>
              <w:t>Versant Ventures I, LLC</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Its:</w:t>
            </w:r>
          </w:p>
        </w:tc>
        <w:tc>
          <w:tcPr>
            <w:tcW w:w="49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L. Praeger</w:t>
            </w:r>
          </w:p>
        </w:tc>
      </w:tr>
      <w:tr>
        <w:trPr>
          <w:trHeight w:val="224"/>
        </w:trPr>
        <w:tc>
          <w:tcPr>
            <w:tcW w:w="80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Authorized Representative</w:t>
            </w:r>
          </w:p>
        </w:tc>
      </w:tr>
      <w:tr>
        <w:trPr>
          <w:trHeight w:val="418"/>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Versant Side Fund I, L.P.</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Pr>
          <w:p>
            <w:pPr>
              <w:spacing w:after="0"/>
              <w:rPr>
                <w:sz w:val="20"/>
                <w:szCs w:val="20"/>
                <w:color w:val="auto"/>
              </w:rPr>
            </w:pPr>
            <w:r>
              <w:rPr>
                <w:rFonts w:ascii="Arial" w:cs="Arial" w:eastAsia="Arial" w:hAnsi="Arial"/>
                <w:sz w:val="18"/>
                <w:szCs w:val="18"/>
                <w:color w:val="auto"/>
              </w:rPr>
              <w:t>Versant Ventures I, LLC</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Its:</w:t>
            </w:r>
          </w:p>
        </w:tc>
        <w:tc>
          <w:tcPr>
            <w:tcW w:w="49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L. Praeger</w:t>
            </w:r>
          </w:p>
        </w:tc>
      </w:tr>
      <w:tr>
        <w:trPr>
          <w:trHeight w:val="224"/>
        </w:trPr>
        <w:tc>
          <w:tcPr>
            <w:tcW w:w="80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Authorized Representative</w:t>
            </w:r>
          </w:p>
        </w:tc>
      </w:tr>
      <w:tr>
        <w:trPr>
          <w:trHeight w:val="418"/>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Versant Venture Capital I, L.P.</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Pr>
          <w:p>
            <w:pPr>
              <w:spacing w:after="0"/>
              <w:rPr>
                <w:sz w:val="20"/>
                <w:szCs w:val="20"/>
                <w:color w:val="auto"/>
              </w:rPr>
            </w:pPr>
            <w:r>
              <w:rPr>
                <w:rFonts w:ascii="Arial" w:cs="Arial" w:eastAsia="Arial" w:hAnsi="Arial"/>
                <w:sz w:val="18"/>
                <w:szCs w:val="18"/>
                <w:color w:val="auto"/>
              </w:rPr>
              <w:t>Versant Ventures I, LLC</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Its:</w:t>
            </w:r>
          </w:p>
        </w:tc>
        <w:tc>
          <w:tcPr>
            <w:tcW w:w="49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L. Praeger</w:t>
            </w:r>
          </w:p>
        </w:tc>
      </w:tr>
      <w:tr>
        <w:trPr>
          <w:trHeight w:val="224"/>
        </w:trPr>
        <w:tc>
          <w:tcPr>
            <w:tcW w:w="80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Authorized Representative</w:t>
            </w:r>
          </w:p>
        </w:tc>
      </w:tr>
      <w:tr>
        <w:trPr>
          <w:trHeight w:val="418"/>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Versant Ventures I, LLC</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L. Praeger</w:t>
            </w:r>
          </w:p>
        </w:tc>
      </w:tr>
    </w:tbl>
    <w:p>
      <w:pPr>
        <w:sectPr>
          <w:pgSz w:w="11900" w:h="16838" w:orient="portrait"/>
          <w:cols w:equalWidth="0" w:num="1">
            <w:col w:w="11120"/>
          </w:cols>
          <w:pgMar w:left="240" w:top="557" w:right="539" w:bottom="0" w:gutter="0" w:footer="0" w:header="0"/>
        </w:sectPr>
      </w:pPr>
    </w:p>
    <w:bookmarkStart w:id="14" w:name="page15"/>
    <w:bookmarkEnd w:id="14"/>
    <w:p>
      <w:pPr>
        <w:ind w:left="800"/>
        <w:spacing w:after="0"/>
        <w:rPr>
          <w:sz w:val="20"/>
          <w:szCs w:val="20"/>
          <w:color w:val="auto"/>
        </w:rPr>
      </w:pPr>
      <w:r>
        <w:rPr>
          <w:rFonts w:ascii="Arial" w:cs="Arial" w:eastAsia="Arial" w:hAnsi="Arial"/>
          <w:sz w:val="18"/>
          <w:szCs w:val="18"/>
          <w:color w:val="auto"/>
        </w:rPr>
        <w:t>Authorized Representative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G. Atwood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6204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Samuel D. Colella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6204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Ross A. Jaffe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6204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6204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Donald B. Milder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6204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Rebecca B.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6204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Barbara N. Lubash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6204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20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o"/>
      <w:numFmt w:val="bullet"/>
      <w:start w:val="1"/>
    </w:lvl>
  </w:abstractNum>
  <w:abstractNum w:abstractNumId="1">
    <w:nsid w:val="1E7FF521"/>
    <w:multiLevelType w:val="hybridMultilevel"/>
    <w:lvl w:ilvl="0">
      <w:lvlJc w:val="left"/>
      <w:lvlText w:val="%1."/>
      <w:numFmt w:val="decimal"/>
      <w:start w:val="1"/>
    </w:lvl>
    <w:lvl w:ilvl="1">
      <w:lvlJc w:val="left"/>
      <w:lvlText w:val="(%2)"/>
      <w:numFmt w:val="lowerLetter"/>
      <w:start w:val="1"/>
    </w:lvl>
  </w:abstractNum>
  <w:abstractNum w:abstractNumId="2">
    <w:nsid w:val="7C3DBD3D"/>
    <w:multiLevelType w:val="hybridMultilevel"/>
    <w:lvl w:ilvl="0">
      <w:lvlJc w:val="left"/>
      <w:lvlText w:val="%1."/>
      <w:numFmt w:val="decimal"/>
      <w:start w:val="9"/>
    </w:lvl>
  </w:abstractNum>
  <w:abstractNum w:abstractNumId="3">
    <w:nsid w:val="737B8DDC"/>
    <w:multiLevelType w:val="hybridMultilevel"/>
    <w:lvl w:ilvl="0">
      <w:lvlJc w:val="left"/>
      <w:lvlText w:val="%1"/>
      <w:numFmt w:val="decimal"/>
      <w:start w:val="1"/>
    </w:lvl>
    <w:lvl w:ilvl="1">
      <w:lvlJc w:val="left"/>
      <w:lvlText w:val="%2"/>
      <w:numFmt w:val="upperLetter"/>
      <w:start w:val="1"/>
    </w:lvl>
    <w:lvl w:ilvl="2">
      <w:lvlJc w:val="left"/>
      <w:lvlText w:val="%3."/>
      <w:numFmt w:val="decimal"/>
      <w:start w:val="10"/>
    </w:lvl>
  </w:abstractNum>
  <w:abstractNum w:abstractNumId="4">
    <w:nsid w:val="6CEAF087"/>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5">
    <w:nsid w:val="22221A70"/>
    <w:multiLevelType w:val="hybridMultilevel"/>
    <w:lvl w:ilvl="0">
      <w:lvlJc w:val="left"/>
      <w:lvlText w:val="%1."/>
      <w:numFmt w:val="decimal"/>
      <w:start w:val="1"/>
    </w:lvl>
    <w:lvl w:ilvl="1">
      <w:lvlJc w:val="left"/>
      <w:lvlText w:val="(%2)"/>
      <w:numFmt w:val="lowerLetter"/>
      <w:start w:val="1"/>
    </w:lvl>
  </w:abstractNum>
  <w:abstractNum w:abstractNumId="6">
    <w:nsid w:val="4516DDE9"/>
    <w:multiLevelType w:val="hybridMultilevel"/>
    <w:lvl w:ilvl="0">
      <w:lvlJc w:val="left"/>
      <w:lvlText w:val="%1."/>
      <w:numFmt w:val="decimal"/>
      <w:start w:val="9"/>
    </w:lvl>
  </w:abstractNum>
  <w:abstractNum w:abstractNumId="7">
    <w:nsid w:val="3006C83E"/>
    <w:multiLevelType w:val="hybridMultilevel"/>
    <w:lvl w:ilvl="0">
      <w:lvlJc w:val="left"/>
      <w:lvlText w:val="(%1)"/>
      <w:numFmt w:val="decimal"/>
      <w:start w:val="1"/>
    </w:lvl>
  </w:abstractNum>
  <w:abstractNum w:abstractNumId="8">
    <w:nsid w:val="614FD4A1"/>
    <w:multiLevelType w:val="hybridMultilevel"/>
    <w:lvl w:ilvl="0">
      <w:lvlJc w:val="left"/>
      <w:lvlText w:val="%1."/>
      <w:numFmt w:val="decimal"/>
      <w:start w:val="1"/>
    </w:lvl>
    <w:lvl w:ilvl="1">
      <w:lvlJc w:val="left"/>
      <w:lvlText w:val="(%2)"/>
      <w:numFmt w:val="lowerLetter"/>
      <w:start w:val="1"/>
    </w:lvl>
  </w:abstractNum>
  <w:abstractNum w:abstractNumId="9">
    <w:nsid w:val="419AC241"/>
    <w:multiLevelType w:val="hybridMultilevel"/>
    <w:lvl w:ilvl="0">
      <w:lvlJc w:val="left"/>
      <w:lvlText w:val="%1"/>
      <w:numFmt w:val="decimal"/>
      <w:start w:val="1"/>
    </w:lvl>
    <w:lvl w:ilvl="1">
      <w:lvlJc w:val="left"/>
      <w:lvlText w:val="%2"/>
      <w:numFmt w:val="upperLetter"/>
      <w:start w:val="1"/>
    </w:lvl>
    <w:lvl w:ilvl="2">
      <w:lvlJc w:val="left"/>
      <w:lvlText w:val="%3."/>
      <w:numFmt w:val="decimal"/>
      <w:start w:val="9"/>
    </w:lvl>
  </w:abstractNum>
  <w:abstractNum w:abstractNumId="10">
    <w:nsid w:val="5577F8E1"/>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11">
    <w:nsid w:val="440BADFC"/>
    <w:multiLevelType w:val="hybridMultilevel"/>
    <w:lvl w:ilvl="0">
      <w:lvlJc w:val="left"/>
      <w:lvlText w:val="%1."/>
      <w:numFmt w:val="decimal"/>
      <w:start w:val="1"/>
    </w:lvl>
    <w:lvl w:ilvl="1">
      <w:lvlJc w:val="left"/>
      <w:lvlText w:val="(%2)"/>
      <w:numFmt w:val="lowerLetter"/>
      <w:start w:val="1"/>
    </w:lvl>
  </w:abstractNum>
  <w:abstractNum w:abstractNumId="12">
    <w:nsid w:val="5072367"/>
    <w:multiLevelType w:val="hybridMultilevel"/>
    <w:lvl w:ilvl="0">
      <w:lvlJc w:val="left"/>
      <w:lvlText w:val="%1"/>
      <w:numFmt w:val="decimal"/>
      <w:start w:val="1"/>
    </w:lvl>
    <w:lvl w:ilvl="1">
      <w:lvlJc w:val="left"/>
      <w:lvlText w:val="%2"/>
      <w:numFmt w:val="upperLetter"/>
      <w:start w:val="1"/>
    </w:lvl>
    <w:lvl w:ilvl="2">
      <w:lvlJc w:val="left"/>
      <w:lvlText w:val="%3."/>
      <w:numFmt w:val="decimal"/>
      <w:start w:val="9"/>
    </w:lvl>
  </w:abstractNum>
  <w:abstractNum w:abstractNumId="13">
    <w:nsid w:val="3804823E"/>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14">
    <w:nsid w:val="77465F01"/>
    <w:multiLevelType w:val="hybridMultilevel"/>
    <w:lvl w:ilvl="0">
      <w:lvlJc w:val="left"/>
      <w:lvlText w:val="%1."/>
      <w:numFmt w:val="decimal"/>
      <w:start w:val="1"/>
    </w:lvl>
  </w:abstractNum>
  <w:abstractNum w:abstractNumId="15">
    <w:nsid w:val="7724C67E"/>
    <w:multiLevelType w:val="hybridMultilevel"/>
    <w:lvl w:ilvl="0">
      <w:lvlJc w:val="left"/>
      <w:lvlText w:val="%1"/>
      <w:numFmt w:val="decimal"/>
      <w:start w:val="1"/>
    </w:lvl>
    <w:lvl w:ilvl="1">
      <w:lvlJc w:val="left"/>
      <w:lvlText w:val="(%2)"/>
      <w:numFmt w:val="lowerLetter"/>
      <w:start w:val="1"/>
    </w:lvl>
  </w:abstractNum>
  <w:abstractNum w:abstractNumId="16">
    <w:nsid w:val="5C482A97"/>
    <w:multiLevelType w:val="hybridMultilevel"/>
    <w:lvl w:ilvl="0">
      <w:lvlJc w:val="left"/>
      <w:lvlText w:val="%1."/>
      <w:numFmt w:val="decimal"/>
      <w:start w:val="3"/>
    </w:lvl>
    <w:lvl w:ilvl="1">
      <w:lvlJc w:val="left"/>
      <w:lvlText w:val="%2"/>
      <w:numFmt w:val="lowerLetter"/>
      <w:start w:val="1"/>
    </w:lvl>
  </w:abstractNum>
  <w:abstractNum w:abstractNumId="17">
    <w:nsid w:val="2463B9EA"/>
    <w:multiLevelType w:val="hybridMultilevel"/>
    <w:lvl w:ilvl="0">
      <w:lvlJc w:val="left"/>
      <w:lvlText w:val="%1"/>
      <w:numFmt w:val="decimal"/>
      <w:start w:val="1"/>
    </w:lvl>
    <w:lvl w:ilvl="1">
      <w:lvlJc w:val="left"/>
      <w:lvlText w:val="%2"/>
      <w:numFmt w:val="upperLetter"/>
      <w:start w:val="1"/>
    </w:lvl>
    <w:lvl w:ilvl="2">
      <w:lvlJc w:val="left"/>
      <w:lvlText w:val="%3."/>
      <w:numFmt w:val="decimal"/>
      <w:start w:val="9"/>
    </w:lvl>
  </w:abstractNum>
  <w:abstractNum w:abstractNumId="18">
    <w:nsid w:val="5E884ADC"/>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19">
    <w:nsid w:val="51EAD36B"/>
    <w:multiLevelType w:val="hybridMultilevel"/>
    <w:lvl w:ilvl="0">
      <w:lvlJc w:val="left"/>
      <w:lvlText w:val="%1"/>
      <w:numFmt w:val="decimal"/>
      <w:start w:val="1"/>
    </w:lvl>
    <w:lvl w:ilvl="1">
      <w:lvlJc w:val="left"/>
      <w:lvlText w:val="%2."/>
      <w:numFmt w:val="upperLetter"/>
      <w:start w:val="2"/>
    </w:lvl>
    <w:lvl w:ilvl="2">
      <w:lvlJc w:val="left"/>
      <w:lvlText w:val="%3"/>
      <w:numFmt w:val="decimal"/>
      <w:start w:val="1"/>
    </w:lvl>
  </w:abstractNum>
  <w:abstractNum w:abstractNumId="20">
    <w:nsid w:val="2D517796"/>
    <w:multiLevelType w:val="hybridMultilevel"/>
    <w:lvl w:ilvl="0">
      <w:lvlJc w:val="left"/>
      <w:lvlText w:val="(%1)"/>
      <w:numFmt w:val="decimal"/>
      <w:start w:val="3"/>
    </w:lvl>
    <w:lvl w:ilvl="1">
      <w:lvlJc w:val="left"/>
      <w:lvlText w:val="%2"/>
      <w:numFmt w:val="upperLetter"/>
      <w:start w:val="1"/>
    </w:lvl>
    <w:lvl w:ilvl="2">
      <w:lvlJc w:val="left"/>
      <w:lvlText w:val="%3"/>
      <w:numFmt w:val="decimal"/>
      <w:start w:val="1"/>
    </w:lvl>
  </w:abstractNum>
  <w:abstractNum w:abstractNumId="21">
    <w:nsid w:val="580BD78F"/>
    <w:multiLevelType w:val="hybridMultilevel"/>
    <w:lvl w:ilvl="0">
      <w:lvlJc w:val="left"/>
      <w:lvlText w:val="%1."/>
      <w:numFmt w:val="decimal"/>
      <w:start w:val="1"/>
    </w:lvl>
    <w:lvl w:ilvl="1">
      <w:lvlJc w:val="left"/>
      <w:lvlText w:val="(%2)"/>
      <w:numFmt w:val="lowerLetter"/>
      <w:start w:val="1"/>
    </w:lvl>
  </w:abstractNum>
  <w:abstractNum w:abstractNumId="22">
    <w:nsid w:val="153EA438"/>
    <w:multiLevelType w:val="hybridMultilevel"/>
    <w:lvl w:ilvl="0">
      <w:lvlJc w:val="left"/>
      <w:lvlText w:val="%1"/>
      <w:numFmt w:val="decimal"/>
      <w:start w:val="1"/>
    </w:lvl>
    <w:lvl w:ilvl="1">
      <w:lvlJc w:val="left"/>
      <w:lvlText w:val="%2"/>
      <w:numFmt w:val="upperLetter"/>
      <w:start w:val="1"/>
    </w:lvl>
    <w:lvl w:ilvl="2">
      <w:lvlJc w:val="left"/>
      <w:lvlText w:val="%3."/>
      <w:numFmt w:val="decimal"/>
      <w:start w:val="9"/>
    </w:lvl>
  </w:abstractNum>
  <w:abstractNum w:abstractNumId="23">
    <w:nsid w:val="3855585C"/>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24">
    <w:nsid w:val="70A64E2A"/>
    <w:multiLevelType w:val="hybridMultilevel"/>
    <w:lvl w:ilvl="0">
      <w:lvlJc w:val="left"/>
      <w:lvlText w:val="%1"/>
      <w:numFmt w:val="decimal"/>
      <w:start w:val="1"/>
    </w:lvl>
    <w:lvl w:ilvl="1">
      <w:lvlJc w:val="left"/>
      <w:lvlText w:val="%2."/>
      <w:numFmt w:val="upperLetter"/>
      <w:start w:val="2"/>
    </w:lvl>
    <w:lvl w:ilvl="2">
      <w:lvlJc w:val="left"/>
      <w:lvlText w:val="%3"/>
      <w:numFmt w:val="decimal"/>
      <w:start w:val="1"/>
    </w:lvl>
  </w:abstractNum>
  <w:abstractNum w:abstractNumId="25">
    <w:nsid w:val="6A2342EC"/>
    <w:multiLevelType w:val="hybridMultilevel"/>
    <w:lvl w:ilvl="0">
      <w:lvlJc w:val="left"/>
      <w:lvlText w:val="(%1)"/>
      <w:numFmt w:val="decimal"/>
      <w:start w:val="3"/>
    </w:lvl>
    <w:lvl w:ilvl="1">
      <w:lvlJc w:val="left"/>
      <w:lvlText w:val="%2"/>
      <w:numFmt w:val="upperLetter"/>
      <w:start w:val="1"/>
    </w:lvl>
    <w:lvl w:ilvl="2">
      <w:lvlJc w:val="left"/>
      <w:lvlText w:val="%3"/>
      <w:numFmt w:val="decimal"/>
      <w:start w:val="1"/>
    </w:lvl>
  </w:abstractNum>
  <w:abstractNum w:abstractNumId="26">
    <w:nsid w:val="2A487CB0"/>
    <w:multiLevelType w:val="hybridMultilevel"/>
    <w:lvl w:ilvl="0">
      <w:lvlJc w:val="left"/>
      <w:lvlText w:val="%1."/>
      <w:numFmt w:val="decimal"/>
      <w:start w:val="1"/>
    </w:lvl>
    <w:lvl w:ilvl="1">
      <w:lvlJc w:val="left"/>
      <w:lvlText w:val="(%2)"/>
      <w:numFmt w:val="lowerLetter"/>
      <w:start w:val="1"/>
    </w:lvl>
  </w:abstractNum>
  <w:abstractNum w:abstractNumId="27">
    <w:nsid w:val="1D4ED43B"/>
    <w:multiLevelType w:val="hybridMultilevel"/>
    <w:lvl w:ilvl="0">
      <w:lvlJc w:val="left"/>
      <w:lvlText w:val="%1"/>
      <w:numFmt w:val="decimal"/>
      <w:start w:val="1"/>
    </w:lvl>
    <w:lvl w:ilvl="1">
      <w:lvlJc w:val="left"/>
      <w:lvlText w:val="%2"/>
      <w:numFmt w:val="decimal"/>
      <w:start w:val="1"/>
    </w:lvl>
    <w:lvl w:ilvl="2">
      <w:lvlJc w:val="left"/>
      <w:lvlText w:val="%3."/>
      <w:numFmt w:val="decimal"/>
      <w:start w:val="7"/>
    </w:lvl>
  </w:abstractNum>
  <w:abstractNum w:abstractNumId="28">
    <w:nsid w:val="725A06FB"/>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29">
    <w:nsid w:val="2CD89A32"/>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30">
    <w:nsid w:val="57E4CCAF"/>
    <w:multiLevelType w:val="hybridMultilevel"/>
    <w:lvl w:ilvl="0">
      <w:lvlJc w:val="left"/>
      <w:lvlText w:val="%1."/>
      <w:numFmt w:val="decimal"/>
      <w:start w:val="1"/>
    </w:lvl>
    <w:lvl w:ilvl="1">
      <w:lvlJc w:val="left"/>
      <w:lvlText w:val="(%2)"/>
      <w:numFmt w:val="lowerLetter"/>
      <w:start w:val="1"/>
    </w:lvl>
  </w:abstractNum>
  <w:abstractNum w:abstractNumId="31">
    <w:nsid w:val="7A6D8D3C"/>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lvl w:ilvl="3">
      <w:lvlJc w:val="left"/>
      <w:lvlText w:val="%4."/>
      <w:numFmt w:val="decimal"/>
      <w:start w:val="8"/>
    </w:lvl>
  </w:abstractNum>
  <w:abstractNum w:abstractNumId="32">
    <w:nsid w:val="4B588F54"/>
    <w:multiLevelType w:val="hybridMultilevel"/>
    <w:lvl w:ilvl="0">
      <w:lvlJc w:val="left"/>
      <w:lvlText w:val="%1"/>
      <w:numFmt w:val="decimal"/>
      <w:start w:val="1"/>
    </w:lvl>
    <w:lvl w:ilvl="1">
      <w:lvlJc w:val="left"/>
      <w:lvlText w:val="%2"/>
      <w:numFmt w:val="upperLetter"/>
      <w:start w:val="1"/>
    </w:lvl>
    <w:lvl w:ilvl="2">
      <w:lvlJc w:val="left"/>
      <w:lvlText w:val="%3."/>
      <w:numFmt w:val="decimal"/>
      <w:start w:val="9"/>
    </w:lvl>
    <w:lvl w:ilvl="3">
      <w:lvlJc w:val="left"/>
      <w:lvlText w:val="%4"/>
      <w:numFmt w:val="decimal"/>
      <w:start w:val="1"/>
    </w:lvl>
  </w:abstractNum>
  <w:abstractNum w:abstractNumId="33">
    <w:nsid w:val="542289EC"/>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lvl w:ilvl="3">
      <w:lvlJc w:val="left"/>
      <w:lvlText w:val="%4"/>
      <w:numFmt w:val="decimal"/>
      <w:start w:val="1"/>
    </w:lvl>
  </w:abstractNum>
  <w:abstractNum w:abstractNumId="34">
    <w:nsid w:val="6DE91B18"/>
    <w:multiLevelType w:val="hybridMultilevel"/>
    <w:lvl w:ilvl="0">
      <w:lvlJc w:val="left"/>
      <w:lvlText w:val="%1"/>
      <w:numFmt w:val="decimal"/>
      <w:start w:val="1"/>
    </w:lvl>
    <w:lvl w:ilvl="1">
      <w:lvlJc w:val="left"/>
      <w:lvlText w:val="%2."/>
      <w:numFmt w:val="upperLetter"/>
      <w:start w:val="2"/>
    </w:lvl>
    <w:lvl w:ilvl="2">
      <w:lvlJc w:val="left"/>
      <w:lvlText w:val="%3"/>
      <w:numFmt w:val="decimal"/>
      <w:start w:val="1"/>
    </w:lvl>
    <w:lvl w:ilvl="3">
      <w:lvlJc w:val="left"/>
      <w:lvlText w:val="%4"/>
      <w:numFmt w:val="decimal"/>
      <w:start w:val="1"/>
    </w:lvl>
  </w:abstractNum>
  <w:abstractNum w:abstractNumId="35">
    <w:nsid w:val="38437FDB"/>
    <w:multiLevelType w:val="hybridMultilevel"/>
    <w:lvl w:ilvl="0">
      <w:lvlJc w:val="left"/>
      <w:lvlText w:val="(%1)"/>
      <w:numFmt w:val="decimal"/>
      <w:start w:val="3"/>
    </w:lvl>
    <w:lvl w:ilvl="1">
      <w:lvlJc w:val="left"/>
      <w:lvlText w:val="%2"/>
      <w:numFmt w:val="upperLetter"/>
      <w:start w:val="1"/>
    </w:lvl>
    <w:lvl w:ilvl="2">
      <w:lvlJc w:val="left"/>
      <w:lvlText w:val="%3"/>
      <w:numFmt w:val="decimal"/>
      <w:start w:val="1"/>
    </w:lvl>
    <w:lvl w:ilvl="3">
      <w:lvlJc w:val="left"/>
      <w:lvlText w:val="%4"/>
      <w:numFmt w:val="decimal"/>
      <w:start w:val="1"/>
    </w:lvl>
  </w:abstractNum>
  <w:abstractNum w:abstractNumId="36">
    <w:nsid w:val="7644A45C"/>
    <w:multiLevelType w:val="hybridMultilevel"/>
    <w:lvl w:ilvl="0">
      <w:lvlJc w:val="left"/>
      <w:lvlText w:val="%1."/>
      <w:numFmt w:val="decimal"/>
      <w:start w:val="1"/>
    </w:lvl>
    <w:lvl w:ilvl="1">
      <w:lvlJc w:val="left"/>
      <w:lvlText w:val="(%2)"/>
      <w:numFmt w:val="lowerLetter"/>
      <w:start w:val="1"/>
    </w:lvl>
  </w:abstractNum>
  <w:abstractNum w:abstractNumId="37">
    <w:nsid w:val="32FFF902"/>
    <w:multiLevelType w:val="hybridMultilevel"/>
    <w:lvl w:ilvl="0">
      <w:lvlJc w:val="left"/>
      <w:lvlText w:val="%1."/>
      <w:numFmt w:val="decimal"/>
      <w:start w:val="9"/>
    </w:lvl>
  </w:abstractNum>
  <w:abstractNum w:abstractNumId="38">
    <w:nsid w:val="684A481A"/>
    <w:multiLevelType w:val="hybridMultilevel"/>
    <w:lvl w:ilvl="0">
      <w:lvlJc w:val="left"/>
      <w:lvlText w:val="%1"/>
      <w:numFmt w:val="decimal"/>
      <w:start w:val="1"/>
    </w:lvl>
    <w:lvl w:ilvl="1">
      <w:lvlJc w:val="left"/>
      <w:lvlText w:val="%2"/>
      <w:numFmt w:val="upperLetter"/>
      <w:start w:val="1"/>
    </w:lvl>
    <w:lvl w:ilvl="2">
      <w:lvlJc w:val="left"/>
      <w:lvlText w:val="%3."/>
      <w:numFmt w:val="decimal"/>
      <w:start w:val="11"/>
    </w:lvl>
  </w:abstractNum>
  <w:abstractNum w:abstractNumId="39">
    <w:nsid w:val="579478FE"/>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40">
    <w:nsid w:val="749ABB43"/>
    <w:multiLevelType w:val="hybridMultilevel"/>
    <w:lvl w:ilvl="0">
      <w:lvlJc w:val="left"/>
      <w:lvlText w:val="%1"/>
      <w:numFmt w:val="decimal"/>
      <w:start w:val="1"/>
    </w:lvl>
    <w:lvl w:ilvl="1">
      <w:lvlJc w:val="left"/>
      <w:lvlText w:val="%2."/>
      <w:numFmt w:val="upperLetter"/>
      <w:start w:val="2"/>
    </w:lvl>
    <w:lvl w:ilvl="2">
      <w:lvlJc w:val="left"/>
      <w:lvlText w:val="%3"/>
      <w:numFmt w:val="decimal"/>
      <w:start w:val="1"/>
    </w:lvl>
  </w:abstractNum>
  <w:abstractNum w:abstractNumId="41">
    <w:nsid w:val="3DC240FB"/>
    <w:multiLevelType w:val="hybridMultilevel"/>
    <w:lvl w:ilvl="0">
      <w:lvlJc w:val="left"/>
      <w:lvlText w:val="(%1)"/>
      <w:numFmt w:val="decimal"/>
      <w:start w:val="3"/>
    </w:lvl>
    <w:lvl w:ilvl="1">
      <w:lvlJc w:val="left"/>
      <w:lvlText w:val="%2"/>
      <w:numFmt w:val="upperLetter"/>
      <w:start w:val="1"/>
    </w:lvl>
    <w:lvl w:ilvl="2">
      <w:lvlJc w:val="left"/>
      <w:lvlText w:val="%3"/>
      <w:numFmt w:val="decimal"/>
      <w:start w:val="1"/>
    </w:lvl>
  </w:abstractNum>
  <w:abstractNum w:abstractNumId="42">
    <w:nsid w:val="1BA026FA"/>
    <w:multiLevelType w:val="hybridMultilevel"/>
    <w:lvl w:ilvl="0">
      <w:lvlJc w:val="left"/>
      <w:lvlText w:val="%1."/>
      <w:numFmt w:val="decimal"/>
      <w:start w:val="1"/>
    </w:lvl>
    <w:lvl w:ilvl="1">
      <w:lvlJc w:val="left"/>
      <w:lvlText w:val="(%2)"/>
      <w:numFmt w:val="lowerLetter"/>
      <w:start w:val="1"/>
    </w:lvl>
  </w:abstractNum>
  <w:abstractNum w:abstractNumId="43">
    <w:nsid w:val="79A1DEAA"/>
    <w:multiLevelType w:val="hybridMultilevel"/>
    <w:lvl w:ilvl="0">
      <w:lvlJc w:val="left"/>
      <w:lvlText w:val="%1."/>
      <w:numFmt w:val="decimal"/>
      <w:start w:val="9"/>
    </w:lvl>
  </w:abstractNum>
  <w:abstractNum w:abstractNumId="44">
    <w:nsid w:val="75C6C33A"/>
    <w:multiLevelType w:val="hybridMultilevel"/>
    <w:lvl w:ilvl="0">
      <w:lvlJc w:val="left"/>
      <w:lvlText w:val="(%1)"/>
      <w:numFmt w:val="decimal"/>
      <w:start w:val="1"/>
    </w:lvl>
    <w:lvl w:ilvl="1">
      <w:lvlJc w:val="left"/>
      <w:lvlText w:val="%2."/>
      <w:numFmt w:val="upperLetter"/>
      <w:start w:val="1"/>
    </w:lvl>
  </w:abstractNum>
  <w:abstractNum w:abstractNumId="45">
    <w:nsid w:val="12E685FB"/>
    <w:multiLevelType w:val="hybridMultilevel"/>
    <w:lvl w:ilvl="0">
      <w:lvlJc w:val="left"/>
      <w:lvlText w:val="%1"/>
      <w:numFmt w:val="decimal"/>
      <w:start w:val="1"/>
    </w:lvl>
    <w:lvl w:ilvl="1">
      <w:lvlJc w:val="left"/>
      <w:lvlText w:val="%2."/>
      <w:numFmt w:val="upperLetter"/>
      <w:start w:val="2"/>
    </w:lvl>
  </w:abstractNum>
  <w:abstractNum w:abstractNumId="46">
    <w:nsid w:val="70C6A529"/>
    <w:multiLevelType w:val="hybridMultilevel"/>
    <w:lvl w:ilvl="0">
      <w:lvlJc w:val="left"/>
      <w:lvlText w:val="(%1)"/>
      <w:numFmt w:val="decimal"/>
      <w:start w:val="3"/>
    </w:lvl>
    <w:lvl w:ilvl="1">
      <w:lvlJc w:val="left"/>
      <w:lvlText w:val="%2"/>
      <w:numFmt w:val="upperLetter"/>
      <w:start w:val="1"/>
    </w:lvl>
  </w:abstractNum>
  <w:abstractNum w:abstractNumId="47">
    <w:nsid w:val="520EEDD1"/>
    <w:multiLevelType w:val="hybridMultilevel"/>
    <w:lvl w:ilvl="0">
      <w:lvlJc w:val="left"/>
      <w:lvlText w:val="%1."/>
      <w:numFmt w:val="decimal"/>
      <w:start w:val="1"/>
    </w:lvl>
    <w:lvl w:ilvl="1">
      <w:lvlJc w:val="left"/>
      <w:lvlText w:val="(%2)"/>
      <w:numFmt w:val="lowerLetter"/>
      <w:start w:val="1"/>
    </w:lvl>
  </w:abstractNum>
  <w:abstractNum w:abstractNumId="48">
    <w:nsid w:val="374A3FE6"/>
    <w:multiLevelType w:val="hybridMultilevel"/>
    <w:lvl w:ilvl="0">
      <w:lvlJc w:val="left"/>
      <w:lvlText w:val="%1"/>
      <w:numFmt w:val="decimal"/>
      <w:start w:val="1"/>
    </w:lvl>
    <w:lvl w:ilvl="1">
      <w:lvlJc w:val="left"/>
      <w:lvlText w:val="%2"/>
      <w:numFmt w:val="upperLetter"/>
      <w:start w:val="1"/>
    </w:lvl>
    <w:lvl w:ilvl="2">
      <w:lvlJc w:val="left"/>
      <w:lvlText w:val="%3."/>
      <w:numFmt w:val="decimal"/>
      <w:start w:val="9"/>
    </w:lvl>
  </w:abstractNum>
  <w:abstractNum w:abstractNumId="49">
    <w:nsid w:val="4F4EF005"/>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50">
    <w:nsid w:val="23F9C13C"/>
    <w:multiLevelType w:val="hybridMultilevel"/>
    <w:lvl w:ilvl="0">
      <w:lvlJc w:val="left"/>
      <w:lvlText w:val="%1"/>
      <w:numFmt w:val="decimal"/>
      <w:start w:val="1"/>
    </w:lvl>
    <w:lvl w:ilvl="1">
      <w:lvlJc w:val="left"/>
      <w:lvlText w:val="%2."/>
      <w:numFmt w:val="upperLetter"/>
      <w:start w:val="2"/>
    </w:lvl>
    <w:lvl w:ilvl="2">
      <w:lvlJc w:val="left"/>
      <w:lvlText w:val="%3"/>
      <w:numFmt w:val="decimal"/>
      <w:start w:val="1"/>
    </w:lvl>
  </w:abstractNum>
  <w:abstractNum w:abstractNumId="51">
    <w:nsid w:val="649BB77C"/>
    <w:multiLevelType w:val="hybridMultilevel"/>
    <w:lvl w:ilvl="0">
      <w:lvlJc w:val="left"/>
      <w:lvlText w:val="(%1)"/>
      <w:numFmt w:val="decimal"/>
      <w:start w:val="3"/>
    </w:lvl>
  </w:abstractNum>
  <w:abstractNum w:abstractNumId="52">
    <w:nsid w:val="275AC794"/>
    <w:multiLevelType w:val="hybridMultilevel"/>
    <w:lvl w:ilvl="0">
      <w:lvlJc w:val="left"/>
      <w:lvlText w:val="%1."/>
      <w:numFmt w:val="decimal"/>
      <w:start w:val="1"/>
    </w:lvl>
    <w:lvl w:ilvl="1">
      <w:lvlJc w:val="left"/>
      <w:lvlText w:val="(%2)"/>
      <w:numFmt w:val="lowerLetter"/>
      <w:start w:val="1"/>
    </w:lvl>
  </w:abstractNum>
  <w:abstractNum w:abstractNumId="53">
    <w:nsid w:val="39386575"/>
    <w:multiLevelType w:val="hybridMultilevel"/>
    <w:lvl w:ilvl="0">
      <w:lvlJc w:val="left"/>
      <w:lvlText w:val="%1"/>
      <w:numFmt w:val="decimal"/>
      <w:start w:val="1"/>
    </w:lvl>
    <w:lvl w:ilvl="1">
      <w:lvlJc w:val="left"/>
      <w:lvlText w:val="%2"/>
      <w:numFmt w:val="upperLetter"/>
      <w:start w:val="1"/>
    </w:lvl>
    <w:lvl w:ilvl="2">
      <w:lvlJc w:val="left"/>
      <w:lvlText w:val="%3."/>
      <w:numFmt w:val="decimal"/>
      <w:start w:val="9"/>
    </w:lvl>
  </w:abstractNum>
  <w:abstractNum w:abstractNumId="54">
    <w:nsid w:val="1CF10FD8"/>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55">
    <w:nsid w:val="180115BE"/>
    <w:multiLevelType w:val="hybridMultilevel"/>
    <w:lvl w:ilvl="0">
      <w:lvlJc w:val="left"/>
      <w:lvlText w:val="%1"/>
      <w:numFmt w:val="decimal"/>
      <w:start w:val="1"/>
    </w:lvl>
    <w:lvl w:ilvl="1">
      <w:lvlJc w:val="left"/>
      <w:lvlText w:val="%2."/>
      <w:numFmt w:val="upperLetter"/>
      <w:start w:val="2"/>
    </w:lvl>
    <w:lvl w:ilvl="2">
      <w:lvlJc w:val="left"/>
      <w:lvlText w:val="%3"/>
      <w:numFmt w:val="decimal"/>
      <w:start w:val="1"/>
    </w:lvl>
  </w:abstractNum>
  <w:abstractNum w:abstractNumId="56">
    <w:nsid w:val="235BA861"/>
    <w:multiLevelType w:val="hybridMultilevel"/>
    <w:lvl w:ilvl="0">
      <w:lvlJc w:val="left"/>
      <w:lvlText w:val="(%1)"/>
      <w:numFmt w:val="decimal"/>
      <w:start w:val="3"/>
    </w:lvl>
    <w:lvl w:ilvl="1">
      <w:lvlJc w:val="left"/>
      <w:lvlText w:val="%2"/>
      <w:numFmt w:val="upperLetter"/>
      <w:start w:val="1"/>
    </w:lvl>
    <w:lvl w:ilvl="2">
      <w:lvlJc w:val="left"/>
      <w:lvlText w:val="%3"/>
      <w:numFmt w:val="decimal"/>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2019-12-07T03:44:48Z</dcterms:created>
  <dcterms:modified xsi:type="dcterms:W3CDTF">2019-12-07T03:44:48Z</dcterms:modified>
</cp:coreProperties>
</file>