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8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SPECIALIZED DISCLOSURE REPORT</w:t>
      </w:r>
    </w:p>
    <w:p>
      <w:pPr>
        <w:spacing w:after="0" w:line="321"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Fluidigm Corporation</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6"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60"/>
          </w:cols>
          <w:pgMar w:left="240" w:top="760" w:right="299" w:bottom="1440" w:gutter="0" w:footer="0" w:header="0"/>
        </w:sectPr>
      </w:pPr>
    </w:p>
    <w:p>
      <w:pPr>
        <w:spacing w:after="0" w:line="289"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266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136" w:lineRule="exact"/>
        <w:rPr>
          <w:sz w:val="24"/>
          <w:szCs w:val="24"/>
          <w:color w:val="auto"/>
        </w:rPr>
      </w:pPr>
    </w:p>
    <w:p>
      <w:pPr>
        <w:sectPr>
          <w:pgSz w:w="11900" w:h="16838" w:orient="portrait"/>
          <w:cols w:equalWidth="0" w:num="3">
            <w:col w:w="4700" w:space="720"/>
            <w:col w:w="3440" w:space="720"/>
            <w:col w:w="1780"/>
          </w:cols>
          <w:pgMar w:left="240" w:top="760" w:right="299" w:bottom="1440" w:gutter="0" w:footer="0" w:header="0"/>
          <w:type w:val="continuous"/>
        </w:sectPr>
      </w:pPr>
    </w:p>
    <w:p>
      <w:pPr>
        <w:jc w:val="center"/>
        <w:ind w:right="164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16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80" w:space="720"/>
            <w:col w:w="3340" w:space="720"/>
            <w:col w:w="1900"/>
          </w:cols>
          <w:pgMar w:left="240" w:top="760" w:right="2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7000 Shoreline Court, Suite 100, South 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94080</w:t>
      </w:r>
    </w:p>
    <w:p>
      <w:pPr>
        <w:spacing w:after="0" w:line="68" w:lineRule="exact"/>
        <w:rPr>
          <w:sz w:val="24"/>
          <w:szCs w:val="24"/>
          <w:color w:val="auto"/>
        </w:rPr>
      </w:pPr>
    </w:p>
    <w:p>
      <w:pPr>
        <w:sectPr>
          <w:pgSz w:w="11900" w:h="16838" w:orient="portrait"/>
          <w:cols w:equalWidth="0" w:num="2">
            <w:col w:w="5640" w:space="620"/>
            <w:col w:w="5100"/>
          </w:cols>
          <w:pgMar w:left="240" w:top="760" w:right="299" w:bottom="1440" w:gutter="0" w:footer="0" w:header="0"/>
          <w:type w:val="continuous"/>
        </w:sectPr>
      </w:pPr>
    </w:p>
    <w:p>
      <w:pPr>
        <w:ind w:left="13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3720" w:space="720"/>
            <w:col w:w="6920"/>
          </w:cols>
          <w:pgMar w:left="240" w:top="760" w:right="299" w:bottom="1440" w:gutter="0" w:footer="0" w:header="0"/>
          <w:type w:val="continuous"/>
        </w:sectPr>
      </w:pP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Nicholas Khadder</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266-6000</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30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329" w:lineRule="exact"/>
        <w:rPr>
          <w:sz w:val="24"/>
          <w:szCs w:val="24"/>
          <w:color w:val="auto"/>
        </w:rPr>
      </w:pPr>
    </w:p>
    <w:p>
      <w:pPr>
        <w:ind w:left="780" w:hanging="4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ectPr>
          <w:pgSz w:w="11900" w:h="16838" w:orient="portrait"/>
          <w:cols w:equalWidth="0" w:num="1">
            <w:col w:w="11360"/>
          </w:cols>
          <w:pgMar w:left="240" w:top="760" w:right="29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20"/>
          <w:szCs w:val="20"/>
          <w:b w:val="1"/>
          <w:bCs w:val="1"/>
          <w:color w:val="auto"/>
        </w:rPr>
        <w:t>Section 1 - Conflict Minerals Disclosure</w:t>
      </w:r>
    </w:p>
    <w:p>
      <w:pPr>
        <w:spacing w:after="0" w:line="216"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195" w:lineRule="exact"/>
        <w:rPr>
          <w:sz w:val="20"/>
          <w:szCs w:val="20"/>
          <w:color w:val="auto"/>
        </w:rPr>
      </w:pPr>
    </w:p>
    <w:p>
      <w:pPr>
        <w:ind w:firstLine="648"/>
        <w:spacing w:after="0" w:line="335" w:lineRule="auto"/>
        <w:rPr>
          <w:sz w:val="20"/>
          <w:szCs w:val="20"/>
          <w:color w:val="auto"/>
        </w:rPr>
      </w:pPr>
      <w:r>
        <w:rPr>
          <w:rFonts w:ascii="Arial" w:cs="Arial" w:eastAsia="Arial" w:hAnsi="Arial"/>
          <w:sz w:val="18"/>
          <w:szCs w:val="18"/>
          <w:color w:val="auto"/>
        </w:rPr>
        <w:t>For the reporting period from January 1, 2016 to December 31, 2016, Fluidigm Corporation (the “Company”) evaluated its current products and determined that certain “conflict minerals,” as defined in Section 1, Item 1.01(d)(3) of Form SD, are necessary to the functionality or production of products manufactured by the Company, which are referred to in this Form SD as “necessary conflict minerals.” Accordingly, the Company conducted a reasonable country of origin inquiry to determine whether during 2016 its necessary conflict minerals originated in the Democratic Republic of the Congo or certain adjoining countries, which are referred to in this Form SD collectively as the “covered countries.” The Company then conducted due diligence designed to conform to the Organisation for Economic Co-operation and Development, or OECD, Due Diligence Guidance for Responsible Supply Chains of Minerals from Conflict-Affected and High-Risk Areas in order to determine whether any of the Company’s necessary conflict minerals originated from any of the covered countries and whether these conflict minerals benefitted, directly or indirectly, armed groups in any of the covered countries.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 Minerals Disclosure</w:t>
      </w:r>
    </w:p>
    <w:p>
      <w:pPr>
        <w:spacing w:after="0" w:line="222" w:lineRule="exact"/>
        <w:rPr>
          <w:sz w:val="20"/>
          <w:szCs w:val="20"/>
          <w:color w:val="auto"/>
        </w:rPr>
      </w:pPr>
    </w:p>
    <w:p>
      <w:pPr>
        <w:jc w:val="both"/>
        <w:ind w:right="200" w:firstLine="648"/>
        <w:spacing w:after="0" w:line="306" w:lineRule="auto"/>
        <w:rPr>
          <w:sz w:val="20"/>
          <w:szCs w:val="20"/>
          <w:color w:val="auto"/>
        </w:rPr>
      </w:pPr>
      <w:r>
        <w:rPr>
          <w:rFonts w:ascii="Arial" w:cs="Arial" w:eastAsia="Arial" w:hAnsi="Arial"/>
          <w:sz w:val="20"/>
          <w:szCs w:val="20"/>
          <w:color w:val="auto"/>
        </w:rPr>
        <w:t>In accordance with Rule 13p-1 promulgated under the Securities Exchange Act of 1934, as amended, and this Specialized Disclosure Report on Form SD, the Company is filing a Conflict Minerals Report, which is attached as Exhibit 1.01 hereto. A copy of this Form SD and the Conflict Minerals Report are publicly available at http://investors.fluidigm.com/sec.cfm.</w:t>
      </w:r>
    </w:p>
    <w:p>
      <w:pPr>
        <w:spacing w:after="0" w:line="18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9"/>
          <w:szCs w:val="19"/>
          <w:b w:val="1"/>
          <w:bCs w:val="1"/>
          <w:color w:val="auto"/>
        </w:rPr>
        <w:t>Exhibit</w:t>
      </w:r>
    </w:p>
    <w:p>
      <w:pPr>
        <w:spacing w:after="0" w:line="195"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In accordance with Rule 13p-1, and this Form SD, the Company is filing its Conflict Minerals Report, which is attached as Exhibit 1.01 to this Form SD.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Section 2 - Exhibits</w:t>
      </w:r>
    </w:p>
    <w:p>
      <w:pPr>
        <w:spacing w:after="0" w:line="216"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exhibit is filed as part of this Form SD.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00" w:type="dxa"/>
            <w:vAlign w:val="bottom"/>
            <w:gridSpan w:val="2"/>
          </w:tcPr>
          <w:p>
            <w:pPr>
              <w:ind w:left="40"/>
              <w:spacing w:after="0"/>
              <w:rPr>
                <w:sz w:val="20"/>
                <w:szCs w:val="20"/>
                <w:color w:val="auto"/>
              </w:rPr>
            </w:pPr>
            <w:r>
              <w:rPr>
                <w:rFonts w:ascii="Arial" w:cs="Arial" w:eastAsia="Arial" w:hAnsi="Arial"/>
                <w:sz w:val="20"/>
                <w:szCs w:val="20"/>
                <w:color w:val="auto"/>
              </w:rPr>
              <w:t>Exhibit No.</w:t>
            </w:r>
          </w:p>
        </w:tc>
        <w:tc>
          <w:tcPr>
            <w:tcW w:w="9860" w:type="dxa"/>
            <w:vAlign w:val="bottom"/>
          </w:tcPr>
          <w:p>
            <w:pPr>
              <w:ind w:left="80"/>
              <w:spacing w:after="0"/>
              <w:rPr>
                <w:sz w:val="20"/>
                <w:szCs w:val="20"/>
                <w:color w:val="auto"/>
              </w:rPr>
            </w:pPr>
            <w:r>
              <w:rPr>
                <w:rFonts w:ascii="Arial" w:cs="Arial" w:eastAsia="Arial" w:hAnsi="Arial"/>
                <w:sz w:val="20"/>
                <w:szCs w:val="20"/>
                <w:color w:val="auto"/>
              </w:rPr>
              <w:t>Description</w:t>
            </w:r>
          </w:p>
        </w:tc>
      </w:tr>
      <w:tr>
        <w:trPr>
          <w:trHeight w:val="50"/>
        </w:trPr>
        <w:tc>
          <w:tcPr>
            <w:tcW w:w="1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60" w:type="dxa"/>
            <w:vAlign w:val="bottom"/>
            <w:tcBorders>
              <w:bottom w:val="single" w:sz="8" w:color="auto"/>
            </w:tcBorders>
          </w:tcPr>
          <w:p>
            <w:pPr>
              <w:spacing w:after="0"/>
              <w:rPr>
                <w:sz w:val="4"/>
                <w:szCs w:val="4"/>
                <w:color w:val="auto"/>
              </w:rPr>
            </w:pPr>
          </w:p>
        </w:tc>
      </w:tr>
      <w:tr>
        <w:trPr>
          <w:trHeight w:val="254"/>
        </w:trPr>
        <w:tc>
          <w:tcPr>
            <w:tcW w:w="1380" w:type="dxa"/>
            <w:vAlign w:val="bottom"/>
          </w:tcPr>
          <w:p>
            <w:pPr>
              <w:ind w:left="40"/>
              <w:spacing w:after="0"/>
              <w:rPr>
                <w:sz w:val="20"/>
                <w:szCs w:val="20"/>
                <w:color w:val="auto"/>
              </w:rPr>
            </w:pPr>
            <w:r>
              <w:rPr>
                <w:rFonts w:ascii="Arial" w:cs="Arial" w:eastAsia="Arial" w:hAnsi="Arial"/>
                <w:sz w:val="20"/>
                <w:szCs w:val="20"/>
                <w:color w:val="auto"/>
              </w:rPr>
              <w:t>1.01</w:t>
            </w:r>
          </w:p>
        </w:tc>
        <w:tc>
          <w:tcPr>
            <w:tcW w:w="120" w:type="dxa"/>
            <w:vAlign w:val="bottom"/>
          </w:tcPr>
          <w:p>
            <w:pPr>
              <w:spacing w:after="0"/>
              <w:rPr>
                <w:sz w:val="22"/>
                <w:szCs w:val="22"/>
                <w:color w:val="auto"/>
              </w:rPr>
            </w:pPr>
          </w:p>
        </w:tc>
        <w:tc>
          <w:tcPr>
            <w:tcW w:w="9860" w:type="dxa"/>
            <w:vAlign w:val="bottom"/>
          </w:tcPr>
          <w:p>
            <w:pPr>
              <w:ind w:left="80"/>
              <w:spacing w:after="0"/>
              <w:rPr>
                <w:sz w:val="20"/>
                <w:szCs w:val="20"/>
                <w:color w:val="auto"/>
              </w:rPr>
            </w:pPr>
            <w:r>
              <w:rPr>
                <w:rFonts w:ascii="Arial" w:cs="Arial" w:eastAsia="Arial" w:hAnsi="Arial"/>
                <w:sz w:val="20"/>
                <w:szCs w:val="20"/>
                <w:color w:val="auto"/>
              </w:rPr>
              <w:t>Fluidigm Corporation Conflict Minerals Report as required by Items 1.01 and 1.02 of this Form SD.</w:t>
            </w:r>
          </w:p>
        </w:tc>
      </w:tr>
    </w:tbl>
    <w:p>
      <w:pPr>
        <w:sectPr>
          <w:pgSz w:w="11900" w:h="16838" w:orient="portrait"/>
          <w:cols w:equalWidth="0" w:num="1">
            <w:col w:w="11400"/>
          </w:cols>
          <w:pgMar w:left="240" w:top="778"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2" w:lineRule="exact"/>
        <w:rPr>
          <w:sz w:val="20"/>
          <w:szCs w:val="20"/>
          <w:color w:val="auto"/>
        </w:rPr>
      </w:pPr>
    </w:p>
    <w:p>
      <w:pPr>
        <w:ind w:right="60"/>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FLUIDIGM CORPORATION</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/s/ Nicholas Khadder</w:t>
            </w: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May 30, 2017</w:t>
            </w:r>
          </w:p>
        </w:tc>
      </w:tr>
      <w:tr>
        <w:trPr>
          <w:trHeight w:val="54"/>
        </w:trPr>
        <w:tc>
          <w:tcPr>
            <w:tcW w:w="640" w:type="dxa"/>
            <w:vAlign w:val="bottom"/>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37"/>
        </w:trPr>
        <w:tc>
          <w:tcPr>
            <w:tcW w:w="640" w:type="dxa"/>
            <w:vAlign w:val="bottom"/>
          </w:tcPr>
          <w:p>
            <w:pPr>
              <w:spacing w:after="0"/>
              <w:rPr>
                <w:sz w:val="20"/>
                <w:szCs w:val="20"/>
                <w:color w:val="auto"/>
              </w:rPr>
            </w:pP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Nicholas Khadder</w:t>
            </w: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(Date)</w:t>
            </w:r>
          </w:p>
        </w:tc>
      </w:tr>
      <w:tr>
        <w:trPr>
          <w:trHeight w:val="310"/>
        </w:trPr>
        <w:tc>
          <w:tcPr>
            <w:tcW w:w="640" w:type="dxa"/>
            <w:vAlign w:val="bottom"/>
          </w:tcPr>
          <w:p>
            <w:pPr>
              <w:spacing w:after="0"/>
              <w:rPr>
                <w:sz w:val="24"/>
                <w:szCs w:val="24"/>
                <w:color w:val="auto"/>
              </w:rPr>
            </w:pP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Senior Vice President, General Counsel, Chief Compliance Officer</w:t>
            </w:r>
          </w:p>
        </w:tc>
        <w:tc>
          <w:tcPr>
            <w:tcW w:w="500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and Secretary</w:t>
            </w:r>
          </w:p>
        </w:tc>
        <w:tc>
          <w:tcPr>
            <w:tcW w:w="5000" w:type="dxa"/>
            <w:vAlign w:val="bottom"/>
          </w:tcPr>
          <w:p>
            <w:pPr>
              <w:spacing w:after="0"/>
              <w:rPr>
                <w:sz w:val="20"/>
                <w:szCs w:val="20"/>
                <w:color w:val="auto"/>
              </w:rPr>
            </w:pPr>
          </w:p>
        </w:tc>
      </w:tr>
    </w:tbl>
    <w:p>
      <w:pPr>
        <w:sectPr>
          <w:pgSz w:w="11900" w:h="16838" w:orient="portrait"/>
          <w:cols w:equalWidth="0" w:num="1">
            <w:col w:w="11360"/>
          </w:cols>
          <w:pgMar w:left="240" w:top="648" w:right="299"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2"/>
          </w:tcPr>
          <w:p>
            <w:pPr>
              <w:ind w:left="80"/>
              <w:spacing w:after="0"/>
              <w:rPr>
                <w:sz w:val="20"/>
                <w:szCs w:val="20"/>
                <w:color w:val="auto"/>
              </w:rPr>
            </w:pPr>
            <w:r>
              <w:rPr>
                <w:rFonts w:ascii="Arial" w:cs="Arial" w:eastAsia="Arial" w:hAnsi="Arial"/>
                <w:sz w:val="18"/>
                <w:szCs w:val="18"/>
                <w:color w:val="auto"/>
              </w:rPr>
              <w:t>Exhibit No.</w:t>
            </w:r>
          </w:p>
        </w:tc>
        <w:tc>
          <w:tcPr>
            <w:tcW w:w="9880" w:type="dxa"/>
            <w:vAlign w:val="bottom"/>
          </w:tcPr>
          <w:p>
            <w:pPr>
              <w:ind w:left="80"/>
              <w:spacing w:after="0"/>
              <w:rPr>
                <w:sz w:val="20"/>
                <w:szCs w:val="20"/>
                <w:color w:val="auto"/>
              </w:rPr>
            </w:pPr>
            <w:r>
              <w:rPr>
                <w:rFonts w:ascii="Arial" w:cs="Arial" w:eastAsia="Arial" w:hAnsi="Arial"/>
                <w:sz w:val="18"/>
                <w:szCs w:val="18"/>
                <w:color w:val="auto"/>
              </w:rPr>
              <w:t>Description</w:t>
            </w:r>
          </w:p>
        </w:tc>
      </w:tr>
      <w:tr>
        <w:trPr>
          <w:trHeight w:val="54"/>
        </w:trPr>
        <w:tc>
          <w:tcPr>
            <w:tcW w:w="11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880" w:type="dxa"/>
            <w:vAlign w:val="bottom"/>
            <w:tcBorders>
              <w:bottom w:val="single" w:sz="8" w:color="auto"/>
            </w:tcBorders>
          </w:tcPr>
          <w:p>
            <w:pPr>
              <w:spacing w:after="0"/>
              <w:rPr>
                <w:sz w:val="4"/>
                <w:szCs w:val="4"/>
                <w:color w:val="auto"/>
              </w:rPr>
            </w:pPr>
          </w:p>
        </w:tc>
      </w:tr>
      <w:tr>
        <w:trPr>
          <w:trHeight w:val="358"/>
        </w:trPr>
        <w:tc>
          <w:tcPr>
            <w:tcW w:w="1160" w:type="dxa"/>
            <w:vAlign w:val="bottom"/>
          </w:tcPr>
          <w:p>
            <w:pPr>
              <w:ind w:left="8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Fluidigm Corporation Conflict Minerals Report as required by Items 1.01 and 1.02 of this Form SD.</w:t>
            </w:r>
          </w:p>
        </w:tc>
      </w:tr>
    </w:tbl>
    <w:p>
      <w:pPr>
        <w:sectPr>
          <w:pgSz w:w="11900" w:h="16838" w:orient="portrait"/>
          <w:cols w:equalWidth="0" w:num="1">
            <w:col w:w="11360"/>
          </w:cols>
          <w:pgMar w:left="300" w:top="64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Fluidigm Corporation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Reporting Period from January 1, 2016 to December 31, 2016</w:t>
      </w:r>
    </w:p>
    <w:p>
      <w:pPr>
        <w:spacing w:after="0" w:line="343" w:lineRule="exact"/>
        <w:rPr>
          <w:sz w:val="20"/>
          <w:szCs w:val="20"/>
          <w:color w:val="auto"/>
        </w:rPr>
      </w:pPr>
    </w:p>
    <w:p>
      <w:pPr>
        <w:ind w:right="60" w:firstLine="648"/>
        <w:spacing w:after="0" w:line="334" w:lineRule="auto"/>
        <w:rPr>
          <w:sz w:val="20"/>
          <w:szCs w:val="20"/>
          <w:color w:val="auto"/>
        </w:rPr>
      </w:pPr>
      <w:r>
        <w:rPr>
          <w:rFonts w:ascii="Arial" w:cs="Arial" w:eastAsia="Arial" w:hAnsi="Arial"/>
          <w:sz w:val="18"/>
          <w:szCs w:val="18"/>
          <w:i w:val="1"/>
          <w:iCs w:val="1"/>
          <w:color w:val="auto"/>
        </w:rPr>
        <w:t>Cautionary Note Concerning Forward-Looking Statements: This Conflict Minerals Report contains forward-looking statements within the meaning of federal securities laws. These forward-looking statements include statements concerning Fluidigm’s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Fluidigm files with the United States Securities and Exchange Commission, including Fluidigm’s Annual Report on Form 10-K for the year ended December 31, 2016 and its subsequent Quarterly Reports on Form 10-Q. The risk factors included in these filings are not exhaustive, and risks that are not identified therein could materially affect whether Fluidigm realizes the results anticipated or implied by any forward-looking statements contained in this Conflict Minerals Report. Except as required by law, Fluidigm disclaims any obligation to update these forward-looking statements, whether as a result of new information, future events, or otherwise.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343" w:lineRule="exact"/>
        <w:rPr>
          <w:sz w:val="20"/>
          <w:szCs w:val="20"/>
          <w:color w:val="auto"/>
        </w:rPr>
      </w:pPr>
    </w:p>
    <w:p>
      <w:pPr>
        <w:ind w:firstLine="648"/>
        <w:spacing w:after="0" w:line="300" w:lineRule="auto"/>
        <w:rPr>
          <w:sz w:val="20"/>
          <w:szCs w:val="20"/>
          <w:color w:val="auto"/>
        </w:rPr>
      </w:pPr>
      <w:r>
        <w:rPr>
          <w:rFonts w:ascii="Arial" w:cs="Arial" w:eastAsia="Arial" w:hAnsi="Arial"/>
          <w:sz w:val="20"/>
          <w:szCs w:val="20"/>
          <w:color w:val="auto"/>
        </w:rPr>
        <w:t>This Conflict Minerals Report (this “Report”) for Fluidigm Corporation (“Fluidigm” or “we” or “our”) covers the reporting period from January 1, 2016 to December 31, 2016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http://investors.fluidigm.com/sec.cfm. Information contained on, or that can be accessed through, our website, does not constitute part of this Report and inclusion of our website address in this Report is an inactive textual reference only.</w:t>
      </w:r>
    </w:p>
    <w:p>
      <w:pPr>
        <w:spacing w:after="0" w:line="260" w:lineRule="exact"/>
        <w:rPr>
          <w:sz w:val="20"/>
          <w:szCs w:val="20"/>
          <w:color w:val="auto"/>
        </w:rPr>
      </w:pPr>
    </w:p>
    <w:p>
      <w:pPr>
        <w:ind w:right="180" w:firstLine="648"/>
        <w:spacing w:after="0" w:line="316" w:lineRule="auto"/>
        <w:rPr>
          <w:sz w:val="20"/>
          <w:szCs w:val="20"/>
          <w:color w:val="auto"/>
        </w:rPr>
      </w:pPr>
      <w:r>
        <w:rPr>
          <w:rFonts w:ascii="Arial" w:cs="Arial" w:eastAsia="Arial" w:hAnsi="Arial"/>
          <w:sz w:val="19"/>
          <w:szCs w:val="19"/>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minerals”), used in their products benefitted,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minerals contained in components used in our products.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Fluidigm Background and Covered Products</w:t>
      </w:r>
    </w:p>
    <w:p>
      <w:pPr>
        <w:spacing w:after="0" w:line="343" w:lineRule="exact"/>
        <w:rPr>
          <w:sz w:val="20"/>
          <w:szCs w:val="20"/>
          <w:color w:val="auto"/>
        </w:rPr>
      </w:pPr>
    </w:p>
    <w:p>
      <w:pPr>
        <w:ind w:right="60" w:firstLine="648"/>
        <w:spacing w:after="0" w:line="306" w:lineRule="auto"/>
        <w:rPr>
          <w:sz w:val="20"/>
          <w:szCs w:val="20"/>
          <w:color w:val="auto"/>
        </w:rPr>
      </w:pPr>
      <w:r>
        <w:rPr>
          <w:rFonts w:ascii="Arial" w:cs="Arial" w:eastAsia="Arial" w:hAnsi="Arial"/>
          <w:sz w:val="20"/>
          <w:szCs w:val="20"/>
          <w:color w:val="auto"/>
        </w:rPr>
        <w:t>We create, manufacture, and market innovative technologies for life sciences research. We sell instruments and consumables, including integrated fluidic circuits, or IFCs, assays, and reagents to academic institutions, clinical research laboratories, and biopharmaceutical, biotechnology, and agricultural biotechnology, or Ag-Bio,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43" w:right="239" w:bottom="1440" w:gutter="0" w:footer="0" w:header="0"/>
        </w:sectPr>
      </w:pPr>
    </w:p>
    <w:bookmarkStart w:id="5" w:name="page6"/>
    <w:bookmarkEnd w:id="5"/>
    <w:p>
      <w:pPr>
        <w:spacing w:after="0" w:line="300" w:lineRule="auto"/>
        <w:rPr>
          <w:sz w:val="20"/>
          <w:szCs w:val="20"/>
          <w:color w:val="auto"/>
        </w:rPr>
      </w:pPr>
      <w:r>
        <w:rPr>
          <w:rFonts w:ascii="Arial" w:cs="Arial" w:eastAsia="Arial" w:hAnsi="Arial"/>
          <w:sz w:val="20"/>
          <w:szCs w:val="20"/>
          <w:color w:val="auto"/>
        </w:rPr>
        <w:t>companies and contract research organizations, or CROs. Our technologies and tools are directed at the analysis of deoxyribonucleic acid, or DNA, ribonucleic acid, or RNA, and proteins in a variety of different sample types, from individual cells to bulk tissue. Our microfluidic systems and instrumentation for commercial sale, as well as for internal research and development purposes, are manufactured at our facility in Singapore. Our proteomics analytical instruments for commercial sale, as well as for internal research and development purposes, are manufactured at our facility in Canada. We also manufacture IFCs for research and development, assays, and reagents at our facilities in South San Francisco, California.</w:t>
      </w:r>
    </w:p>
    <w:p>
      <w:pPr>
        <w:spacing w:after="0" w:line="260" w:lineRule="exact"/>
        <w:rPr>
          <w:sz w:val="20"/>
          <w:szCs w:val="20"/>
          <w:color w:val="auto"/>
        </w:rPr>
      </w:pPr>
    </w:p>
    <w:p>
      <w:pPr>
        <w:ind w:firstLine="648"/>
        <w:spacing w:after="0" w:line="413" w:lineRule="auto"/>
        <w:rPr>
          <w:sz w:val="20"/>
          <w:szCs w:val="20"/>
          <w:color w:val="auto"/>
        </w:rPr>
      </w:pPr>
      <w:r>
        <w:rPr>
          <w:rFonts w:ascii="Arial" w:cs="Arial" w:eastAsia="Arial" w:hAnsi="Arial"/>
          <w:sz w:val="16"/>
          <w:szCs w:val="16"/>
          <w:color w:val="auto"/>
        </w:rPr>
        <w:t>We have determined that one or more of the 3TG minerals may be necessary to the functionality or production of certain products we manufactured, or contracted to manufacture, as applicable, during 2016, including our C1, Juno, Callisto, Polaris and Access Array, Biomark HD, EP1, and Helios systems. As a result, all of our marketed systems and IFCs are considered “covered products” for purposes of this Report.</w:t>
      </w:r>
    </w:p>
    <w:p>
      <w:pPr>
        <w:spacing w:after="0" w:line="185" w:lineRule="exact"/>
        <w:rPr>
          <w:sz w:val="20"/>
          <w:szCs w:val="20"/>
          <w:color w:val="auto"/>
        </w:rPr>
      </w:pPr>
    </w:p>
    <w:p>
      <w:pPr>
        <w:ind w:right="260" w:firstLine="648"/>
        <w:spacing w:after="0" w:line="303" w:lineRule="auto"/>
        <w:rPr>
          <w:sz w:val="20"/>
          <w:szCs w:val="20"/>
          <w:color w:val="auto"/>
        </w:rPr>
      </w:pPr>
      <w:r>
        <w:rPr>
          <w:rFonts w:ascii="Arial" w:cs="Arial" w:eastAsia="Arial" w:hAnsi="Arial"/>
          <w:sz w:val="20"/>
          <w:szCs w:val="20"/>
          <w:color w:val="auto"/>
        </w:rPr>
        <w:t>Our supply chain with respect to the covered products is complex, and there are many third parties in the supply chain between the original source of the 3TG minerals and the manufacture of the covered products. We do not purchase raw ore or unrefined 3TG minerals directly and make no purchases in the Covered Countries. As a result and as described more fully below, we rely on our suppliers to provide information on the origin of the conflict minerals contained in our products.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Fluidigm Reasonable Country of Origin Inquiry</w:t>
      </w:r>
    </w:p>
    <w:p>
      <w:pPr>
        <w:spacing w:after="0" w:line="343" w:lineRule="exact"/>
        <w:rPr>
          <w:sz w:val="20"/>
          <w:szCs w:val="20"/>
          <w:color w:val="auto"/>
        </w:rPr>
      </w:pPr>
    </w:p>
    <w:p>
      <w:pPr>
        <w:ind w:right="200" w:firstLine="648"/>
        <w:spacing w:after="0" w:line="345" w:lineRule="auto"/>
        <w:rPr>
          <w:sz w:val="20"/>
          <w:szCs w:val="20"/>
          <w:color w:val="auto"/>
        </w:rPr>
      </w:pPr>
      <w:r>
        <w:rPr>
          <w:rFonts w:ascii="Arial" w:cs="Arial" w:eastAsia="Arial" w:hAnsi="Arial"/>
          <w:sz w:val="18"/>
          <w:szCs w:val="18"/>
          <w:color w:val="auto"/>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spacing w:after="0" w:line="228" w:lineRule="exact"/>
        <w:rPr>
          <w:sz w:val="20"/>
          <w:szCs w:val="20"/>
          <w:color w:val="auto"/>
        </w:rPr>
      </w:pPr>
    </w:p>
    <w:p>
      <w:pPr>
        <w:ind w:firstLine="648"/>
        <w:spacing w:after="0" w:line="320" w:lineRule="auto"/>
        <w:rPr>
          <w:sz w:val="20"/>
          <w:szCs w:val="20"/>
          <w:color w:val="auto"/>
        </w:rPr>
      </w:pPr>
      <w:r>
        <w:rPr>
          <w:rFonts w:ascii="Arial" w:cs="Arial" w:eastAsia="Arial" w:hAnsi="Arial"/>
          <w:sz w:val="19"/>
          <w:szCs w:val="19"/>
          <w:color w:val="auto"/>
        </w:rPr>
        <w:t>Our RCOI consisted principally of submitting the conflict minerals reporting template (the “CFSI Template”) prepared by the Conflict-Free Sourcing Initiative (“CFSI”), an initiative of the Electronic Industry Citizenship Coalition and Global e-Sustainability Initiative, to suppliers of components for our products that are considered necessary to the functionality or production of our products and for which any 3TG minerals or their derivatives may be included (“first tier suppliers”). We reviewed all responses for completeness, reasonableness, and consistency, and we followed up for corrections and clarifications as we determined appropriate.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Fluidigm’s Due Diligence Process</w:t>
      </w:r>
    </w:p>
    <w:p>
      <w:pPr>
        <w:spacing w:after="0" w:line="343" w:lineRule="exact"/>
        <w:rPr>
          <w:sz w:val="20"/>
          <w:szCs w:val="20"/>
          <w:color w:val="auto"/>
        </w:rPr>
      </w:pPr>
    </w:p>
    <w:p>
      <w:pPr>
        <w:ind w:right="20" w:firstLine="648"/>
        <w:spacing w:after="0" w:line="318" w:lineRule="auto"/>
        <w:rPr>
          <w:sz w:val="20"/>
          <w:szCs w:val="20"/>
          <w:color w:val="auto"/>
        </w:rPr>
      </w:pPr>
      <w:r>
        <w:rPr>
          <w:rFonts w:ascii="Arial" w:cs="Arial" w:eastAsia="Arial" w:hAnsi="Arial"/>
          <w:sz w:val="19"/>
          <w:szCs w:val="19"/>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any of the 3TG minerals are incorporated into our products; whether any such 3TG minerals incorporated into our products were necessary for the functionality and/or production of our products; the source and chain of custody of the 3TG minerals necessary for the functionality and/or production of our products; and whether any such 3TG minerals originated in the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649" w:right="299" w:bottom="1440" w:gutter="0" w:footer="0" w:header="0"/>
        </w:sectPr>
      </w:pPr>
    </w:p>
    <w:bookmarkStart w:id="6" w:name="page7"/>
    <w:bookmarkEnd w:id="6"/>
    <w:p>
      <w:pPr>
        <w:ind w:right="120"/>
        <w:spacing w:after="0" w:line="317" w:lineRule="auto"/>
        <w:rPr>
          <w:sz w:val="20"/>
          <w:szCs w:val="20"/>
          <w:color w:val="auto"/>
        </w:rPr>
      </w:pPr>
      <w:r>
        <w:rPr>
          <w:rFonts w:ascii="Arial" w:cs="Arial" w:eastAsia="Arial" w:hAnsi="Arial"/>
          <w:sz w:val="20"/>
          <w:szCs w:val="20"/>
          <w:color w:val="auto"/>
        </w:rPr>
        <w:t>Covered Countries. In the event that 3TG minerals from the Covered Countries which benefit armed groups are found in our supply chain, we will take appropriate actions in a timely manner to resolve the situation.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Due diligence measures that we implemented included, but were not limited, to the following:</w:t>
      </w:r>
    </w:p>
    <w:p>
      <w:pPr>
        <w:spacing w:after="0" w:line="337" w:lineRule="exact"/>
        <w:rPr>
          <w:sz w:val="20"/>
          <w:szCs w:val="20"/>
          <w:color w:val="auto"/>
        </w:rPr>
      </w:pPr>
    </w:p>
    <w:p>
      <w:pPr>
        <w:ind w:left="1000" w:hanging="344"/>
        <w:spacing w:after="0"/>
        <w:tabs>
          <w:tab w:leader="none" w:pos="100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Establishment of Internal Management Systems</w:t>
      </w:r>
    </w:p>
    <w:p>
      <w:pPr>
        <w:spacing w:after="0" w:line="337" w:lineRule="exact"/>
        <w:rPr>
          <w:rFonts w:ascii="Arial" w:cs="Arial" w:eastAsia="Arial" w:hAnsi="Arial"/>
          <w:sz w:val="20"/>
          <w:szCs w:val="20"/>
          <w:color w:val="auto"/>
        </w:rPr>
      </w:pPr>
    </w:p>
    <w:p>
      <w:pPr>
        <w:ind w:left="1300" w:right="120" w:hanging="320"/>
        <w:spacing w:after="0" w:line="34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Conflict Minerals Policy</w:t>
      </w:r>
      <w:r>
        <w:rPr>
          <w:rFonts w:ascii="Arial" w:cs="Arial" w:eastAsia="Arial" w:hAnsi="Arial"/>
          <w:sz w:val="18"/>
          <w:szCs w:val="18"/>
          <w:color w:val="auto"/>
        </w:rPr>
        <w:t>. In 2013, we adopted a written policy relating to the use of conflict minerals in our supply chain.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communicated this written policy to each of our first tier suppliers. A copy of Fluidigm’s Conflict Minerals Policy is publicly available at http://files.shareholder.com/downloads/ABEA-5TB8PR/3172172539x0x735398/D7B54E37-F6AD-42DE-8862-A25472E9189F/Fluidigm_Conflict_Minerals_Policy.pdf.</w:t>
      </w:r>
    </w:p>
    <w:p>
      <w:pPr>
        <w:spacing w:after="0" w:line="227" w:lineRule="exact"/>
        <w:rPr>
          <w:rFonts w:ascii="Arial" w:cs="Arial" w:eastAsia="Arial" w:hAnsi="Arial"/>
          <w:sz w:val="18"/>
          <w:szCs w:val="18"/>
          <w:color w:val="auto"/>
        </w:rPr>
      </w:pPr>
    </w:p>
    <w:p>
      <w:pPr>
        <w:ind w:left="1300" w:right="40" w:hanging="320"/>
        <w:spacing w:after="0" w:line="306"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Internal Management to Support Supply Chain Due Diligence</w:t>
      </w:r>
      <w:r>
        <w:rPr>
          <w:rFonts w:ascii="Arial" w:cs="Arial" w:eastAsia="Arial" w:hAnsi="Arial"/>
          <w:sz w:val="20"/>
          <w:szCs w:val="20"/>
          <w:color w:val="auto"/>
        </w:rPr>
        <w:t>. Fluidigm’s legal department has been charged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management of our conflict minerals program, working in collaboration with members from our operations team in Singapore, Canada, and the United States.</w:t>
      </w:r>
    </w:p>
    <w:p>
      <w:pPr>
        <w:spacing w:after="0" w:line="254" w:lineRule="exact"/>
        <w:rPr>
          <w:rFonts w:ascii="Arial" w:cs="Arial" w:eastAsia="Arial" w:hAnsi="Arial"/>
          <w:sz w:val="20"/>
          <w:szCs w:val="20"/>
          <w:color w:val="auto"/>
        </w:rPr>
      </w:pPr>
    </w:p>
    <w:p>
      <w:pPr>
        <w:ind w:left="1300" w:hanging="320"/>
        <w:spacing w:after="0" w:line="301"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Controls and Transparency</w:t>
      </w:r>
      <w:r>
        <w:rPr>
          <w:rFonts w:ascii="Arial" w:cs="Arial" w:eastAsia="Arial" w:hAnsi="Arial"/>
          <w:sz w:val="20"/>
          <w:szCs w:val="20"/>
          <w:color w:val="auto"/>
        </w:rPr>
        <w:t>. As described above, we undertook a RCOI with respect to conflict minerals in our supply chain by</w:t>
      </w:r>
      <w:r>
        <w:rPr>
          <w:rFonts w:ascii="Arial" w:cs="Arial" w:eastAsia="Arial" w:hAnsi="Arial"/>
          <w:sz w:val="20"/>
          <w:szCs w:val="20"/>
          <w:i w:val="1"/>
          <w:iCs w:val="1"/>
          <w:color w:val="auto"/>
        </w:rPr>
        <w:t xml:space="preserve"> </w:t>
      </w:r>
      <w:r>
        <w:rPr>
          <w:rFonts w:ascii="Arial" w:cs="Arial" w:eastAsia="Arial" w:hAnsi="Arial"/>
          <w:sz w:val="20"/>
          <w:szCs w:val="20"/>
          <w:color w:val="auto"/>
        </w:rPr>
        <w:t>providing the CFSI Template to each of our first tier suppliers to gather information about their use of 3TG minerals, the smelters and refiners in their supply chain that are included in our products, and the countries of origin for 3TG minerals used in our products. We reviewed all responses for completeness, reasonableness, and consistency. We followed up for corrections and clarifications as we determined appropriate.</w:t>
      </w:r>
    </w:p>
    <w:p>
      <w:pPr>
        <w:spacing w:after="0" w:line="259" w:lineRule="exact"/>
        <w:rPr>
          <w:rFonts w:ascii="Arial" w:cs="Arial" w:eastAsia="Arial" w:hAnsi="Arial"/>
          <w:sz w:val="20"/>
          <w:szCs w:val="20"/>
          <w:color w:val="auto"/>
        </w:rPr>
      </w:pPr>
    </w:p>
    <w:p>
      <w:pPr>
        <w:ind w:left="1300" w:right="40" w:hanging="320"/>
        <w:spacing w:after="0" w:line="341"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Supplier Engagement</w:t>
      </w:r>
      <w:r>
        <w:rPr>
          <w:rFonts w:ascii="Arial" w:cs="Arial" w:eastAsia="Arial" w:hAnsi="Arial"/>
          <w:sz w:val="18"/>
          <w:szCs w:val="18"/>
          <w:color w:val="auto"/>
        </w:rPr>
        <w:t>. We continue to engage actively with our first tier suppliers to strengthen our relationship with them.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generally request conflict minerals information from each new supplier of potentially applicable products.</w:t>
      </w:r>
    </w:p>
    <w:p>
      <w:pPr>
        <w:spacing w:after="0" w:line="231" w:lineRule="exact"/>
        <w:rPr>
          <w:rFonts w:ascii="Arial" w:cs="Arial" w:eastAsia="Arial" w:hAnsi="Arial"/>
          <w:sz w:val="18"/>
          <w:szCs w:val="18"/>
          <w:color w:val="auto"/>
        </w:rPr>
      </w:pPr>
    </w:p>
    <w:p>
      <w:pPr>
        <w:jc w:val="both"/>
        <w:ind w:left="1300" w:hanging="320"/>
        <w:spacing w:after="0" w:line="306"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Grievance Mechanism</w:t>
      </w:r>
      <w:r>
        <w:rPr>
          <w:rFonts w:ascii="Arial" w:cs="Arial" w:eastAsia="Arial" w:hAnsi="Arial"/>
          <w:sz w:val="20"/>
          <w:szCs w:val="20"/>
          <w:color w:val="auto"/>
        </w:rPr>
        <w:t>. Our code of conduct includes procedures for reporting violations of our policies, including our Conflict</w:t>
      </w:r>
      <w:r>
        <w:rPr>
          <w:rFonts w:ascii="Arial" w:cs="Arial" w:eastAsia="Arial" w:hAnsi="Arial"/>
          <w:sz w:val="20"/>
          <w:szCs w:val="20"/>
          <w:i w:val="1"/>
          <w:iCs w:val="1"/>
          <w:color w:val="auto"/>
        </w:rPr>
        <w:t xml:space="preserve"> </w:t>
      </w:r>
      <w:r>
        <w:rPr>
          <w:rFonts w:ascii="Arial" w:cs="Arial" w:eastAsia="Arial" w:hAnsi="Arial"/>
          <w:sz w:val="20"/>
          <w:szCs w:val="20"/>
          <w:color w:val="auto"/>
        </w:rPr>
        <w:t>Minerals Policy. We provide mechanisms for anonymous reporting of violations or concerns about the conduct of our business, including the implementation and enforcement of our Conflict Minerals Policy.</w:t>
      </w:r>
    </w:p>
    <w:p>
      <w:pPr>
        <w:spacing w:after="0" w:line="254" w:lineRule="exact"/>
        <w:rPr>
          <w:rFonts w:ascii="Arial" w:cs="Arial" w:eastAsia="Arial" w:hAnsi="Arial"/>
          <w:sz w:val="20"/>
          <w:szCs w:val="20"/>
          <w:color w:val="auto"/>
        </w:rPr>
      </w:pPr>
    </w:p>
    <w:p>
      <w:pPr>
        <w:ind w:left="1000" w:hanging="344"/>
        <w:spacing w:after="0"/>
        <w:tabs>
          <w:tab w:leader="none" w:pos="100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Identification and Assessment of Risks in the Supply Chain</w:t>
      </w:r>
    </w:p>
    <w:p>
      <w:pPr>
        <w:spacing w:after="0" w:line="337" w:lineRule="exact"/>
        <w:rPr>
          <w:sz w:val="20"/>
          <w:szCs w:val="20"/>
          <w:color w:val="auto"/>
        </w:rPr>
      </w:pPr>
    </w:p>
    <w:p>
      <w:pPr>
        <w:ind w:left="660" w:right="60"/>
        <w:spacing w:after="0" w:line="303" w:lineRule="auto"/>
        <w:rPr>
          <w:sz w:val="20"/>
          <w:szCs w:val="20"/>
          <w:color w:val="auto"/>
        </w:rPr>
      </w:pPr>
      <w:r>
        <w:rPr>
          <w:rFonts w:ascii="Arial" w:cs="Arial" w:eastAsia="Arial" w:hAnsi="Arial"/>
          <w:sz w:val="20"/>
          <w:szCs w:val="20"/>
          <w:color w:val="auto"/>
        </w:rPr>
        <w:t>As discussed above, we identified our first tier suppliers and relied on them to provide the necessary information about the use of 3TG minerals in the products we purchase and incorporate into the manufacture of our systems and IFCs, and the source of such 3TG minerals. Similarly, our first tier suppliers rely on information provided by their suppliers to provide information regarding the country of origin of 3TG minerals included in our products.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49" w:right="279" w:bottom="1440" w:gutter="0" w:footer="0" w:header="0"/>
        </w:sectPr>
      </w:pPr>
    </w:p>
    <w:bookmarkStart w:id="7" w:name="page8"/>
    <w:bookmarkEnd w:id="7"/>
    <w:p>
      <w:pPr>
        <w:ind w:left="1000" w:hanging="344"/>
        <w:spacing w:after="0"/>
        <w:tabs>
          <w:tab w:leader="none" w:pos="100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Designing and Implementing a Strategy to Respond to Identified Risks</w:t>
      </w:r>
    </w:p>
    <w:p>
      <w:pPr>
        <w:spacing w:after="0" w:line="337" w:lineRule="exact"/>
        <w:rPr>
          <w:sz w:val="20"/>
          <w:szCs w:val="20"/>
          <w:color w:val="auto"/>
        </w:rPr>
      </w:pPr>
    </w:p>
    <w:p>
      <w:pPr>
        <w:ind w:left="660"/>
        <w:spacing w:after="0" w:line="303" w:lineRule="auto"/>
        <w:rPr>
          <w:sz w:val="20"/>
          <w:szCs w:val="20"/>
          <w:color w:val="auto"/>
        </w:rPr>
      </w:pPr>
      <w:r>
        <w:rPr>
          <w:rFonts w:ascii="Arial" w:cs="Arial" w:eastAsia="Arial" w:hAnsi="Arial"/>
          <w:sz w:val="20"/>
          <w:szCs w:val="20"/>
          <w:color w:val="auto"/>
        </w:rPr>
        <w:t>We have developed a formal risk management plan through which our conflict minerals program is managed and monitored. As part of this risk management plan, where applicable, we will review circumstances in which certain suppliers are unable to provide us with complete or reliable responses to the CFSI Template including, without limitation, considering whether to continue such contract or relationship or find a replacement supplier.</w:t>
      </w:r>
    </w:p>
    <w:p>
      <w:pPr>
        <w:spacing w:after="0" w:line="25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Carrying Out Independent Third-Party Audit of Supply Chain Due Diligence at Identified Points in the Supply Chain</w:t>
      </w:r>
    </w:p>
    <w:p>
      <w:pPr>
        <w:spacing w:after="0" w:line="337" w:lineRule="exact"/>
        <w:rPr>
          <w:sz w:val="20"/>
          <w:szCs w:val="20"/>
          <w:color w:val="auto"/>
        </w:rPr>
      </w:pPr>
    </w:p>
    <w:p>
      <w:pPr>
        <w:ind w:left="660" w:right="160"/>
        <w:spacing w:after="0" w:line="345" w:lineRule="auto"/>
        <w:rPr>
          <w:sz w:val="20"/>
          <w:szCs w:val="20"/>
          <w:color w:val="auto"/>
        </w:rPr>
      </w:pPr>
      <w:r>
        <w:rPr>
          <w:rFonts w:ascii="Arial" w:cs="Arial" w:eastAsia="Arial" w:hAnsi="Arial"/>
          <w:sz w:val="18"/>
          <w:szCs w:val="18"/>
          <w:color w:val="auto"/>
        </w:rPr>
        <w:t>We do not have a direct relationship with any smelters or refiners in our supply chain. As a result, we do not and cannot conduct any audits directly. Instead, we support the development and implementation of independent third party audits of smelters such as the Conflict-Free Smelter Program (“CFSP”) by encouraging our suppliers to purchase materials from audited, conflict-free smelters and determining whether the smelters that were used to process these minerals were validated as conflict-free by the CFSP.</w:t>
      </w:r>
    </w:p>
    <w:p>
      <w:pPr>
        <w:spacing w:after="0" w:line="228" w:lineRule="exact"/>
        <w:rPr>
          <w:sz w:val="20"/>
          <w:szCs w:val="20"/>
          <w:color w:val="auto"/>
        </w:rPr>
      </w:pPr>
    </w:p>
    <w:p>
      <w:pPr>
        <w:ind w:left="1000" w:hanging="344"/>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Reporting on Supply Chain Due Diligence</w:t>
      </w:r>
    </w:p>
    <w:p>
      <w:pPr>
        <w:spacing w:after="0" w:line="337" w:lineRule="exact"/>
        <w:rPr>
          <w:sz w:val="20"/>
          <w:szCs w:val="20"/>
          <w:color w:val="auto"/>
        </w:rPr>
      </w:pPr>
    </w:p>
    <w:p>
      <w:pPr>
        <w:ind w:left="660" w:right="80"/>
        <w:spacing w:after="0" w:line="301" w:lineRule="auto"/>
        <w:rPr>
          <w:sz w:val="20"/>
          <w:szCs w:val="20"/>
          <w:color w:val="auto"/>
        </w:rPr>
      </w:pPr>
      <w:r>
        <w:rPr>
          <w:rFonts w:ascii="Arial" w:cs="Arial" w:eastAsia="Arial" w:hAnsi="Arial"/>
          <w:sz w:val="20"/>
          <w:szCs w:val="20"/>
          <w:color w:val="auto"/>
        </w:rPr>
        <w:t>We publicly filed the Form SD and this Report with the SEC. A copy of this Report and the Form SD are publicly available at http://investors.fluidigm.com/sec.cfm. This Report includes information about the RCOI methodology utilized by the Company, the design of our due diligence process in conformance with the OECD Framework, the list of known smelters and refiners utilized in our supply chain identified in our due diligence process, and a description of our products that incorporate 3TG minerals necessary to the functionality or production of such products.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Smelters and Refiners in Fluidigm’s Supply Chain</w:t>
      </w:r>
    </w:p>
    <w:p>
      <w:pPr>
        <w:spacing w:after="0" w:line="343" w:lineRule="exact"/>
        <w:rPr>
          <w:sz w:val="20"/>
          <w:szCs w:val="20"/>
          <w:color w:val="auto"/>
        </w:rPr>
      </w:pPr>
    </w:p>
    <w:p>
      <w:pPr>
        <w:ind w:right="200" w:firstLine="648"/>
        <w:spacing w:after="0" w:line="398" w:lineRule="auto"/>
        <w:rPr>
          <w:sz w:val="20"/>
          <w:szCs w:val="20"/>
          <w:color w:val="auto"/>
        </w:rPr>
      </w:pPr>
      <w:r>
        <w:rPr>
          <w:rFonts w:ascii="Arial" w:cs="Arial" w:eastAsia="Arial" w:hAnsi="Arial"/>
          <w:sz w:val="16"/>
          <w:szCs w:val="16"/>
          <w:color w:val="auto"/>
        </w:rPr>
        <w:t>We adopted CFSI’s industry approach to trace back the origin of 3TG minerals by identifying smelters, refineries, or recyclers and scrap supplier sources. We have leveraged industry initiatives such as the CFSP, which is a voluntary initiative in which an independent third party audits smelters and refiners to determine if all of the minerals processed by the smelter or refiner originated from conflict free sources. Participation in the CFSP provides us with verified information about the sourcing activities of the smelters and refiners in our supply chain.</w:t>
      </w:r>
    </w:p>
    <w:p>
      <w:pPr>
        <w:spacing w:after="0" w:line="198" w:lineRule="exact"/>
        <w:rPr>
          <w:sz w:val="20"/>
          <w:szCs w:val="20"/>
          <w:color w:val="auto"/>
        </w:rPr>
      </w:pPr>
    </w:p>
    <w:p>
      <w:pPr>
        <w:ind w:right="80" w:firstLine="648"/>
        <w:spacing w:after="0" w:line="299" w:lineRule="auto"/>
        <w:rPr>
          <w:sz w:val="20"/>
          <w:szCs w:val="20"/>
          <w:color w:val="auto"/>
        </w:rPr>
      </w:pPr>
      <w:r>
        <w:rPr>
          <w:rFonts w:ascii="Arial" w:cs="Arial" w:eastAsia="Arial" w:hAnsi="Arial"/>
          <w:sz w:val="20"/>
          <w:szCs w:val="20"/>
          <w:color w:val="auto"/>
        </w:rPr>
        <w:t>As discussed above, we submitted the CFSI Template to our first tier suppliers. Most of the responses received from our first tier suppliers provided information at company/division levels, rather than specific product/part number levels. As a result, we were unable to determine whether or to what extent any of the 3TG minerals reported as used by these first tier suppliers were contained specifically in components supplied to us. We also were unable to validate whether the smelters or refiners reported by such first tier suppliers are actually in our supply chain. Accordingly, based on information that was provided by our first tier suppliers or that was otherwise obtained through our due diligence process, we are unable to determine and describe all facilities used to process the 3TG minerals contained in our covered products.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933" w:right="299" w:bottom="1440" w:gutter="0" w:footer="0" w:header="0"/>
        </w:sectPr>
      </w:pPr>
    </w:p>
    <w:bookmarkStart w:id="8" w:name="page9"/>
    <w:bookmarkEnd w:id="8"/>
    <w:p>
      <w:pPr>
        <w:ind w:firstLine="648"/>
        <w:spacing w:after="0" w:line="315" w:lineRule="auto"/>
        <w:rPr>
          <w:sz w:val="20"/>
          <w:szCs w:val="20"/>
          <w:color w:val="auto"/>
        </w:rPr>
      </w:pPr>
      <w:r>
        <w:rPr>
          <w:rFonts w:ascii="Arial" w:cs="Arial" w:eastAsia="Arial" w:hAnsi="Arial"/>
          <w:sz w:val="19"/>
          <w:szCs w:val="19"/>
          <w:color w:val="auto"/>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smelters and refiners listed in Annex A attached hereto. This table includes only facilities that are listed in the CFSI Smelter Reference List as of May 23, 2017. An indication of “Compliant” in the far right column of the table indicates that the smelter or refinery has received a “conflict free” designation from an independent third party audit program or is presently undergoing a re-audit to maintain its “conflict free” designation. An indication of “In Process” in the far right column of the table indicates that the smelter or refinery has not yet received a “conflict free” designation, but is undergoing an audit process that will determine such status. An indication of “Unknown” in the far right column of the table indicates that the smelter or refiner was not included in the CFSI compliant or active lists and thus the facility’s receipt of such designation is undeterminable.</w:t>
      </w:r>
    </w:p>
    <w:p>
      <w:pPr>
        <w:spacing w:after="0" w:line="255" w:lineRule="exact"/>
        <w:rPr>
          <w:sz w:val="20"/>
          <w:szCs w:val="20"/>
          <w:color w:val="auto"/>
        </w:rPr>
      </w:pPr>
    </w:p>
    <w:p>
      <w:pPr>
        <w:ind w:firstLine="648"/>
        <w:spacing w:after="0" w:line="317" w:lineRule="auto"/>
        <w:rPr>
          <w:sz w:val="20"/>
          <w:szCs w:val="20"/>
          <w:color w:val="auto"/>
        </w:rPr>
      </w:pPr>
      <w:r>
        <w:rPr>
          <w:rFonts w:ascii="Arial" w:cs="Arial" w:eastAsia="Arial" w:hAnsi="Arial"/>
          <w:sz w:val="19"/>
          <w:szCs w:val="19"/>
          <w:color w:val="auto"/>
        </w:rPr>
        <w:t>Because the CFSI Smelter Reference List generally did not indicate individual countries of origin of the conflict minerals processed by smelters and refiners, we were not able to determine the countries of origin of the 3TG minerals processed by the listed smelters and refiners with greater specificity. Furthermore, as stated earlier, submission of these smelters by our first-tier suppliers does not guarantee that these smelters or refiners are present in the Company’s supply chain as our first tier suppliers were generally only able to provide company-level CFSI Templates and were not able to provide product-level CFSI Templates directly linking those smelters or refiners to such covered products. Therefore, based on our due diligence efforts, we do not have sufficient information to conclusively determine the countries of origin of the 3TG minerals contained in the covered products.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Risk Factors</w:t>
      </w:r>
    </w:p>
    <w:p>
      <w:pPr>
        <w:spacing w:after="0" w:line="343" w:lineRule="exact"/>
        <w:rPr>
          <w:sz w:val="20"/>
          <w:szCs w:val="20"/>
          <w:color w:val="auto"/>
        </w:rPr>
      </w:pPr>
    </w:p>
    <w:p>
      <w:pPr>
        <w:ind w:right="20" w:firstLine="648"/>
        <w:spacing w:after="0" w:line="298" w:lineRule="auto"/>
        <w:rPr>
          <w:sz w:val="20"/>
          <w:szCs w:val="20"/>
          <w:color w:val="auto"/>
        </w:rPr>
      </w:pPr>
      <w:r>
        <w:rPr>
          <w:rFonts w:ascii="Arial" w:cs="Arial" w:eastAsia="Arial" w:hAnsi="Arial"/>
          <w:sz w:val="20"/>
          <w:szCs w:val="20"/>
          <w:color w:val="auto"/>
        </w:rPr>
        <w:t>The statements above are based on the RCOI process and due diligence performed in good faith by Fluidigm. These statements are based on the infrastructure and information available at the time. A number of factors could introduce errors or otherwise affect our 3TG mineral status. These factors include, but are not limited to, gaps in supplier data; gaps in smelter data; errors or omissions by suppliers; errors or omissions by smelters; the definition of a smelter not being finalized at the end of the 2016 reporting period; all instances of 3TG minerals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minerals; oversight or errors in conflict free smelter audits; Covered Countries sourced materials being declared secondary materials; companies going out of business in 2016; certification programs being not equally advanced for all industry segments and metals; and smuggling of 3TG minerals from the Covered Countries to other countries.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Steps</w:t>
      </w:r>
    </w:p>
    <w:p>
      <w:pPr>
        <w:spacing w:after="0" w:line="343" w:lineRule="exact"/>
        <w:rPr>
          <w:sz w:val="20"/>
          <w:szCs w:val="20"/>
          <w:color w:val="auto"/>
        </w:rPr>
      </w:pPr>
    </w:p>
    <w:p>
      <w:pPr>
        <w:ind w:right="20" w:firstLine="648"/>
        <w:spacing w:after="0" w:line="301" w:lineRule="auto"/>
        <w:rPr>
          <w:sz w:val="20"/>
          <w:szCs w:val="20"/>
          <w:color w:val="auto"/>
        </w:rPr>
      </w:pPr>
      <w:r>
        <w:rPr>
          <w:rFonts w:ascii="Arial" w:cs="Arial" w:eastAsia="Arial" w:hAnsi="Arial"/>
          <w:sz w:val="20"/>
          <w:szCs w:val="20"/>
          <w:color w:val="auto"/>
        </w:rPr>
        <w:t>We have communicated our expectations to our first tier suppliers regarding our commitment to sourcing minerals for our products in a manner that does not, directly or indirectly, finance or benefit armed groups in the DRC or adjoining countries. We expect to continue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products.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49" w:right="25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20"/>
          <w:szCs w:val="20"/>
          <w:u w:val="single" w:color="auto"/>
          <w:color w:val="auto"/>
        </w:rPr>
        <w:t>Annex A</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2016 Facility and Country List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Metal</w:t>
            </w:r>
          </w:p>
        </w:tc>
        <w:tc>
          <w:tcPr>
            <w:tcW w:w="5760" w:type="dxa"/>
            <w:vAlign w:val="bottom"/>
          </w:tcPr>
          <w:p>
            <w:pPr>
              <w:ind w:left="400"/>
              <w:spacing w:after="0"/>
              <w:rPr>
                <w:sz w:val="20"/>
                <w:szCs w:val="20"/>
                <w:color w:val="auto"/>
              </w:rPr>
            </w:pPr>
            <w:r>
              <w:rPr>
                <w:rFonts w:ascii="Arial" w:cs="Arial" w:eastAsia="Arial" w:hAnsi="Arial"/>
                <w:sz w:val="18"/>
                <w:szCs w:val="18"/>
                <w:b w:val="1"/>
                <w:bCs w:val="1"/>
                <w:color w:val="auto"/>
              </w:rPr>
              <w:t>Facility Name</w:t>
            </w:r>
          </w:p>
        </w:tc>
        <w:tc>
          <w:tcPr>
            <w:tcW w:w="2780" w:type="dxa"/>
            <w:vAlign w:val="bottom"/>
          </w:tcPr>
          <w:p>
            <w:pPr>
              <w:ind w:left="940"/>
              <w:spacing w:after="0"/>
              <w:rPr>
                <w:sz w:val="20"/>
                <w:szCs w:val="20"/>
                <w:color w:val="auto"/>
              </w:rPr>
            </w:pPr>
            <w:r>
              <w:rPr>
                <w:rFonts w:ascii="Arial" w:cs="Arial" w:eastAsia="Arial" w:hAnsi="Arial"/>
                <w:sz w:val="18"/>
                <w:szCs w:val="18"/>
                <w:b w:val="1"/>
                <w:bCs w:val="1"/>
                <w:color w:val="auto"/>
              </w:rPr>
              <w:t>Country</w:t>
            </w: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w w:val="93"/>
              </w:rPr>
              <w:t>Compliance Status</w:t>
            </w:r>
          </w:p>
        </w:tc>
      </w:tr>
      <w:tr>
        <w:trPr>
          <w:trHeight w:val="54"/>
        </w:trPr>
        <w:tc>
          <w:tcPr>
            <w:tcW w:w="880" w:type="dxa"/>
            <w:vAlign w:val="bottom"/>
            <w:tcBorders>
              <w:bottom w:val="single" w:sz="8" w:color="auto"/>
            </w:tcBorders>
          </w:tcPr>
          <w:p>
            <w:pPr>
              <w:spacing w:after="0"/>
              <w:rPr>
                <w:sz w:val="4"/>
                <w:szCs w:val="4"/>
                <w:color w:val="auto"/>
              </w:rPr>
            </w:pPr>
          </w:p>
        </w:tc>
        <w:tc>
          <w:tcPr>
            <w:tcW w:w="57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3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Abington Reldan Metals, LLC</w:t>
            </w:r>
          </w:p>
        </w:tc>
        <w:tc>
          <w:tcPr>
            <w:tcW w:w="278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Advanced Chemical Company</w:t>
            </w:r>
          </w:p>
        </w:tc>
        <w:tc>
          <w:tcPr>
            <w:tcW w:w="278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Aida Chemical Industries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Al Etihad Gold LLC</w:t>
            </w:r>
          </w:p>
        </w:tc>
        <w:tc>
          <w:tcPr>
            <w:tcW w:w="2780" w:type="dxa"/>
            <w:vAlign w:val="bottom"/>
          </w:tcPr>
          <w:p>
            <w:pPr>
              <w:ind w:left="940"/>
              <w:spacing w:after="0"/>
              <w:rPr>
                <w:sz w:val="20"/>
                <w:szCs w:val="20"/>
                <w:color w:val="auto"/>
              </w:rPr>
            </w:pPr>
            <w:r>
              <w:rPr>
                <w:rFonts w:ascii="Arial" w:cs="Arial" w:eastAsia="Arial" w:hAnsi="Arial"/>
                <w:sz w:val="18"/>
                <w:szCs w:val="18"/>
                <w:color w:val="auto"/>
              </w:rPr>
              <w:t>United Arab Emirates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Allgemeine Gold-und Silberscheideanstalt A.G.</w:t>
            </w:r>
          </w:p>
        </w:tc>
        <w:tc>
          <w:tcPr>
            <w:tcW w:w="2780" w:type="dxa"/>
            <w:vAlign w:val="bottom"/>
          </w:tcPr>
          <w:p>
            <w:pPr>
              <w:ind w:left="94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Almalyk Mining and Metallurgical Complex (AMMC)</w:t>
            </w:r>
          </w:p>
        </w:tc>
        <w:tc>
          <w:tcPr>
            <w:tcW w:w="2780" w:type="dxa"/>
            <w:vAlign w:val="bottom"/>
          </w:tcPr>
          <w:p>
            <w:pPr>
              <w:ind w:left="940"/>
              <w:spacing w:after="0"/>
              <w:rPr>
                <w:sz w:val="20"/>
                <w:szCs w:val="20"/>
                <w:color w:val="auto"/>
              </w:rPr>
            </w:pPr>
            <w:r>
              <w:rPr>
                <w:rFonts w:ascii="Arial" w:cs="Arial" w:eastAsia="Arial" w:hAnsi="Arial"/>
                <w:sz w:val="18"/>
                <w:szCs w:val="18"/>
                <w:color w:val="auto"/>
              </w:rPr>
              <w:t>Uzbekistan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AngloGold Ashanti Corrego do Sitio Mineracao</w:t>
            </w:r>
          </w:p>
        </w:tc>
        <w:tc>
          <w:tcPr>
            <w:tcW w:w="2780" w:type="dxa"/>
            <w:vAlign w:val="bottom"/>
          </w:tcPr>
          <w:p>
            <w:pPr>
              <w:ind w:left="940"/>
              <w:spacing w:after="0"/>
              <w:rPr>
                <w:sz w:val="20"/>
                <w:szCs w:val="20"/>
                <w:color w:val="auto"/>
              </w:rPr>
            </w:pPr>
            <w:r>
              <w:rPr>
                <w:rFonts w:ascii="Arial" w:cs="Arial" w:eastAsia="Arial" w:hAnsi="Arial"/>
                <w:sz w:val="18"/>
                <w:szCs w:val="18"/>
                <w:color w:val="auto"/>
              </w:rPr>
              <w:t>Brazil</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Argor-Heraeus S.A.</w:t>
            </w:r>
          </w:p>
        </w:tc>
        <w:tc>
          <w:tcPr>
            <w:tcW w:w="2780" w:type="dxa"/>
            <w:vAlign w:val="bottom"/>
          </w:tcPr>
          <w:p>
            <w:pPr>
              <w:ind w:left="940"/>
              <w:spacing w:after="0"/>
              <w:rPr>
                <w:sz w:val="20"/>
                <w:szCs w:val="20"/>
                <w:color w:val="auto"/>
              </w:rPr>
            </w:pPr>
            <w:r>
              <w:rPr>
                <w:rFonts w:ascii="Arial" w:cs="Arial" w:eastAsia="Arial" w:hAnsi="Arial"/>
                <w:sz w:val="18"/>
                <w:szCs w:val="18"/>
                <w:color w:val="auto"/>
              </w:rPr>
              <w:t>Switzerland</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Asahi Pretec Corp.</w:t>
            </w:r>
          </w:p>
        </w:tc>
        <w:tc>
          <w:tcPr>
            <w:tcW w:w="2780" w:type="dxa"/>
            <w:vAlign w:val="bottom"/>
          </w:tcPr>
          <w:p>
            <w:pPr>
              <w:ind w:left="94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Asahi Refining Canada Ltd.</w:t>
            </w:r>
          </w:p>
        </w:tc>
        <w:tc>
          <w:tcPr>
            <w:tcW w:w="2780" w:type="dxa"/>
            <w:vAlign w:val="bottom"/>
          </w:tcPr>
          <w:p>
            <w:pPr>
              <w:ind w:left="940"/>
              <w:spacing w:after="0"/>
              <w:rPr>
                <w:sz w:val="20"/>
                <w:szCs w:val="20"/>
                <w:color w:val="auto"/>
              </w:rPr>
            </w:pPr>
            <w:r>
              <w:rPr>
                <w:rFonts w:ascii="Arial" w:cs="Arial" w:eastAsia="Arial" w:hAnsi="Arial"/>
                <w:sz w:val="18"/>
                <w:szCs w:val="18"/>
                <w:color w:val="auto"/>
              </w:rPr>
              <w:t>Canada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Asahi Refining USA Inc.</w:t>
            </w:r>
          </w:p>
        </w:tc>
        <w:tc>
          <w:tcPr>
            <w:tcW w:w="278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Asaka Riken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Atasay Kuyumculuk Sanayi Ve Ticaret A.S.</w:t>
            </w:r>
          </w:p>
        </w:tc>
        <w:tc>
          <w:tcPr>
            <w:tcW w:w="2780" w:type="dxa"/>
            <w:vAlign w:val="bottom"/>
          </w:tcPr>
          <w:p>
            <w:pPr>
              <w:ind w:left="940"/>
              <w:spacing w:after="0"/>
              <w:rPr>
                <w:sz w:val="20"/>
                <w:szCs w:val="20"/>
                <w:color w:val="auto"/>
              </w:rPr>
            </w:pPr>
            <w:r>
              <w:rPr>
                <w:rFonts w:ascii="Arial" w:cs="Arial" w:eastAsia="Arial" w:hAnsi="Arial"/>
                <w:sz w:val="18"/>
                <w:szCs w:val="18"/>
                <w:color w:val="auto"/>
              </w:rPr>
              <w:t>Turkey</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AU Traders and Refiners</w:t>
            </w:r>
          </w:p>
        </w:tc>
        <w:tc>
          <w:tcPr>
            <w:tcW w:w="2780" w:type="dxa"/>
            <w:vAlign w:val="bottom"/>
          </w:tcPr>
          <w:p>
            <w:pPr>
              <w:ind w:left="940"/>
              <w:spacing w:after="0"/>
              <w:rPr>
                <w:sz w:val="20"/>
                <w:szCs w:val="20"/>
                <w:color w:val="auto"/>
              </w:rPr>
            </w:pPr>
            <w:r>
              <w:rPr>
                <w:rFonts w:ascii="Arial" w:cs="Arial" w:eastAsia="Arial" w:hAnsi="Arial"/>
                <w:sz w:val="18"/>
                <w:szCs w:val="18"/>
                <w:color w:val="auto"/>
              </w:rPr>
              <w:t>South Africa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Aurubis AG</w:t>
            </w:r>
          </w:p>
        </w:tc>
        <w:tc>
          <w:tcPr>
            <w:tcW w:w="2780" w:type="dxa"/>
            <w:vAlign w:val="bottom"/>
          </w:tcPr>
          <w:p>
            <w:pPr>
              <w:ind w:left="94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Bangalore Refinery</w:t>
            </w:r>
          </w:p>
        </w:tc>
        <w:tc>
          <w:tcPr>
            <w:tcW w:w="2780" w:type="dxa"/>
            <w:vAlign w:val="bottom"/>
          </w:tcPr>
          <w:p>
            <w:pPr>
              <w:ind w:left="940"/>
              <w:spacing w:after="0"/>
              <w:rPr>
                <w:sz w:val="20"/>
                <w:szCs w:val="20"/>
                <w:color w:val="auto"/>
              </w:rPr>
            </w:pPr>
            <w:r>
              <w:rPr>
                <w:rFonts w:ascii="Arial" w:cs="Arial" w:eastAsia="Arial" w:hAnsi="Arial"/>
                <w:sz w:val="18"/>
                <w:szCs w:val="18"/>
                <w:color w:val="auto"/>
              </w:rPr>
              <w:t>India</w:t>
            </w:r>
          </w:p>
        </w:tc>
        <w:tc>
          <w:tcPr>
            <w:tcW w:w="1820" w:type="dxa"/>
            <w:vAlign w:val="bottom"/>
          </w:tcPr>
          <w:p>
            <w:pPr>
              <w:ind w:left="280"/>
              <w:spacing w:after="0"/>
              <w:rPr>
                <w:sz w:val="20"/>
                <w:szCs w:val="20"/>
                <w:color w:val="auto"/>
              </w:rPr>
            </w:pPr>
            <w:r>
              <w:rPr>
                <w:rFonts w:ascii="Arial" w:cs="Arial" w:eastAsia="Arial" w:hAnsi="Arial"/>
                <w:sz w:val="18"/>
                <w:szCs w:val="18"/>
                <w:color w:val="auto"/>
              </w:rPr>
              <w:t>In Process</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Bangko Sentral ng Pilipinas (Central Bank of the Philippines)</w:t>
            </w:r>
          </w:p>
        </w:tc>
        <w:tc>
          <w:tcPr>
            <w:tcW w:w="2780" w:type="dxa"/>
            <w:vAlign w:val="bottom"/>
          </w:tcPr>
          <w:p>
            <w:pPr>
              <w:ind w:left="940"/>
              <w:spacing w:after="0"/>
              <w:rPr>
                <w:sz w:val="20"/>
                <w:szCs w:val="20"/>
                <w:color w:val="auto"/>
              </w:rPr>
            </w:pPr>
            <w:r>
              <w:rPr>
                <w:rFonts w:ascii="Arial" w:cs="Arial" w:eastAsia="Arial" w:hAnsi="Arial"/>
                <w:sz w:val="18"/>
                <w:szCs w:val="18"/>
                <w:color w:val="auto"/>
              </w:rPr>
              <w:t>Philippines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Boliden AB</w:t>
            </w:r>
          </w:p>
        </w:tc>
        <w:tc>
          <w:tcPr>
            <w:tcW w:w="2780" w:type="dxa"/>
            <w:vAlign w:val="bottom"/>
          </w:tcPr>
          <w:p>
            <w:pPr>
              <w:ind w:left="940"/>
              <w:spacing w:after="0"/>
              <w:rPr>
                <w:sz w:val="20"/>
                <w:szCs w:val="20"/>
                <w:color w:val="auto"/>
              </w:rPr>
            </w:pPr>
            <w:r>
              <w:rPr>
                <w:rFonts w:ascii="Arial" w:cs="Arial" w:eastAsia="Arial" w:hAnsi="Arial"/>
                <w:sz w:val="18"/>
                <w:szCs w:val="18"/>
                <w:color w:val="auto"/>
              </w:rPr>
              <w:t>Sweden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C. Hafner GmbH + Co. KG</w:t>
            </w:r>
          </w:p>
        </w:tc>
        <w:tc>
          <w:tcPr>
            <w:tcW w:w="2780" w:type="dxa"/>
            <w:vAlign w:val="bottom"/>
          </w:tcPr>
          <w:p>
            <w:pPr>
              <w:ind w:left="94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Caridad</w:t>
            </w:r>
          </w:p>
        </w:tc>
        <w:tc>
          <w:tcPr>
            <w:tcW w:w="2780" w:type="dxa"/>
            <w:vAlign w:val="bottom"/>
          </w:tcPr>
          <w:p>
            <w:pPr>
              <w:ind w:left="940"/>
              <w:spacing w:after="0"/>
              <w:rPr>
                <w:sz w:val="20"/>
                <w:szCs w:val="20"/>
                <w:color w:val="auto"/>
              </w:rPr>
            </w:pPr>
            <w:r>
              <w:rPr>
                <w:rFonts w:ascii="Arial" w:cs="Arial" w:eastAsia="Arial" w:hAnsi="Arial"/>
                <w:sz w:val="18"/>
                <w:szCs w:val="18"/>
                <w:color w:val="auto"/>
              </w:rPr>
              <w:t>Mexico</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CCR Refinery - Glencore Canada Corporation</w:t>
            </w:r>
          </w:p>
        </w:tc>
        <w:tc>
          <w:tcPr>
            <w:tcW w:w="2780" w:type="dxa"/>
            <w:vAlign w:val="bottom"/>
          </w:tcPr>
          <w:p>
            <w:pPr>
              <w:ind w:left="940"/>
              <w:spacing w:after="0"/>
              <w:rPr>
                <w:sz w:val="20"/>
                <w:szCs w:val="20"/>
                <w:color w:val="auto"/>
              </w:rPr>
            </w:pPr>
            <w:r>
              <w:rPr>
                <w:rFonts w:ascii="Arial" w:cs="Arial" w:eastAsia="Arial" w:hAnsi="Arial"/>
                <w:sz w:val="18"/>
                <w:szCs w:val="18"/>
                <w:color w:val="auto"/>
              </w:rPr>
              <w:t>Canada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Cendres + Metaux S.A.</w:t>
            </w:r>
          </w:p>
        </w:tc>
        <w:tc>
          <w:tcPr>
            <w:tcW w:w="2780" w:type="dxa"/>
            <w:vAlign w:val="bottom"/>
          </w:tcPr>
          <w:p>
            <w:pPr>
              <w:ind w:left="940"/>
              <w:spacing w:after="0"/>
              <w:rPr>
                <w:sz w:val="20"/>
                <w:szCs w:val="20"/>
                <w:color w:val="auto"/>
              </w:rPr>
            </w:pPr>
            <w:r>
              <w:rPr>
                <w:rFonts w:ascii="Arial" w:cs="Arial" w:eastAsia="Arial" w:hAnsi="Arial"/>
                <w:sz w:val="18"/>
                <w:szCs w:val="18"/>
                <w:color w:val="auto"/>
              </w:rPr>
              <w:t>Switzerland</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Chimet S.p.A.</w:t>
            </w:r>
          </w:p>
        </w:tc>
        <w:tc>
          <w:tcPr>
            <w:tcW w:w="2780" w:type="dxa"/>
            <w:vAlign w:val="bottom"/>
          </w:tcPr>
          <w:p>
            <w:pPr>
              <w:ind w:left="940"/>
              <w:spacing w:after="0"/>
              <w:rPr>
                <w:sz w:val="20"/>
                <w:szCs w:val="20"/>
                <w:color w:val="auto"/>
              </w:rPr>
            </w:pPr>
            <w:r>
              <w:rPr>
                <w:rFonts w:ascii="Arial" w:cs="Arial" w:eastAsia="Arial" w:hAnsi="Arial"/>
                <w:sz w:val="18"/>
                <w:szCs w:val="18"/>
                <w:color w:val="auto"/>
              </w:rPr>
              <w:t>Italy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Chugai Mining</w:t>
            </w:r>
          </w:p>
        </w:tc>
        <w:tc>
          <w:tcPr>
            <w:tcW w:w="2780" w:type="dxa"/>
            <w:vAlign w:val="bottom"/>
          </w:tcPr>
          <w:p>
            <w:pPr>
              <w:ind w:left="94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Daejin Indus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Daye Non-Ferrous Metals Mining Ltd.</w:t>
            </w:r>
          </w:p>
        </w:tc>
        <w:tc>
          <w:tcPr>
            <w:tcW w:w="2780" w:type="dxa"/>
            <w:vAlign w:val="bottom"/>
          </w:tcPr>
          <w:p>
            <w:pPr>
              <w:ind w:left="94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Degussa Sonne / Mond Goldhandel GmbH</w:t>
            </w:r>
          </w:p>
        </w:tc>
        <w:tc>
          <w:tcPr>
            <w:tcW w:w="2780" w:type="dxa"/>
            <w:vAlign w:val="bottom"/>
          </w:tcPr>
          <w:p>
            <w:pPr>
              <w:ind w:left="94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DODUCO GmbH</w:t>
            </w:r>
          </w:p>
        </w:tc>
        <w:tc>
          <w:tcPr>
            <w:tcW w:w="2780" w:type="dxa"/>
            <w:vAlign w:val="bottom"/>
          </w:tcPr>
          <w:p>
            <w:pPr>
              <w:ind w:left="94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Dowa</w:t>
            </w:r>
          </w:p>
        </w:tc>
        <w:tc>
          <w:tcPr>
            <w:tcW w:w="2780" w:type="dxa"/>
            <w:vAlign w:val="bottom"/>
          </w:tcPr>
          <w:p>
            <w:pPr>
              <w:ind w:left="94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DSC (Do Sung Corporation)</w:t>
            </w:r>
          </w:p>
        </w:tc>
        <w:tc>
          <w:tcPr>
            <w:tcW w:w="2780" w:type="dxa"/>
            <w:vAlign w:val="bottom"/>
          </w:tcPr>
          <w:p>
            <w:pPr>
              <w:ind w:left="94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Eco-System Recycling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Elemetal Refining, LLC</w:t>
            </w:r>
          </w:p>
        </w:tc>
        <w:tc>
          <w:tcPr>
            <w:tcW w:w="278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Emirates Gold DMCC</w:t>
            </w:r>
          </w:p>
        </w:tc>
        <w:tc>
          <w:tcPr>
            <w:tcW w:w="2780" w:type="dxa"/>
            <w:vAlign w:val="bottom"/>
          </w:tcPr>
          <w:p>
            <w:pPr>
              <w:ind w:left="940"/>
              <w:spacing w:after="0"/>
              <w:rPr>
                <w:sz w:val="20"/>
                <w:szCs w:val="20"/>
                <w:color w:val="auto"/>
              </w:rPr>
            </w:pPr>
            <w:r>
              <w:rPr>
                <w:rFonts w:ascii="Arial" w:cs="Arial" w:eastAsia="Arial" w:hAnsi="Arial"/>
                <w:sz w:val="18"/>
                <w:szCs w:val="18"/>
                <w:color w:val="auto"/>
              </w:rPr>
              <w:t>United Arab Emirates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Fidelity Printers and Refiners Ltd.</w:t>
            </w:r>
          </w:p>
        </w:tc>
        <w:tc>
          <w:tcPr>
            <w:tcW w:w="2780" w:type="dxa"/>
            <w:vAlign w:val="bottom"/>
          </w:tcPr>
          <w:p>
            <w:pPr>
              <w:ind w:left="940"/>
              <w:spacing w:after="0"/>
              <w:rPr>
                <w:sz w:val="20"/>
                <w:szCs w:val="20"/>
                <w:color w:val="auto"/>
              </w:rPr>
            </w:pPr>
            <w:r>
              <w:rPr>
                <w:rFonts w:ascii="Arial" w:cs="Arial" w:eastAsia="Arial" w:hAnsi="Arial"/>
                <w:sz w:val="18"/>
                <w:szCs w:val="18"/>
                <w:color w:val="auto"/>
              </w:rPr>
              <w:t>Zimbabwe</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Gansu Seemine Material Hi-Tech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GCC Gujrat Gold Centre Pvt. Ltd.</w:t>
            </w:r>
          </w:p>
        </w:tc>
        <w:tc>
          <w:tcPr>
            <w:tcW w:w="2780" w:type="dxa"/>
            <w:vAlign w:val="bottom"/>
          </w:tcPr>
          <w:p>
            <w:pPr>
              <w:ind w:left="940"/>
              <w:spacing w:after="0"/>
              <w:rPr>
                <w:sz w:val="20"/>
                <w:szCs w:val="20"/>
                <w:color w:val="auto"/>
              </w:rPr>
            </w:pPr>
            <w:r>
              <w:rPr>
                <w:rFonts w:ascii="Arial" w:cs="Arial" w:eastAsia="Arial" w:hAnsi="Arial"/>
                <w:sz w:val="18"/>
                <w:szCs w:val="18"/>
                <w:color w:val="auto"/>
              </w:rPr>
              <w:t>India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Geib Refining Corporation</w:t>
            </w:r>
          </w:p>
        </w:tc>
        <w:tc>
          <w:tcPr>
            <w:tcW w:w="278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Gold Refinery of Zijin Mining Group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Great Wall Precious Metals Co., Ltd. of CBPM</w:t>
            </w:r>
          </w:p>
        </w:tc>
        <w:tc>
          <w:tcPr>
            <w:tcW w:w="2780" w:type="dxa"/>
            <w:vAlign w:val="bottom"/>
          </w:tcPr>
          <w:p>
            <w:pPr>
              <w:ind w:left="94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Guangdong Jinding Gold Limited</w:t>
            </w:r>
          </w:p>
        </w:tc>
        <w:tc>
          <w:tcPr>
            <w:tcW w:w="2780" w:type="dxa"/>
            <w:vAlign w:val="bottom"/>
          </w:tcPr>
          <w:p>
            <w:pPr>
              <w:ind w:left="94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Guoda Safina High-Tech Environmental Refinery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Hangzhou Fuchunjiang Smelting Co., Ltd.</w:t>
            </w:r>
          </w:p>
        </w:tc>
        <w:tc>
          <w:tcPr>
            <w:tcW w:w="2780" w:type="dxa"/>
            <w:vAlign w:val="bottom"/>
          </w:tcPr>
          <w:p>
            <w:pPr>
              <w:ind w:left="94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760" w:type="dxa"/>
            <w:vAlign w:val="bottom"/>
          </w:tcPr>
          <w:p>
            <w:pPr>
              <w:ind w:left="400"/>
              <w:spacing w:after="0"/>
              <w:rPr>
                <w:sz w:val="20"/>
                <w:szCs w:val="20"/>
                <w:color w:val="auto"/>
              </w:rPr>
            </w:pPr>
            <w:r>
              <w:rPr>
                <w:rFonts w:ascii="Arial" w:cs="Arial" w:eastAsia="Arial" w:hAnsi="Arial"/>
                <w:sz w:val="18"/>
                <w:szCs w:val="18"/>
                <w:color w:val="auto"/>
              </w:rPr>
              <w:t>HeeSung Metal Ltd.</w:t>
            </w:r>
          </w:p>
        </w:tc>
        <w:tc>
          <w:tcPr>
            <w:tcW w:w="2780" w:type="dxa"/>
            <w:vAlign w:val="bottom"/>
          </w:tcPr>
          <w:p>
            <w:pPr>
              <w:ind w:left="94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280"/>
              <w:spacing w:after="0"/>
              <w:rPr>
                <w:sz w:val="20"/>
                <w:szCs w:val="20"/>
                <w:color w:val="auto"/>
              </w:rPr>
            </w:pPr>
            <w:r>
              <w:rPr>
                <w:rFonts w:ascii="Arial" w:cs="Arial" w:eastAsia="Arial" w:hAnsi="Arial"/>
                <w:sz w:val="18"/>
                <w:szCs w:val="18"/>
                <w:color w:val="auto"/>
              </w:rPr>
              <w:t>In Process</w:t>
            </w:r>
          </w:p>
        </w:tc>
      </w:tr>
    </w:tbl>
    <w:p>
      <w:pPr>
        <w:spacing w:after="0" w:line="200" w:lineRule="exact"/>
        <w:rPr>
          <w:sz w:val="20"/>
          <w:szCs w:val="20"/>
          <w:color w:val="auto"/>
        </w:rPr>
      </w:pPr>
    </w:p>
    <w:p>
      <w:pPr>
        <w:sectPr>
          <w:pgSz w:w="11900" w:h="16838" w:orient="portrait"/>
          <w:cols w:equalWidth="0" w:num="1">
            <w:col w:w="11240"/>
          </w:cols>
          <w:pgMar w:left="240" w:top="1136" w:right="419" w:bottom="786" w:gutter="0" w:footer="0" w:header="0"/>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240" w:top="1136" w:right="419" w:bottom="786"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Metal</w:t>
            </w:r>
          </w:p>
        </w:tc>
        <w:tc>
          <w:tcPr>
            <w:tcW w:w="5940" w:type="dxa"/>
            <w:vAlign w:val="bottom"/>
          </w:tcPr>
          <w:p>
            <w:pPr>
              <w:ind w:left="400"/>
              <w:spacing w:after="0"/>
              <w:rPr>
                <w:sz w:val="20"/>
                <w:szCs w:val="20"/>
                <w:color w:val="auto"/>
              </w:rPr>
            </w:pPr>
            <w:r>
              <w:rPr>
                <w:rFonts w:ascii="Arial" w:cs="Arial" w:eastAsia="Arial" w:hAnsi="Arial"/>
                <w:sz w:val="18"/>
                <w:szCs w:val="18"/>
                <w:b w:val="1"/>
                <w:bCs w:val="1"/>
                <w:color w:val="auto"/>
              </w:rPr>
              <w:t>Facility Name</w:t>
            </w:r>
          </w:p>
        </w:tc>
        <w:tc>
          <w:tcPr>
            <w:tcW w:w="2600" w:type="dxa"/>
            <w:vAlign w:val="bottom"/>
          </w:tcPr>
          <w:p>
            <w:pPr>
              <w:ind w:left="760"/>
              <w:spacing w:after="0"/>
              <w:rPr>
                <w:sz w:val="20"/>
                <w:szCs w:val="20"/>
                <w:color w:val="auto"/>
              </w:rPr>
            </w:pPr>
            <w:r>
              <w:rPr>
                <w:rFonts w:ascii="Arial" w:cs="Arial" w:eastAsia="Arial" w:hAnsi="Arial"/>
                <w:sz w:val="18"/>
                <w:szCs w:val="18"/>
                <w:b w:val="1"/>
                <w:bCs w:val="1"/>
                <w:color w:val="auto"/>
              </w:rPr>
              <w:t>Country</w:t>
            </w: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w w:val="93"/>
              </w:rPr>
              <w:t>Compliance Status</w:t>
            </w:r>
          </w:p>
        </w:tc>
      </w:tr>
      <w:tr>
        <w:trPr>
          <w:trHeight w:val="54"/>
        </w:trPr>
        <w:tc>
          <w:tcPr>
            <w:tcW w:w="8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3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Heimerle + Meule GmbH</w:t>
            </w:r>
          </w:p>
        </w:tc>
        <w:tc>
          <w:tcPr>
            <w:tcW w:w="2600" w:type="dxa"/>
            <w:vAlign w:val="bottom"/>
          </w:tcPr>
          <w:p>
            <w:pPr>
              <w:ind w:left="76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Heraeus Metals Hong Kong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Heraeus Precious Metals GmbH &amp; Co. KG</w:t>
            </w:r>
          </w:p>
        </w:tc>
        <w:tc>
          <w:tcPr>
            <w:tcW w:w="2600" w:type="dxa"/>
            <w:vAlign w:val="bottom"/>
          </w:tcPr>
          <w:p>
            <w:pPr>
              <w:ind w:left="76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Hunan Chenzhou Mining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HwaSeong CJ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Inner Mongolia Qiankun Gold and Silver Refinery Share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Ishifuku Metal Industry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Istanbul Gold Refinery</w:t>
            </w:r>
          </w:p>
        </w:tc>
        <w:tc>
          <w:tcPr>
            <w:tcW w:w="2600" w:type="dxa"/>
            <w:vAlign w:val="bottom"/>
          </w:tcPr>
          <w:p>
            <w:pPr>
              <w:ind w:left="760"/>
              <w:spacing w:after="0"/>
              <w:rPr>
                <w:sz w:val="20"/>
                <w:szCs w:val="20"/>
                <w:color w:val="auto"/>
              </w:rPr>
            </w:pPr>
            <w:r>
              <w:rPr>
                <w:rFonts w:ascii="Arial" w:cs="Arial" w:eastAsia="Arial" w:hAnsi="Arial"/>
                <w:sz w:val="18"/>
                <w:szCs w:val="18"/>
                <w:color w:val="auto"/>
              </w:rPr>
              <w:t>Turkey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Japan Mint</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Jiangxi Copper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JSC Ekaterinburg Non-Ferrous Metal Processing Plant</w:t>
            </w:r>
          </w:p>
        </w:tc>
        <w:tc>
          <w:tcPr>
            <w:tcW w:w="2600" w:type="dxa"/>
            <w:vAlign w:val="bottom"/>
          </w:tcPr>
          <w:p>
            <w:pPr>
              <w:ind w:left="76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JSC Uralelectromed</w:t>
            </w:r>
          </w:p>
        </w:tc>
        <w:tc>
          <w:tcPr>
            <w:tcW w:w="2600" w:type="dxa"/>
            <w:vAlign w:val="bottom"/>
          </w:tcPr>
          <w:p>
            <w:pPr>
              <w:ind w:left="76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JX Nippon Mining &amp; Metals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Kaloti Precious Metals</w:t>
            </w:r>
          </w:p>
        </w:tc>
        <w:tc>
          <w:tcPr>
            <w:tcW w:w="2600" w:type="dxa"/>
            <w:vAlign w:val="bottom"/>
          </w:tcPr>
          <w:p>
            <w:pPr>
              <w:ind w:left="760"/>
              <w:spacing w:after="0"/>
              <w:rPr>
                <w:sz w:val="20"/>
                <w:szCs w:val="20"/>
                <w:color w:val="auto"/>
              </w:rPr>
            </w:pPr>
            <w:r>
              <w:rPr>
                <w:rFonts w:ascii="Arial" w:cs="Arial" w:eastAsia="Arial" w:hAnsi="Arial"/>
                <w:sz w:val="18"/>
                <w:szCs w:val="18"/>
                <w:color w:val="auto"/>
              </w:rPr>
              <w:t>United Arab Emirates</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Kazakhmys Smelting LLC</w:t>
            </w:r>
          </w:p>
        </w:tc>
        <w:tc>
          <w:tcPr>
            <w:tcW w:w="2600" w:type="dxa"/>
            <w:vAlign w:val="bottom"/>
          </w:tcPr>
          <w:p>
            <w:pPr>
              <w:ind w:left="760"/>
              <w:spacing w:after="0"/>
              <w:rPr>
                <w:sz w:val="20"/>
                <w:szCs w:val="20"/>
                <w:color w:val="auto"/>
              </w:rPr>
            </w:pPr>
            <w:r>
              <w:rPr>
                <w:rFonts w:ascii="Arial" w:cs="Arial" w:eastAsia="Arial" w:hAnsi="Arial"/>
                <w:sz w:val="18"/>
                <w:szCs w:val="18"/>
                <w:color w:val="auto"/>
              </w:rPr>
              <w:t>Kazakhstan</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Kazzinc</w:t>
            </w:r>
          </w:p>
        </w:tc>
        <w:tc>
          <w:tcPr>
            <w:tcW w:w="2600" w:type="dxa"/>
            <w:vAlign w:val="bottom"/>
          </w:tcPr>
          <w:p>
            <w:pPr>
              <w:ind w:left="760"/>
              <w:spacing w:after="0"/>
              <w:rPr>
                <w:sz w:val="20"/>
                <w:szCs w:val="20"/>
                <w:color w:val="auto"/>
              </w:rPr>
            </w:pPr>
            <w:r>
              <w:rPr>
                <w:rFonts w:ascii="Arial" w:cs="Arial" w:eastAsia="Arial" w:hAnsi="Arial"/>
                <w:sz w:val="18"/>
                <w:szCs w:val="18"/>
                <w:color w:val="auto"/>
              </w:rPr>
              <w:t>Kazakhstan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Kennecott Utah Copper LLC</w:t>
            </w:r>
          </w:p>
        </w:tc>
        <w:tc>
          <w:tcPr>
            <w:tcW w:w="2600" w:type="dxa"/>
            <w:vAlign w:val="bottom"/>
          </w:tcPr>
          <w:p>
            <w:pPr>
              <w:ind w:left="76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KGHM Polska Miedz Spolka Akcyjna</w:t>
            </w:r>
          </w:p>
        </w:tc>
        <w:tc>
          <w:tcPr>
            <w:tcW w:w="2600" w:type="dxa"/>
            <w:vAlign w:val="bottom"/>
          </w:tcPr>
          <w:p>
            <w:pPr>
              <w:ind w:left="760"/>
              <w:spacing w:after="0"/>
              <w:rPr>
                <w:sz w:val="20"/>
                <w:szCs w:val="20"/>
                <w:color w:val="auto"/>
              </w:rPr>
            </w:pPr>
            <w:r>
              <w:rPr>
                <w:rFonts w:ascii="Arial" w:cs="Arial" w:eastAsia="Arial" w:hAnsi="Arial"/>
                <w:sz w:val="18"/>
                <w:szCs w:val="18"/>
                <w:color w:val="auto"/>
              </w:rPr>
              <w:t>Poland</w:t>
            </w:r>
          </w:p>
        </w:tc>
        <w:tc>
          <w:tcPr>
            <w:tcW w:w="1820" w:type="dxa"/>
            <w:vAlign w:val="bottom"/>
          </w:tcPr>
          <w:p>
            <w:pPr>
              <w:ind w:left="280"/>
              <w:spacing w:after="0"/>
              <w:rPr>
                <w:sz w:val="20"/>
                <w:szCs w:val="20"/>
                <w:color w:val="auto"/>
              </w:rPr>
            </w:pPr>
            <w:r>
              <w:rPr>
                <w:rFonts w:ascii="Arial" w:cs="Arial" w:eastAsia="Arial" w:hAnsi="Arial"/>
                <w:sz w:val="18"/>
                <w:szCs w:val="18"/>
                <w:color w:val="auto"/>
              </w:rPr>
              <w:t>In Process</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Kojima Chemicals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Korea Zinc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Kyrgyzaltyn JSC</w:t>
            </w:r>
          </w:p>
        </w:tc>
        <w:tc>
          <w:tcPr>
            <w:tcW w:w="2600" w:type="dxa"/>
            <w:vAlign w:val="bottom"/>
          </w:tcPr>
          <w:p>
            <w:pPr>
              <w:ind w:left="760"/>
              <w:spacing w:after="0"/>
              <w:rPr>
                <w:sz w:val="20"/>
                <w:szCs w:val="20"/>
                <w:color w:val="auto"/>
              </w:rPr>
            </w:pPr>
            <w:r>
              <w:rPr>
                <w:rFonts w:ascii="Arial" w:cs="Arial" w:eastAsia="Arial" w:hAnsi="Arial"/>
                <w:sz w:val="18"/>
                <w:szCs w:val="18"/>
                <w:color w:val="auto"/>
              </w:rPr>
              <w:t>Kyrgyzstan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Kyshtym Copper-Electrolytic Plant ZAO</w:t>
            </w:r>
          </w:p>
        </w:tc>
        <w:tc>
          <w:tcPr>
            <w:tcW w:w="2600" w:type="dxa"/>
            <w:vAlign w:val="bottom"/>
          </w:tcPr>
          <w:p>
            <w:pPr>
              <w:ind w:left="76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L'azurde Company For Jewelry</w:t>
            </w:r>
          </w:p>
        </w:tc>
        <w:tc>
          <w:tcPr>
            <w:tcW w:w="2600" w:type="dxa"/>
            <w:vAlign w:val="bottom"/>
          </w:tcPr>
          <w:p>
            <w:pPr>
              <w:ind w:left="760"/>
              <w:spacing w:after="0"/>
              <w:rPr>
                <w:sz w:val="20"/>
                <w:szCs w:val="20"/>
                <w:color w:val="auto"/>
              </w:rPr>
            </w:pPr>
            <w:r>
              <w:rPr>
                <w:rFonts w:ascii="Arial" w:cs="Arial" w:eastAsia="Arial" w:hAnsi="Arial"/>
                <w:sz w:val="18"/>
                <w:szCs w:val="18"/>
                <w:color w:val="auto"/>
              </w:rPr>
              <w:t>Saudi Arabia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Lingbao Gold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Lingbao Jinyuan Tonghui Refinery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L'Orfebre S.A.</w:t>
            </w:r>
          </w:p>
        </w:tc>
        <w:tc>
          <w:tcPr>
            <w:tcW w:w="2600" w:type="dxa"/>
            <w:vAlign w:val="bottom"/>
          </w:tcPr>
          <w:p>
            <w:pPr>
              <w:ind w:left="760"/>
              <w:spacing w:after="0"/>
              <w:rPr>
                <w:sz w:val="20"/>
                <w:szCs w:val="20"/>
                <w:color w:val="auto"/>
              </w:rPr>
            </w:pPr>
            <w:r>
              <w:rPr>
                <w:rFonts w:ascii="Arial" w:cs="Arial" w:eastAsia="Arial" w:hAnsi="Arial"/>
                <w:sz w:val="18"/>
                <w:szCs w:val="18"/>
                <w:color w:val="auto"/>
              </w:rPr>
              <w:t>Andorra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LS-NIKKO Copper Inc.</w:t>
            </w:r>
          </w:p>
        </w:tc>
        <w:tc>
          <w:tcPr>
            <w:tcW w:w="2600" w:type="dxa"/>
            <w:vAlign w:val="bottom"/>
          </w:tcPr>
          <w:p>
            <w:pPr>
              <w:ind w:left="760"/>
              <w:spacing w:after="0"/>
              <w:rPr>
                <w:sz w:val="20"/>
                <w:szCs w:val="20"/>
                <w:color w:val="auto"/>
              </w:rPr>
            </w:pPr>
            <w:r>
              <w:rPr>
                <w:rFonts w:ascii="Arial" w:cs="Arial" w:eastAsia="Arial" w:hAnsi="Arial"/>
                <w:sz w:val="18"/>
                <w:szCs w:val="18"/>
                <w:color w:val="auto"/>
              </w:rPr>
              <w:t>Korea, Republic of</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Luoyang Zijin Yinhui Gold Refinery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Marsam Metals</w:t>
            </w:r>
          </w:p>
        </w:tc>
        <w:tc>
          <w:tcPr>
            <w:tcW w:w="2600" w:type="dxa"/>
            <w:vAlign w:val="bottom"/>
          </w:tcPr>
          <w:p>
            <w:pPr>
              <w:ind w:left="760"/>
              <w:spacing w:after="0"/>
              <w:rPr>
                <w:sz w:val="20"/>
                <w:szCs w:val="20"/>
                <w:color w:val="auto"/>
              </w:rPr>
            </w:pPr>
            <w:r>
              <w:rPr>
                <w:rFonts w:ascii="Arial" w:cs="Arial" w:eastAsia="Arial" w:hAnsi="Arial"/>
                <w:sz w:val="18"/>
                <w:szCs w:val="18"/>
                <w:color w:val="auto"/>
              </w:rPr>
              <w:t>Brazil</w:t>
            </w:r>
          </w:p>
        </w:tc>
        <w:tc>
          <w:tcPr>
            <w:tcW w:w="1820" w:type="dxa"/>
            <w:vAlign w:val="bottom"/>
          </w:tcPr>
          <w:p>
            <w:pPr>
              <w:ind w:left="280"/>
              <w:spacing w:after="0"/>
              <w:rPr>
                <w:sz w:val="20"/>
                <w:szCs w:val="20"/>
                <w:color w:val="auto"/>
              </w:rPr>
            </w:pPr>
            <w:r>
              <w:rPr>
                <w:rFonts w:ascii="Arial" w:cs="Arial" w:eastAsia="Arial" w:hAnsi="Arial"/>
                <w:sz w:val="18"/>
                <w:szCs w:val="18"/>
                <w:color w:val="auto"/>
              </w:rPr>
              <w:t>In Process</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Materion</w:t>
            </w:r>
          </w:p>
        </w:tc>
        <w:tc>
          <w:tcPr>
            <w:tcW w:w="2600" w:type="dxa"/>
            <w:vAlign w:val="bottom"/>
          </w:tcPr>
          <w:p>
            <w:pPr>
              <w:ind w:left="76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Matsuda Sangyo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Metalor Technologies (Hong Kong)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Metalor Technologies (Singapore) Pte., Ltd.</w:t>
            </w:r>
          </w:p>
        </w:tc>
        <w:tc>
          <w:tcPr>
            <w:tcW w:w="2600" w:type="dxa"/>
            <w:vAlign w:val="bottom"/>
          </w:tcPr>
          <w:p>
            <w:pPr>
              <w:ind w:left="760"/>
              <w:spacing w:after="0"/>
              <w:rPr>
                <w:sz w:val="20"/>
                <w:szCs w:val="20"/>
                <w:color w:val="auto"/>
              </w:rPr>
            </w:pPr>
            <w:r>
              <w:rPr>
                <w:rFonts w:ascii="Arial" w:cs="Arial" w:eastAsia="Arial" w:hAnsi="Arial"/>
                <w:sz w:val="18"/>
                <w:szCs w:val="18"/>
                <w:color w:val="auto"/>
              </w:rPr>
              <w:t>Singapore</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Metalor Technologies (Suzhou) Ltd.</w:t>
            </w:r>
          </w:p>
        </w:tc>
        <w:tc>
          <w:tcPr>
            <w:tcW w:w="2600" w:type="dxa"/>
            <w:vAlign w:val="bottom"/>
          </w:tcPr>
          <w:p>
            <w:pPr>
              <w:ind w:left="760"/>
              <w:spacing w:after="0"/>
              <w:rPr>
                <w:sz w:val="20"/>
                <w:szCs w:val="20"/>
                <w:color w:val="auto"/>
              </w:rPr>
            </w:pPr>
            <w:r>
              <w:rPr>
                <w:rFonts w:ascii="Arial" w:cs="Arial" w:eastAsia="Arial" w:hAnsi="Arial"/>
                <w:sz w:val="18"/>
                <w:szCs w:val="18"/>
                <w:color w:val="auto"/>
              </w:rPr>
              <w:t>China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Metalor Technologies S.A.</w:t>
            </w:r>
          </w:p>
        </w:tc>
        <w:tc>
          <w:tcPr>
            <w:tcW w:w="2600" w:type="dxa"/>
            <w:vAlign w:val="bottom"/>
          </w:tcPr>
          <w:p>
            <w:pPr>
              <w:ind w:left="760"/>
              <w:spacing w:after="0"/>
              <w:rPr>
                <w:sz w:val="20"/>
                <w:szCs w:val="20"/>
                <w:color w:val="auto"/>
              </w:rPr>
            </w:pPr>
            <w:r>
              <w:rPr>
                <w:rFonts w:ascii="Arial" w:cs="Arial" w:eastAsia="Arial" w:hAnsi="Arial"/>
                <w:sz w:val="18"/>
                <w:szCs w:val="18"/>
                <w:color w:val="auto"/>
              </w:rPr>
              <w:t>Switzerland</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Metalor USA Refining Corporation</w:t>
            </w:r>
          </w:p>
        </w:tc>
        <w:tc>
          <w:tcPr>
            <w:tcW w:w="2600" w:type="dxa"/>
            <w:vAlign w:val="bottom"/>
          </w:tcPr>
          <w:p>
            <w:pPr>
              <w:ind w:left="76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Metalurgica Met-Mex Penoles S.A. De C.V.</w:t>
            </w:r>
          </w:p>
        </w:tc>
        <w:tc>
          <w:tcPr>
            <w:tcW w:w="2600" w:type="dxa"/>
            <w:vAlign w:val="bottom"/>
          </w:tcPr>
          <w:p>
            <w:pPr>
              <w:ind w:left="760"/>
              <w:spacing w:after="0"/>
              <w:rPr>
                <w:sz w:val="20"/>
                <w:szCs w:val="20"/>
                <w:color w:val="auto"/>
              </w:rPr>
            </w:pPr>
            <w:r>
              <w:rPr>
                <w:rFonts w:ascii="Arial" w:cs="Arial" w:eastAsia="Arial" w:hAnsi="Arial"/>
                <w:sz w:val="18"/>
                <w:szCs w:val="18"/>
                <w:color w:val="auto"/>
              </w:rPr>
              <w:t>Mexico</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Mitsubishi Materials Corporation</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Mitsui Mining and Smelting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MMTC-PAMP India Pvt., Ltd.</w:t>
            </w:r>
          </w:p>
        </w:tc>
        <w:tc>
          <w:tcPr>
            <w:tcW w:w="2600" w:type="dxa"/>
            <w:vAlign w:val="bottom"/>
          </w:tcPr>
          <w:p>
            <w:pPr>
              <w:ind w:left="760"/>
              <w:spacing w:after="0"/>
              <w:rPr>
                <w:sz w:val="20"/>
                <w:szCs w:val="20"/>
                <w:color w:val="auto"/>
              </w:rPr>
            </w:pPr>
            <w:r>
              <w:rPr>
                <w:rFonts w:ascii="Arial" w:cs="Arial" w:eastAsia="Arial" w:hAnsi="Arial"/>
                <w:sz w:val="18"/>
                <w:szCs w:val="18"/>
                <w:color w:val="auto"/>
              </w:rPr>
              <w:t>India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Modeltech Sdn Bhd</w:t>
            </w:r>
          </w:p>
        </w:tc>
        <w:tc>
          <w:tcPr>
            <w:tcW w:w="2600" w:type="dxa"/>
            <w:vAlign w:val="bottom"/>
          </w:tcPr>
          <w:p>
            <w:pPr>
              <w:ind w:left="760"/>
              <w:spacing w:after="0"/>
              <w:rPr>
                <w:sz w:val="20"/>
                <w:szCs w:val="20"/>
                <w:color w:val="auto"/>
              </w:rPr>
            </w:pPr>
            <w:r>
              <w:rPr>
                <w:rFonts w:ascii="Arial" w:cs="Arial" w:eastAsia="Arial" w:hAnsi="Arial"/>
                <w:sz w:val="18"/>
                <w:szCs w:val="18"/>
                <w:color w:val="auto"/>
              </w:rPr>
              <w:t>Malaysia</w:t>
            </w:r>
          </w:p>
        </w:tc>
        <w:tc>
          <w:tcPr>
            <w:tcW w:w="1820" w:type="dxa"/>
            <w:vAlign w:val="bottom"/>
          </w:tcPr>
          <w:p>
            <w:pPr>
              <w:ind w:left="280"/>
              <w:spacing w:after="0"/>
              <w:rPr>
                <w:sz w:val="20"/>
                <w:szCs w:val="20"/>
                <w:color w:val="auto"/>
              </w:rPr>
            </w:pPr>
            <w:r>
              <w:rPr>
                <w:rFonts w:ascii="Arial" w:cs="Arial" w:eastAsia="Arial" w:hAnsi="Arial"/>
                <w:sz w:val="18"/>
                <w:szCs w:val="18"/>
                <w:color w:val="auto"/>
              </w:rPr>
              <w:t>In Process</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Morris and Watson</w:t>
            </w:r>
          </w:p>
        </w:tc>
        <w:tc>
          <w:tcPr>
            <w:tcW w:w="2600" w:type="dxa"/>
            <w:vAlign w:val="bottom"/>
          </w:tcPr>
          <w:p>
            <w:pPr>
              <w:ind w:left="760"/>
              <w:spacing w:after="0"/>
              <w:rPr>
                <w:sz w:val="20"/>
                <w:szCs w:val="20"/>
                <w:color w:val="auto"/>
              </w:rPr>
            </w:pPr>
            <w:r>
              <w:rPr>
                <w:rFonts w:ascii="Arial" w:cs="Arial" w:eastAsia="Arial" w:hAnsi="Arial"/>
                <w:sz w:val="18"/>
                <w:szCs w:val="18"/>
                <w:color w:val="auto"/>
              </w:rPr>
              <w:t>New Zealand</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Morris and Watson Gold Coast</w:t>
            </w:r>
          </w:p>
        </w:tc>
        <w:tc>
          <w:tcPr>
            <w:tcW w:w="2600" w:type="dxa"/>
            <w:vAlign w:val="bottom"/>
          </w:tcPr>
          <w:p>
            <w:pPr>
              <w:ind w:left="760"/>
              <w:spacing w:after="0"/>
              <w:rPr>
                <w:sz w:val="20"/>
                <w:szCs w:val="20"/>
                <w:color w:val="auto"/>
              </w:rPr>
            </w:pPr>
            <w:r>
              <w:rPr>
                <w:rFonts w:ascii="Arial" w:cs="Arial" w:eastAsia="Arial" w:hAnsi="Arial"/>
                <w:sz w:val="18"/>
                <w:szCs w:val="18"/>
                <w:color w:val="auto"/>
              </w:rPr>
              <w:t>Australia</w:t>
            </w:r>
          </w:p>
        </w:tc>
        <w:tc>
          <w:tcPr>
            <w:tcW w:w="182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Moscow Special Alloys Processing Plant</w:t>
            </w:r>
          </w:p>
        </w:tc>
        <w:tc>
          <w:tcPr>
            <w:tcW w:w="2600" w:type="dxa"/>
            <w:vAlign w:val="bottom"/>
          </w:tcPr>
          <w:p>
            <w:pPr>
              <w:ind w:left="760"/>
              <w:spacing w:after="0"/>
              <w:rPr>
                <w:sz w:val="20"/>
                <w:szCs w:val="20"/>
                <w:color w:val="auto"/>
              </w:rPr>
            </w:pPr>
            <w:r>
              <w:rPr>
                <w:rFonts w:ascii="Arial" w:cs="Arial" w:eastAsia="Arial" w:hAnsi="Arial"/>
                <w:sz w:val="18"/>
                <w:szCs w:val="18"/>
                <w:color w:val="auto"/>
              </w:rPr>
              <w:t>Russian Federation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Nadir Metal Rafineri San. Ve Tic. A.S.</w:t>
            </w:r>
          </w:p>
        </w:tc>
        <w:tc>
          <w:tcPr>
            <w:tcW w:w="2600" w:type="dxa"/>
            <w:vAlign w:val="bottom"/>
          </w:tcPr>
          <w:p>
            <w:pPr>
              <w:ind w:left="760"/>
              <w:spacing w:after="0"/>
              <w:rPr>
                <w:sz w:val="20"/>
                <w:szCs w:val="20"/>
                <w:color w:val="auto"/>
              </w:rPr>
            </w:pPr>
            <w:r>
              <w:rPr>
                <w:rFonts w:ascii="Arial" w:cs="Arial" w:eastAsia="Arial" w:hAnsi="Arial"/>
                <w:sz w:val="18"/>
                <w:szCs w:val="18"/>
                <w:color w:val="auto"/>
              </w:rPr>
              <w:t>Turkey</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Navoi Mining and Metallurgical Combinat</w:t>
            </w:r>
          </w:p>
        </w:tc>
        <w:tc>
          <w:tcPr>
            <w:tcW w:w="2600" w:type="dxa"/>
            <w:vAlign w:val="bottom"/>
          </w:tcPr>
          <w:p>
            <w:pPr>
              <w:ind w:left="760"/>
              <w:spacing w:after="0"/>
              <w:rPr>
                <w:sz w:val="20"/>
                <w:szCs w:val="20"/>
                <w:color w:val="auto"/>
              </w:rPr>
            </w:pPr>
            <w:r>
              <w:rPr>
                <w:rFonts w:ascii="Arial" w:cs="Arial" w:eastAsia="Arial" w:hAnsi="Arial"/>
                <w:sz w:val="18"/>
                <w:szCs w:val="18"/>
                <w:color w:val="auto"/>
              </w:rPr>
              <w:t>Uzbekistan</w:t>
            </w:r>
          </w:p>
        </w:tc>
        <w:tc>
          <w:tcPr>
            <w:tcW w:w="1820" w:type="dxa"/>
            <w:vAlign w:val="bottom"/>
          </w:tcPr>
          <w:p>
            <w:pPr>
              <w:ind w:left="280"/>
              <w:spacing w:after="0"/>
              <w:rPr>
                <w:sz w:val="20"/>
                <w:szCs w:val="20"/>
                <w:color w:val="auto"/>
              </w:rPr>
            </w:pPr>
            <w:r>
              <w:rPr>
                <w:rFonts w:ascii="Arial" w:cs="Arial" w:eastAsia="Arial" w:hAnsi="Arial"/>
                <w:sz w:val="18"/>
                <w:szCs w:val="18"/>
                <w:color w:val="auto"/>
              </w:rPr>
              <w:t>In Process</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Nihon Material Co., Ltd.</w:t>
            </w:r>
          </w:p>
        </w:tc>
        <w:tc>
          <w:tcPr>
            <w:tcW w:w="2600" w:type="dxa"/>
            <w:vAlign w:val="bottom"/>
          </w:tcPr>
          <w:p>
            <w:pPr>
              <w:ind w:left="760"/>
              <w:spacing w:after="0"/>
              <w:rPr>
                <w:sz w:val="20"/>
                <w:szCs w:val="20"/>
                <w:color w:val="auto"/>
              </w:rPr>
            </w:pPr>
            <w:r>
              <w:rPr>
                <w:rFonts w:ascii="Arial" w:cs="Arial" w:eastAsia="Arial" w:hAnsi="Arial"/>
                <w:sz w:val="18"/>
                <w:szCs w:val="18"/>
                <w:color w:val="auto"/>
              </w:rPr>
              <w:t>Japan</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5940" w:type="dxa"/>
            <w:vAlign w:val="bottom"/>
          </w:tcPr>
          <w:p>
            <w:pPr>
              <w:ind w:left="400"/>
              <w:spacing w:after="0"/>
              <w:rPr>
                <w:sz w:val="20"/>
                <w:szCs w:val="20"/>
                <w:color w:val="auto"/>
              </w:rPr>
            </w:pPr>
            <w:r>
              <w:rPr>
                <w:rFonts w:ascii="Arial" w:cs="Arial" w:eastAsia="Arial" w:hAnsi="Arial"/>
                <w:sz w:val="18"/>
                <w:szCs w:val="18"/>
                <w:color w:val="auto"/>
              </w:rPr>
              <w:t>Ogussa Osterreichische Gold- und Silber-Scheideanstalt GmbH</w:t>
            </w:r>
          </w:p>
        </w:tc>
        <w:tc>
          <w:tcPr>
            <w:tcW w:w="2600" w:type="dxa"/>
            <w:vAlign w:val="bottom"/>
          </w:tcPr>
          <w:p>
            <w:pPr>
              <w:ind w:left="760"/>
              <w:spacing w:after="0"/>
              <w:rPr>
                <w:sz w:val="20"/>
                <w:szCs w:val="20"/>
                <w:color w:val="auto"/>
              </w:rPr>
            </w:pPr>
            <w:r>
              <w:rPr>
                <w:rFonts w:ascii="Arial" w:cs="Arial" w:eastAsia="Arial" w:hAnsi="Arial"/>
                <w:sz w:val="18"/>
                <w:szCs w:val="18"/>
                <w:color w:val="auto"/>
              </w:rPr>
              <w:t>Austria</w:t>
            </w:r>
          </w:p>
        </w:tc>
        <w:tc>
          <w:tcPr>
            <w:tcW w:w="1820" w:type="dxa"/>
            <w:vAlign w:val="bottom"/>
          </w:tcPr>
          <w:p>
            <w:pPr>
              <w:ind w:left="280"/>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ectPr>
          <w:pgSz w:w="11900" w:h="16838" w:orient="portrait"/>
          <w:cols w:equalWidth="0" w:num="1">
            <w:col w:w="11240"/>
          </w:cols>
          <w:pgMar w:left="240" w:top="783" w:right="419" w:bottom="503" w:gutter="0" w:footer="0" w:header="0"/>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783" w:right="419" w:bottom="503"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Metal</w:t>
            </w:r>
          </w:p>
        </w:tc>
        <w:tc>
          <w:tcPr>
            <w:tcW w:w="6540" w:type="dxa"/>
            <w:vAlign w:val="bottom"/>
          </w:tcPr>
          <w:p>
            <w:pPr>
              <w:ind w:left="400"/>
              <w:spacing w:after="0"/>
              <w:rPr>
                <w:sz w:val="20"/>
                <w:szCs w:val="20"/>
                <w:color w:val="auto"/>
              </w:rPr>
            </w:pPr>
            <w:r>
              <w:rPr>
                <w:rFonts w:ascii="Arial" w:cs="Arial" w:eastAsia="Arial" w:hAnsi="Arial"/>
                <w:sz w:val="18"/>
                <w:szCs w:val="18"/>
                <w:b w:val="1"/>
                <w:bCs w:val="1"/>
                <w:color w:val="auto"/>
              </w:rPr>
              <w:t>Facility Name</w:t>
            </w: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rPr>
              <w:t>Country</w:t>
            </w:r>
          </w:p>
        </w:tc>
        <w:tc>
          <w:tcPr>
            <w:tcW w:w="1920" w:type="dxa"/>
            <w:vAlign w:val="bottom"/>
          </w:tcPr>
          <w:p>
            <w:pPr>
              <w:ind w:left="380"/>
              <w:spacing w:after="0"/>
              <w:rPr>
                <w:sz w:val="20"/>
                <w:szCs w:val="20"/>
                <w:color w:val="auto"/>
              </w:rPr>
            </w:pPr>
            <w:r>
              <w:rPr>
                <w:rFonts w:ascii="Arial" w:cs="Arial" w:eastAsia="Arial" w:hAnsi="Arial"/>
                <w:sz w:val="18"/>
                <w:szCs w:val="18"/>
                <w:b w:val="1"/>
                <w:bCs w:val="1"/>
                <w:color w:val="auto"/>
                <w:w w:val="93"/>
              </w:rPr>
              <w:t>Compliance Status</w:t>
            </w:r>
          </w:p>
        </w:tc>
      </w:tr>
      <w:tr>
        <w:trPr>
          <w:trHeight w:val="54"/>
        </w:trPr>
        <w:tc>
          <w:tcPr>
            <w:tcW w:w="880" w:type="dxa"/>
            <w:vAlign w:val="bottom"/>
            <w:tcBorders>
              <w:bottom w:val="single" w:sz="8" w:color="auto"/>
            </w:tcBorders>
          </w:tcPr>
          <w:p>
            <w:pPr>
              <w:spacing w:after="0"/>
              <w:rPr>
                <w:sz w:val="4"/>
                <w:szCs w:val="4"/>
                <w:color w:val="auto"/>
              </w:rPr>
            </w:pPr>
          </w:p>
        </w:tc>
        <w:tc>
          <w:tcPr>
            <w:tcW w:w="65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3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Ohura Precious Metal Industry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w w:val="93"/>
              </w:rPr>
              <w:t>OJSC "The Gulidov Krasnoyarsk Non-Ferrous Metals Plant" (OJSC Krastsvetmet)</w:t>
            </w:r>
          </w:p>
        </w:tc>
        <w:tc>
          <w:tcPr>
            <w:tcW w:w="1900" w:type="dxa"/>
            <w:vAlign w:val="bottom"/>
          </w:tcPr>
          <w:p>
            <w:pPr>
              <w:ind w:left="16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OJSC Novosibirsk Refinery</w:t>
            </w:r>
          </w:p>
        </w:tc>
        <w:tc>
          <w:tcPr>
            <w:tcW w:w="1900" w:type="dxa"/>
            <w:vAlign w:val="bottom"/>
          </w:tcPr>
          <w:p>
            <w:pPr>
              <w:ind w:left="16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PAMP S.A.</w:t>
            </w:r>
          </w:p>
        </w:tc>
        <w:tc>
          <w:tcPr>
            <w:tcW w:w="1900" w:type="dxa"/>
            <w:vAlign w:val="bottom"/>
          </w:tcPr>
          <w:p>
            <w:pPr>
              <w:ind w:left="160"/>
              <w:spacing w:after="0"/>
              <w:rPr>
                <w:sz w:val="20"/>
                <w:szCs w:val="20"/>
                <w:color w:val="auto"/>
              </w:rPr>
            </w:pPr>
            <w:r>
              <w:rPr>
                <w:rFonts w:ascii="Arial" w:cs="Arial" w:eastAsia="Arial" w:hAnsi="Arial"/>
                <w:sz w:val="18"/>
                <w:szCs w:val="18"/>
                <w:color w:val="auto"/>
              </w:rPr>
              <w:t>Switzerland</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Pease &amp; Curren</w:t>
            </w:r>
          </w:p>
        </w:tc>
        <w:tc>
          <w:tcPr>
            <w:tcW w:w="19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Penglai Penggang Gold Industry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Prioksky Plant of Non-Ferrous Metals</w:t>
            </w:r>
          </w:p>
        </w:tc>
        <w:tc>
          <w:tcPr>
            <w:tcW w:w="1900" w:type="dxa"/>
            <w:vAlign w:val="bottom"/>
          </w:tcPr>
          <w:p>
            <w:pPr>
              <w:ind w:left="16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PT Aneka Tambang (Persero) Tbk</w:t>
            </w:r>
          </w:p>
        </w:tc>
        <w:tc>
          <w:tcPr>
            <w:tcW w:w="1900" w:type="dxa"/>
            <w:vAlign w:val="bottom"/>
          </w:tcPr>
          <w:p>
            <w:pPr>
              <w:ind w:left="160"/>
              <w:spacing w:after="0"/>
              <w:rPr>
                <w:sz w:val="20"/>
                <w:szCs w:val="20"/>
                <w:color w:val="auto"/>
              </w:rPr>
            </w:pPr>
            <w:r>
              <w:rPr>
                <w:rFonts w:ascii="Arial" w:cs="Arial" w:eastAsia="Arial" w:hAnsi="Arial"/>
                <w:sz w:val="18"/>
                <w:szCs w:val="18"/>
                <w:color w:val="auto"/>
              </w:rPr>
              <w:t>Indonesia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PX Precinox S.A.</w:t>
            </w:r>
          </w:p>
        </w:tc>
        <w:tc>
          <w:tcPr>
            <w:tcW w:w="1900" w:type="dxa"/>
            <w:vAlign w:val="bottom"/>
          </w:tcPr>
          <w:p>
            <w:pPr>
              <w:ind w:left="160"/>
              <w:spacing w:after="0"/>
              <w:rPr>
                <w:sz w:val="20"/>
                <w:szCs w:val="20"/>
                <w:color w:val="auto"/>
              </w:rPr>
            </w:pPr>
            <w:r>
              <w:rPr>
                <w:rFonts w:ascii="Arial" w:cs="Arial" w:eastAsia="Arial" w:hAnsi="Arial"/>
                <w:sz w:val="18"/>
                <w:szCs w:val="18"/>
                <w:color w:val="auto"/>
              </w:rPr>
              <w:t>Switzerland</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Rand Refinery (Pty) Ltd.</w:t>
            </w:r>
          </w:p>
        </w:tc>
        <w:tc>
          <w:tcPr>
            <w:tcW w:w="1900" w:type="dxa"/>
            <w:vAlign w:val="bottom"/>
          </w:tcPr>
          <w:p>
            <w:pPr>
              <w:ind w:left="160"/>
              <w:spacing w:after="0"/>
              <w:rPr>
                <w:sz w:val="20"/>
                <w:szCs w:val="20"/>
                <w:color w:val="auto"/>
              </w:rPr>
            </w:pPr>
            <w:r>
              <w:rPr>
                <w:rFonts w:ascii="Arial" w:cs="Arial" w:eastAsia="Arial" w:hAnsi="Arial"/>
                <w:sz w:val="18"/>
                <w:szCs w:val="18"/>
                <w:color w:val="auto"/>
              </w:rPr>
              <w:t>South Africa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Remondis Argentia B.V.</w:t>
            </w:r>
          </w:p>
        </w:tc>
        <w:tc>
          <w:tcPr>
            <w:tcW w:w="1900" w:type="dxa"/>
            <w:vAlign w:val="bottom"/>
          </w:tcPr>
          <w:p>
            <w:pPr>
              <w:ind w:left="160"/>
              <w:spacing w:after="0"/>
              <w:rPr>
                <w:sz w:val="20"/>
                <w:szCs w:val="20"/>
                <w:color w:val="auto"/>
              </w:rPr>
            </w:pPr>
            <w:r>
              <w:rPr>
                <w:rFonts w:ascii="Arial" w:cs="Arial" w:eastAsia="Arial" w:hAnsi="Arial"/>
                <w:sz w:val="18"/>
                <w:szCs w:val="18"/>
                <w:color w:val="auto"/>
              </w:rPr>
              <w:t>Netherlands</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Republic Metals Corporation</w:t>
            </w:r>
          </w:p>
        </w:tc>
        <w:tc>
          <w:tcPr>
            <w:tcW w:w="19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Royal Canadian Mint</w:t>
            </w:r>
          </w:p>
        </w:tc>
        <w:tc>
          <w:tcPr>
            <w:tcW w:w="1900" w:type="dxa"/>
            <w:vAlign w:val="bottom"/>
          </w:tcPr>
          <w:p>
            <w:pPr>
              <w:ind w:left="160"/>
              <w:spacing w:after="0"/>
              <w:rPr>
                <w:sz w:val="20"/>
                <w:szCs w:val="20"/>
                <w:color w:val="auto"/>
              </w:rPr>
            </w:pPr>
            <w:r>
              <w:rPr>
                <w:rFonts w:ascii="Arial" w:cs="Arial" w:eastAsia="Arial" w:hAnsi="Arial"/>
                <w:sz w:val="18"/>
                <w:szCs w:val="18"/>
                <w:color w:val="auto"/>
              </w:rPr>
              <w:t>Canada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SAAMP</w:t>
            </w:r>
          </w:p>
        </w:tc>
        <w:tc>
          <w:tcPr>
            <w:tcW w:w="1900" w:type="dxa"/>
            <w:vAlign w:val="bottom"/>
          </w:tcPr>
          <w:p>
            <w:pPr>
              <w:ind w:left="160"/>
              <w:spacing w:after="0"/>
              <w:rPr>
                <w:sz w:val="20"/>
                <w:szCs w:val="20"/>
                <w:color w:val="auto"/>
              </w:rPr>
            </w:pPr>
            <w:r>
              <w:rPr>
                <w:rFonts w:ascii="Arial" w:cs="Arial" w:eastAsia="Arial" w:hAnsi="Arial"/>
                <w:sz w:val="18"/>
                <w:szCs w:val="18"/>
                <w:color w:val="auto"/>
              </w:rPr>
              <w:t>France</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Sabin Metal Corp.</w:t>
            </w:r>
          </w:p>
        </w:tc>
        <w:tc>
          <w:tcPr>
            <w:tcW w:w="19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Safimet S.p.A</w:t>
            </w:r>
          </w:p>
        </w:tc>
        <w:tc>
          <w:tcPr>
            <w:tcW w:w="1900" w:type="dxa"/>
            <w:vAlign w:val="bottom"/>
          </w:tcPr>
          <w:p>
            <w:pPr>
              <w:ind w:left="160"/>
              <w:spacing w:after="0"/>
              <w:rPr>
                <w:sz w:val="20"/>
                <w:szCs w:val="20"/>
                <w:color w:val="auto"/>
              </w:rPr>
            </w:pPr>
            <w:r>
              <w:rPr>
                <w:rFonts w:ascii="Arial" w:cs="Arial" w:eastAsia="Arial" w:hAnsi="Arial"/>
                <w:sz w:val="18"/>
                <w:szCs w:val="18"/>
                <w:color w:val="auto"/>
              </w:rPr>
              <w:t>Italy</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SAFINA A.S.</w:t>
            </w:r>
          </w:p>
        </w:tc>
        <w:tc>
          <w:tcPr>
            <w:tcW w:w="1900" w:type="dxa"/>
            <w:vAlign w:val="bottom"/>
          </w:tcPr>
          <w:p>
            <w:pPr>
              <w:ind w:left="160"/>
              <w:spacing w:after="0"/>
              <w:rPr>
                <w:sz w:val="20"/>
                <w:szCs w:val="20"/>
                <w:color w:val="auto"/>
              </w:rPr>
            </w:pPr>
            <w:r>
              <w:rPr>
                <w:rFonts w:ascii="Arial" w:cs="Arial" w:eastAsia="Arial" w:hAnsi="Arial"/>
                <w:sz w:val="18"/>
                <w:szCs w:val="18"/>
                <w:color w:val="auto"/>
              </w:rPr>
              <w:t>Czech Republic</w:t>
            </w:r>
          </w:p>
        </w:tc>
        <w:tc>
          <w:tcPr>
            <w:tcW w:w="1920" w:type="dxa"/>
            <w:vAlign w:val="bottom"/>
          </w:tcPr>
          <w:p>
            <w:pPr>
              <w:ind w:left="380"/>
              <w:spacing w:after="0"/>
              <w:rPr>
                <w:sz w:val="20"/>
                <w:szCs w:val="20"/>
                <w:color w:val="auto"/>
              </w:rPr>
            </w:pPr>
            <w:r>
              <w:rPr>
                <w:rFonts w:ascii="Arial" w:cs="Arial" w:eastAsia="Arial" w:hAnsi="Arial"/>
                <w:sz w:val="18"/>
                <w:szCs w:val="18"/>
                <w:color w:val="auto"/>
              </w:rPr>
              <w:t>In Process</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Sai Refinery</w:t>
            </w:r>
          </w:p>
        </w:tc>
        <w:tc>
          <w:tcPr>
            <w:tcW w:w="1900" w:type="dxa"/>
            <w:vAlign w:val="bottom"/>
          </w:tcPr>
          <w:p>
            <w:pPr>
              <w:ind w:left="160"/>
              <w:spacing w:after="0"/>
              <w:rPr>
                <w:sz w:val="20"/>
                <w:szCs w:val="20"/>
                <w:color w:val="auto"/>
              </w:rPr>
            </w:pPr>
            <w:r>
              <w:rPr>
                <w:rFonts w:ascii="Arial" w:cs="Arial" w:eastAsia="Arial" w:hAnsi="Arial"/>
                <w:sz w:val="18"/>
                <w:szCs w:val="18"/>
                <w:color w:val="auto"/>
              </w:rPr>
              <w:t>India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Samduck Precious Metals</w:t>
            </w:r>
          </w:p>
        </w:tc>
        <w:tc>
          <w:tcPr>
            <w:tcW w:w="1900" w:type="dxa"/>
            <w:vAlign w:val="bottom"/>
          </w:tcPr>
          <w:p>
            <w:pPr>
              <w:ind w:left="160"/>
              <w:spacing w:after="0"/>
              <w:rPr>
                <w:sz w:val="20"/>
                <w:szCs w:val="20"/>
                <w:color w:val="auto"/>
              </w:rPr>
            </w:pPr>
            <w:r>
              <w:rPr>
                <w:rFonts w:ascii="Arial" w:cs="Arial" w:eastAsia="Arial" w:hAnsi="Arial"/>
                <w:sz w:val="18"/>
                <w:szCs w:val="18"/>
                <w:color w:val="auto"/>
              </w:rPr>
              <w:t>Korea, Republic of</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Samwon Metals Corp.</w:t>
            </w:r>
          </w:p>
        </w:tc>
        <w:tc>
          <w:tcPr>
            <w:tcW w:w="1900" w:type="dxa"/>
            <w:vAlign w:val="bottom"/>
          </w:tcPr>
          <w:p>
            <w:pPr>
              <w:ind w:left="160"/>
              <w:spacing w:after="0"/>
              <w:rPr>
                <w:sz w:val="20"/>
                <w:szCs w:val="20"/>
                <w:color w:val="auto"/>
              </w:rPr>
            </w:pPr>
            <w:r>
              <w:rPr>
                <w:rFonts w:ascii="Arial" w:cs="Arial" w:eastAsia="Arial" w:hAnsi="Arial"/>
                <w:sz w:val="18"/>
                <w:szCs w:val="18"/>
                <w:color w:val="auto"/>
              </w:rPr>
              <w:t>Korea, Republic of</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SAXONIA Edelmetalle GmbH</w:t>
            </w:r>
          </w:p>
        </w:tc>
        <w:tc>
          <w:tcPr>
            <w:tcW w:w="1900" w:type="dxa"/>
            <w:vAlign w:val="bottom"/>
          </w:tcPr>
          <w:p>
            <w:pPr>
              <w:ind w:left="160"/>
              <w:spacing w:after="0"/>
              <w:rPr>
                <w:sz w:val="20"/>
                <w:szCs w:val="20"/>
                <w:color w:val="auto"/>
              </w:rPr>
            </w:pPr>
            <w:r>
              <w:rPr>
                <w:rFonts w:ascii="Arial" w:cs="Arial" w:eastAsia="Arial" w:hAnsi="Arial"/>
                <w:sz w:val="18"/>
                <w:szCs w:val="18"/>
                <w:color w:val="auto"/>
              </w:rPr>
              <w:t>Germany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Schone Edelmetaal B.V.</w:t>
            </w:r>
          </w:p>
        </w:tc>
        <w:tc>
          <w:tcPr>
            <w:tcW w:w="1900" w:type="dxa"/>
            <w:vAlign w:val="bottom"/>
          </w:tcPr>
          <w:p>
            <w:pPr>
              <w:ind w:left="160"/>
              <w:spacing w:after="0"/>
              <w:rPr>
                <w:sz w:val="20"/>
                <w:szCs w:val="20"/>
                <w:color w:val="auto"/>
              </w:rPr>
            </w:pPr>
            <w:r>
              <w:rPr>
                <w:rFonts w:ascii="Arial" w:cs="Arial" w:eastAsia="Arial" w:hAnsi="Arial"/>
                <w:sz w:val="18"/>
                <w:szCs w:val="18"/>
                <w:color w:val="auto"/>
              </w:rPr>
              <w:t>Netherlands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SEMPSA Joyeria Plateria S.A.</w:t>
            </w:r>
          </w:p>
        </w:tc>
        <w:tc>
          <w:tcPr>
            <w:tcW w:w="1900" w:type="dxa"/>
            <w:vAlign w:val="bottom"/>
          </w:tcPr>
          <w:p>
            <w:pPr>
              <w:ind w:left="160"/>
              <w:spacing w:after="0"/>
              <w:rPr>
                <w:sz w:val="20"/>
                <w:szCs w:val="20"/>
                <w:color w:val="auto"/>
              </w:rPr>
            </w:pPr>
            <w:r>
              <w:rPr>
                <w:rFonts w:ascii="Arial" w:cs="Arial" w:eastAsia="Arial" w:hAnsi="Arial"/>
                <w:sz w:val="18"/>
                <w:szCs w:val="18"/>
                <w:color w:val="auto"/>
              </w:rPr>
              <w:t>Spain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Shandong Tiancheng Biological Gold Industrial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Shandong Zhaojin Gold &amp; Silver Refinery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Sichuan Tianze Precious Metals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Singway Technology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Taiwan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So Accurate Group, Inc.</w:t>
            </w:r>
          </w:p>
        </w:tc>
        <w:tc>
          <w:tcPr>
            <w:tcW w:w="19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SOE Shyolkovsky Factory of Secondary Precious Metals</w:t>
            </w:r>
          </w:p>
        </w:tc>
        <w:tc>
          <w:tcPr>
            <w:tcW w:w="1900" w:type="dxa"/>
            <w:vAlign w:val="bottom"/>
          </w:tcPr>
          <w:p>
            <w:pPr>
              <w:ind w:left="16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Solar Applied Materials Technology Corp.</w:t>
            </w:r>
          </w:p>
        </w:tc>
        <w:tc>
          <w:tcPr>
            <w:tcW w:w="1900" w:type="dxa"/>
            <w:vAlign w:val="bottom"/>
          </w:tcPr>
          <w:p>
            <w:pPr>
              <w:ind w:left="160"/>
              <w:spacing w:after="0"/>
              <w:rPr>
                <w:sz w:val="20"/>
                <w:szCs w:val="20"/>
                <w:color w:val="auto"/>
              </w:rPr>
            </w:pPr>
            <w:r>
              <w:rPr>
                <w:rFonts w:ascii="Arial" w:cs="Arial" w:eastAsia="Arial" w:hAnsi="Arial"/>
                <w:sz w:val="18"/>
                <w:szCs w:val="18"/>
                <w:color w:val="auto"/>
              </w:rPr>
              <w:t>Taiwan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Sudan Gold Refinery</w:t>
            </w:r>
          </w:p>
        </w:tc>
        <w:tc>
          <w:tcPr>
            <w:tcW w:w="1900" w:type="dxa"/>
            <w:vAlign w:val="bottom"/>
          </w:tcPr>
          <w:p>
            <w:pPr>
              <w:ind w:left="160"/>
              <w:spacing w:after="0"/>
              <w:rPr>
                <w:sz w:val="20"/>
                <w:szCs w:val="20"/>
                <w:color w:val="auto"/>
              </w:rPr>
            </w:pPr>
            <w:r>
              <w:rPr>
                <w:rFonts w:ascii="Arial" w:cs="Arial" w:eastAsia="Arial" w:hAnsi="Arial"/>
                <w:sz w:val="18"/>
                <w:szCs w:val="18"/>
                <w:color w:val="auto"/>
              </w:rPr>
              <w:t>Sudan</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Sumitomo Metal Mining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SungEel HiTech</w:t>
            </w:r>
          </w:p>
        </w:tc>
        <w:tc>
          <w:tcPr>
            <w:tcW w:w="1900" w:type="dxa"/>
            <w:vAlign w:val="bottom"/>
          </w:tcPr>
          <w:p>
            <w:pPr>
              <w:ind w:left="160"/>
              <w:spacing w:after="0"/>
              <w:rPr>
                <w:sz w:val="20"/>
                <w:szCs w:val="20"/>
                <w:color w:val="auto"/>
              </w:rPr>
            </w:pPr>
            <w:r>
              <w:rPr>
                <w:rFonts w:ascii="Arial" w:cs="Arial" w:eastAsia="Arial" w:hAnsi="Arial"/>
                <w:sz w:val="18"/>
                <w:szCs w:val="18"/>
                <w:color w:val="auto"/>
              </w:rPr>
              <w:t>Korea, Republic of</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T.C.A S.p.A</w:t>
            </w:r>
          </w:p>
        </w:tc>
        <w:tc>
          <w:tcPr>
            <w:tcW w:w="1900" w:type="dxa"/>
            <w:vAlign w:val="bottom"/>
          </w:tcPr>
          <w:p>
            <w:pPr>
              <w:ind w:left="160"/>
              <w:spacing w:after="0"/>
              <w:rPr>
                <w:sz w:val="20"/>
                <w:szCs w:val="20"/>
                <w:color w:val="auto"/>
              </w:rPr>
            </w:pPr>
            <w:r>
              <w:rPr>
                <w:rFonts w:ascii="Arial" w:cs="Arial" w:eastAsia="Arial" w:hAnsi="Arial"/>
                <w:sz w:val="18"/>
                <w:szCs w:val="18"/>
                <w:color w:val="auto"/>
              </w:rPr>
              <w:t>Italy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Tanaka Kikinzoku Kogyo K.K.</w:t>
            </w:r>
          </w:p>
        </w:tc>
        <w:tc>
          <w:tcPr>
            <w:tcW w:w="1900" w:type="dxa"/>
            <w:vAlign w:val="bottom"/>
          </w:tcPr>
          <w:p>
            <w:pPr>
              <w:ind w:left="16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The Refinery of Shandong Gold Mining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Tokuriki Honten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Tongling Nonferrous Metals Group Co., Ltd.</w:t>
            </w:r>
          </w:p>
        </w:tc>
        <w:tc>
          <w:tcPr>
            <w:tcW w:w="1900" w:type="dxa"/>
            <w:vAlign w:val="bottom"/>
          </w:tcPr>
          <w:p>
            <w:pPr>
              <w:ind w:left="16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Tony Goetz NV</w:t>
            </w:r>
          </w:p>
        </w:tc>
        <w:tc>
          <w:tcPr>
            <w:tcW w:w="1900" w:type="dxa"/>
            <w:vAlign w:val="bottom"/>
          </w:tcPr>
          <w:p>
            <w:pPr>
              <w:ind w:left="160"/>
              <w:spacing w:after="0"/>
              <w:rPr>
                <w:sz w:val="20"/>
                <w:szCs w:val="20"/>
                <w:color w:val="auto"/>
              </w:rPr>
            </w:pPr>
            <w:r>
              <w:rPr>
                <w:rFonts w:ascii="Arial" w:cs="Arial" w:eastAsia="Arial" w:hAnsi="Arial"/>
                <w:sz w:val="18"/>
                <w:szCs w:val="18"/>
                <w:color w:val="auto"/>
              </w:rPr>
              <w:t>Belgium</w:t>
            </w:r>
          </w:p>
        </w:tc>
        <w:tc>
          <w:tcPr>
            <w:tcW w:w="1920" w:type="dxa"/>
            <w:vAlign w:val="bottom"/>
          </w:tcPr>
          <w:p>
            <w:pPr>
              <w:ind w:left="380"/>
              <w:spacing w:after="0"/>
              <w:rPr>
                <w:sz w:val="20"/>
                <w:szCs w:val="20"/>
                <w:color w:val="auto"/>
              </w:rPr>
            </w:pPr>
            <w:r>
              <w:rPr>
                <w:rFonts w:ascii="Arial" w:cs="Arial" w:eastAsia="Arial" w:hAnsi="Arial"/>
                <w:sz w:val="18"/>
                <w:szCs w:val="18"/>
                <w:color w:val="auto"/>
              </w:rPr>
              <w:t>In Process</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TOO Tau-Ken-Altyn</w:t>
            </w:r>
          </w:p>
        </w:tc>
        <w:tc>
          <w:tcPr>
            <w:tcW w:w="1900" w:type="dxa"/>
            <w:vAlign w:val="bottom"/>
          </w:tcPr>
          <w:p>
            <w:pPr>
              <w:ind w:left="160"/>
              <w:spacing w:after="0"/>
              <w:rPr>
                <w:sz w:val="20"/>
                <w:szCs w:val="20"/>
                <w:color w:val="auto"/>
              </w:rPr>
            </w:pPr>
            <w:r>
              <w:rPr>
                <w:rFonts w:ascii="Arial" w:cs="Arial" w:eastAsia="Arial" w:hAnsi="Arial"/>
                <w:sz w:val="18"/>
                <w:szCs w:val="18"/>
                <w:color w:val="auto"/>
              </w:rPr>
              <w:t>Kazakhstan</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Torecom</w:t>
            </w:r>
          </w:p>
        </w:tc>
        <w:tc>
          <w:tcPr>
            <w:tcW w:w="1900" w:type="dxa"/>
            <w:vAlign w:val="bottom"/>
          </w:tcPr>
          <w:p>
            <w:pPr>
              <w:ind w:left="160"/>
              <w:spacing w:after="0"/>
              <w:rPr>
                <w:sz w:val="20"/>
                <w:szCs w:val="20"/>
                <w:color w:val="auto"/>
              </w:rPr>
            </w:pPr>
            <w:r>
              <w:rPr>
                <w:rFonts w:ascii="Arial" w:cs="Arial" w:eastAsia="Arial" w:hAnsi="Arial"/>
                <w:sz w:val="18"/>
                <w:szCs w:val="18"/>
                <w:color w:val="auto"/>
              </w:rPr>
              <w:t>Korea, Republic of</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Umicore Brasil Ltda.</w:t>
            </w:r>
          </w:p>
        </w:tc>
        <w:tc>
          <w:tcPr>
            <w:tcW w:w="1900" w:type="dxa"/>
            <w:vAlign w:val="bottom"/>
          </w:tcPr>
          <w:p>
            <w:pPr>
              <w:ind w:left="160"/>
              <w:spacing w:after="0"/>
              <w:rPr>
                <w:sz w:val="20"/>
                <w:szCs w:val="20"/>
                <w:color w:val="auto"/>
              </w:rPr>
            </w:pPr>
            <w:r>
              <w:rPr>
                <w:rFonts w:ascii="Arial" w:cs="Arial" w:eastAsia="Arial" w:hAnsi="Arial"/>
                <w:sz w:val="18"/>
                <w:szCs w:val="18"/>
                <w:color w:val="auto"/>
              </w:rPr>
              <w:t>Brazil</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Umicore Precious Metals Thailand</w:t>
            </w:r>
          </w:p>
        </w:tc>
        <w:tc>
          <w:tcPr>
            <w:tcW w:w="1900" w:type="dxa"/>
            <w:vAlign w:val="bottom"/>
          </w:tcPr>
          <w:p>
            <w:pPr>
              <w:ind w:left="160"/>
              <w:spacing w:after="0"/>
              <w:rPr>
                <w:sz w:val="20"/>
                <w:szCs w:val="20"/>
                <w:color w:val="auto"/>
              </w:rPr>
            </w:pPr>
            <w:r>
              <w:rPr>
                <w:rFonts w:ascii="Arial" w:cs="Arial" w:eastAsia="Arial" w:hAnsi="Arial"/>
                <w:sz w:val="18"/>
                <w:szCs w:val="18"/>
                <w:color w:val="auto"/>
              </w:rPr>
              <w:t>Thailand</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Umicore S.A. Business Unit Precious Metals Refining</w:t>
            </w:r>
          </w:p>
        </w:tc>
        <w:tc>
          <w:tcPr>
            <w:tcW w:w="1900" w:type="dxa"/>
            <w:vAlign w:val="bottom"/>
          </w:tcPr>
          <w:p>
            <w:pPr>
              <w:ind w:left="160"/>
              <w:spacing w:after="0"/>
              <w:rPr>
                <w:sz w:val="20"/>
                <w:szCs w:val="20"/>
                <w:color w:val="auto"/>
              </w:rPr>
            </w:pPr>
            <w:r>
              <w:rPr>
                <w:rFonts w:ascii="Arial" w:cs="Arial" w:eastAsia="Arial" w:hAnsi="Arial"/>
                <w:sz w:val="18"/>
                <w:szCs w:val="18"/>
                <w:color w:val="auto"/>
              </w:rPr>
              <w:t>Belgium</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United Precious Metal Refining, Inc.</w:t>
            </w:r>
          </w:p>
        </w:tc>
        <w:tc>
          <w:tcPr>
            <w:tcW w:w="19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Universal Precious Metals Refining Zambia</w:t>
            </w:r>
          </w:p>
        </w:tc>
        <w:tc>
          <w:tcPr>
            <w:tcW w:w="1900" w:type="dxa"/>
            <w:vAlign w:val="bottom"/>
          </w:tcPr>
          <w:p>
            <w:pPr>
              <w:ind w:left="160"/>
              <w:spacing w:after="0"/>
              <w:rPr>
                <w:sz w:val="20"/>
                <w:szCs w:val="20"/>
                <w:color w:val="auto"/>
              </w:rPr>
            </w:pPr>
            <w:r>
              <w:rPr>
                <w:rFonts w:ascii="Arial" w:cs="Arial" w:eastAsia="Arial" w:hAnsi="Arial"/>
                <w:sz w:val="18"/>
                <w:szCs w:val="18"/>
                <w:color w:val="auto"/>
              </w:rPr>
              <w:t>Zambia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88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400"/>
              <w:spacing w:after="0"/>
              <w:rPr>
                <w:sz w:val="20"/>
                <w:szCs w:val="20"/>
                <w:color w:val="auto"/>
              </w:rPr>
            </w:pPr>
            <w:r>
              <w:rPr>
                <w:rFonts w:ascii="Arial" w:cs="Arial" w:eastAsia="Arial" w:hAnsi="Arial"/>
                <w:sz w:val="18"/>
                <w:szCs w:val="18"/>
                <w:color w:val="auto"/>
              </w:rPr>
              <w:t>Valcambi S.A.</w:t>
            </w:r>
          </w:p>
        </w:tc>
        <w:tc>
          <w:tcPr>
            <w:tcW w:w="1900" w:type="dxa"/>
            <w:vAlign w:val="bottom"/>
          </w:tcPr>
          <w:p>
            <w:pPr>
              <w:ind w:left="160"/>
              <w:spacing w:after="0"/>
              <w:rPr>
                <w:sz w:val="20"/>
                <w:szCs w:val="20"/>
                <w:color w:val="auto"/>
              </w:rPr>
            </w:pPr>
            <w:r>
              <w:rPr>
                <w:rFonts w:ascii="Arial" w:cs="Arial" w:eastAsia="Arial" w:hAnsi="Arial"/>
                <w:sz w:val="18"/>
                <w:szCs w:val="18"/>
                <w:color w:val="auto"/>
              </w:rPr>
              <w:t>Switzerland</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ectPr>
          <w:pgSz w:w="11900" w:h="16838" w:orient="portrait"/>
          <w:cols w:equalWidth="0" w:num="1">
            <w:col w:w="11240"/>
          </w:cols>
          <w:pgMar w:left="240" w:top="783" w:right="419" w:bottom="800" w:gutter="0" w:footer="0" w:header="0"/>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783" w:right="419" w:bottom="80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Metal</w:t>
            </w:r>
          </w:p>
        </w:tc>
        <w:tc>
          <w:tcPr>
            <w:tcW w:w="5440" w:type="dxa"/>
            <w:vAlign w:val="bottom"/>
          </w:tcPr>
          <w:p>
            <w:pPr>
              <w:ind w:left="280"/>
              <w:spacing w:after="0"/>
              <w:rPr>
                <w:sz w:val="20"/>
                <w:szCs w:val="20"/>
                <w:color w:val="auto"/>
              </w:rPr>
            </w:pPr>
            <w:r>
              <w:rPr>
                <w:rFonts w:ascii="Arial" w:cs="Arial" w:eastAsia="Arial" w:hAnsi="Arial"/>
                <w:sz w:val="18"/>
                <w:szCs w:val="18"/>
                <w:b w:val="1"/>
                <w:bCs w:val="1"/>
                <w:color w:val="auto"/>
              </w:rPr>
              <w:t>Facility Name</w:t>
            </w:r>
          </w:p>
        </w:tc>
        <w:tc>
          <w:tcPr>
            <w:tcW w:w="2880" w:type="dxa"/>
            <w:vAlign w:val="bottom"/>
          </w:tcPr>
          <w:p>
            <w:pPr>
              <w:ind w:left="1140"/>
              <w:spacing w:after="0"/>
              <w:rPr>
                <w:sz w:val="20"/>
                <w:szCs w:val="20"/>
                <w:color w:val="auto"/>
              </w:rPr>
            </w:pPr>
            <w:r>
              <w:rPr>
                <w:rFonts w:ascii="Arial" w:cs="Arial" w:eastAsia="Arial" w:hAnsi="Arial"/>
                <w:sz w:val="18"/>
                <w:szCs w:val="18"/>
                <w:b w:val="1"/>
                <w:bCs w:val="1"/>
                <w:color w:val="auto"/>
              </w:rPr>
              <w:t>Country</w:t>
            </w:r>
          </w:p>
        </w:tc>
        <w:tc>
          <w:tcPr>
            <w:tcW w:w="1920" w:type="dxa"/>
            <w:vAlign w:val="bottom"/>
          </w:tcPr>
          <w:p>
            <w:pPr>
              <w:ind w:left="380"/>
              <w:spacing w:after="0"/>
              <w:rPr>
                <w:sz w:val="20"/>
                <w:szCs w:val="20"/>
                <w:color w:val="auto"/>
              </w:rPr>
            </w:pPr>
            <w:r>
              <w:rPr>
                <w:rFonts w:ascii="Arial" w:cs="Arial" w:eastAsia="Arial" w:hAnsi="Arial"/>
                <w:sz w:val="18"/>
                <w:szCs w:val="18"/>
                <w:b w:val="1"/>
                <w:bCs w:val="1"/>
                <w:color w:val="auto"/>
                <w:w w:val="93"/>
              </w:rPr>
              <w:t>Compliance Status</w:t>
            </w:r>
          </w:p>
        </w:tc>
      </w:tr>
      <w:tr>
        <w:trPr>
          <w:trHeight w:val="54"/>
        </w:trPr>
        <w:tc>
          <w:tcPr>
            <w:tcW w:w="100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37"/>
        </w:trPr>
        <w:tc>
          <w:tcPr>
            <w:tcW w:w="1000" w:type="dxa"/>
            <w:vAlign w:val="bottom"/>
          </w:tcPr>
          <w:p>
            <w:pPr>
              <w:ind w:left="40"/>
              <w:spacing w:after="0"/>
              <w:rPr>
                <w:sz w:val="20"/>
                <w:szCs w:val="20"/>
                <w:color w:val="auto"/>
              </w:rPr>
            </w:pPr>
            <w:r>
              <w:rPr>
                <w:rFonts w:ascii="Arial" w:cs="Arial" w:eastAsia="Arial" w:hAnsi="Arial"/>
                <w:sz w:val="18"/>
                <w:szCs w:val="18"/>
                <w:color w:val="auto"/>
              </w:rPr>
              <w:t>Gold</w:t>
            </w:r>
          </w:p>
        </w:tc>
        <w:tc>
          <w:tcPr>
            <w:tcW w:w="5440" w:type="dxa"/>
            <w:vAlign w:val="bottom"/>
          </w:tcPr>
          <w:p>
            <w:pPr>
              <w:ind w:left="280"/>
              <w:spacing w:after="0"/>
              <w:rPr>
                <w:sz w:val="20"/>
                <w:szCs w:val="20"/>
                <w:color w:val="auto"/>
              </w:rPr>
            </w:pPr>
            <w:r>
              <w:rPr>
                <w:rFonts w:ascii="Arial" w:cs="Arial" w:eastAsia="Arial" w:hAnsi="Arial"/>
                <w:sz w:val="18"/>
                <w:szCs w:val="18"/>
                <w:color w:val="auto"/>
              </w:rPr>
              <w:t>Western Australian Mint (T/a The Perth Mint)</w:t>
            </w:r>
          </w:p>
        </w:tc>
        <w:tc>
          <w:tcPr>
            <w:tcW w:w="2880" w:type="dxa"/>
            <w:vAlign w:val="bottom"/>
          </w:tcPr>
          <w:p>
            <w:pPr>
              <w:ind w:left="1140"/>
              <w:spacing w:after="0"/>
              <w:rPr>
                <w:sz w:val="20"/>
                <w:szCs w:val="20"/>
                <w:color w:val="auto"/>
              </w:rPr>
            </w:pPr>
            <w:r>
              <w:rPr>
                <w:rFonts w:ascii="Arial" w:cs="Arial" w:eastAsia="Arial" w:hAnsi="Arial"/>
                <w:sz w:val="18"/>
                <w:szCs w:val="18"/>
                <w:color w:val="auto"/>
              </w:rPr>
              <w:t>Australia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Gold</w:t>
            </w:r>
          </w:p>
        </w:tc>
        <w:tc>
          <w:tcPr>
            <w:tcW w:w="5440" w:type="dxa"/>
            <w:vAlign w:val="bottom"/>
          </w:tcPr>
          <w:p>
            <w:pPr>
              <w:ind w:left="280"/>
              <w:spacing w:after="0"/>
              <w:rPr>
                <w:sz w:val="20"/>
                <w:szCs w:val="20"/>
                <w:color w:val="auto"/>
              </w:rPr>
            </w:pPr>
            <w:r>
              <w:rPr>
                <w:rFonts w:ascii="Arial" w:cs="Arial" w:eastAsia="Arial" w:hAnsi="Arial"/>
                <w:sz w:val="18"/>
                <w:szCs w:val="18"/>
                <w:color w:val="auto"/>
              </w:rPr>
              <w:t>WIELAND Edelmetalle GmbH</w:t>
            </w:r>
          </w:p>
        </w:tc>
        <w:tc>
          <w:tcPr>
            <w:tcW w:w="2880" w:type="dxa"/>
            <w:vAlign w:val="bottom"/>
          </w:tcPr>
          <w:p>
            <w:pPr>
              <w:ind w:left="1140"/>
              <w:spacing w:after="0"/>
              <w:rPr>
                <w:sz w:val="20"/>
                <w:szCs w:val="20"/>
                <w:color w:val="auto"/>
              </w:rPr>
            </w:pPr>
            <w:r>
              <w:rPr>
                <w:rFonts w:ascii="Arial" w:cs="Arial" w:eastAsia="Arial" w:hAnsi="Arial"/>
                <w:sz w:val="18"/>
                <w:szCs w:val="18"/>
                <w:color w:val="auto"/>
              </w:rPr>
              <w:t>Germany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Gold</w:t>
            </w:r>
          </w:p>
        </w:tc>
        <w:tc>
          <w:tcPr>
            <w:tcW w:w="5440" w:type="dxa"/>
            <w:vAlign w:val="bottom"/>
          </w:tcPr>
          <w:p>
            <w:pPr>
              <w:ind w:left="280"/>
              <w:spacing w:after="0"/>
              <w:rPr>
                <w:sz w:val="20"/>
                <w:szCs w:val="20"/>
                <w:color w:val="auto"/>
              </w:rPr>
            </w:pPr>
            <w:r>
              <w:rPr>
                <w:rFonts w:ascii="Arial" w:cs="Arial" w:eastAsia="Arial" w:hAnsi="Arial"/>
                <w:sz w:val="18"/>
                <w:szCs w:val="18"/>
                <w:color w:val="auto"/>
              </w:rPr>
              <w:t>Yamamoto Precious Metal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Gold</w:t>
            </w:r>
          </w:p>
        </w:tc>
        <w:tc>
          <w:tcPr>
            <w:tcW w:w="5440" w:type="dxa"/>
            <w:vAlign w:val="bottom"/>
          </w:tcPr>
          <w:p>
            <w:pPr>
              <w:ind w:left="280"/>
              <w:spacing w:after="0"/>
              <w:rPr>
                <w:sz w:val="20"/>
                <w:szCs w:val="20"/>
                <w:color w:val="auto"/>
              </w:rPr>
            </w:pPr>
            <w:r>
              <w:rPr>
                <w:rFonts w:ascii="Arial" w:cs="Arial" w:eastAsia="Arial" w:hAnsi="Arial"/>
                <w:sz w:val="18"/>
                <w:szCs w:val="18"/>
                <w:color w:val="auto"/>
              </w:rPr>
              <w:t>Yokohama Metal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Gold</w:t>
            </w:r>
          </w:p>
        </w:tc>
        <w:tc>
          <w:tcPr>
            <w:tcW w:w="5440" w:type="dxa"/>
            <w:vAlign w:val="bottom"/>
          </w:tcPr>
          <w:p>
            <w:pPr>
              <w:ind w:left="280"/>
              <w:spacing w:after="0"/>
              <w:rPr>
                <w:sz w:val="20"/>
                <w:szCs w:val="20"/>
                <w:color w:val="auto"/>
              </w:rPr>
            </w:pPr>
            <w:r>
              <w:rPr>
                <w:rFonts w:ascii="Arial" w:cs="Arial" w:eastAsia="Arial" w:hAnsi="Arial"/>
                <w:sz w:val="18"/>
                <w:szCs w:val="18"/>
                <w:color w:val="auto"/>
              </w:rPr>
              <w:t>Yunnan Copper Industry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Gold</w:t>
            </w:r>
          </w:p>
        </w:tc>
        <w:tc>
          <w:tcPr>
            <w:tcW w:w="5440" w:type="dxa"/>
            <w:vAlign w:val="bottom"/>
          </w:tcPr>
          <w:p>
            <w:pPr>
              <w:ind w:left="280"/>
              <w:spacing w:after="0"/>
              <w:rPr>
                <w:sz w:val="20"/>
                <w:szCs w:val="20"/>
                <w:color w:val="auto"/>
              </w:rPr>
            </w:pPr>
            <w:r>
              <w:rPr>
                <w:rFonts w:ascii="Arial" w:cs="Arial" w:eastAsia="Arial" w:hAnsi="Arial"/>
                <w:sz w:val="18"/>
                <w:szCs w:val="18"/>
                <w:color w:val="auto"/>
              </w:rPr>
              <w:t>Zhongyuan Gold Smelter of Zhongjin Gold Corporation</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Changsha South Tantalum Niobium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Conghua Tantalum and Niobium Smeltry</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D Block Metals, LLC</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Duoluoshan</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Exotech Inc.</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F&amp;X Electro-Materials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FIR Metals &amp; Resource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Global Advanced Metals Aizu</w:t>
            </w:r>
          </w:p>
        </w:tc>
        <w:tc>
          <w:tcPr>
            <w:tcW w:w="2880" w:type="dxa"/>
            <w:vAlign w:val="bottom"/>
          </w:tcPr>
          <w:p>
            <w:pPr>
              <w:ind w:left="114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Global Advanced Metals Boyertown</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Guangdong Zhiyuan New Material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H.C. Starck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Thailand</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H.C. Starck Hermsdorf GmbH</w:t>
            </w:r>
          </w:p>
        </w:tc>
        <w:tc>
          <w:tcPr>
            <w:tcW w:w="2880" w:type="dxa"/>
            <w:vAlign w:val="bottom"/>
          </w:tcPr>
          <w:p>
            <w:pPr>
              <w:ind w:left="1140"/>
              <w:spacing w:after="0"/>
              <w:rPr>
                <w:sz w:val="20"/>
                <w:szCs w:val="20"/>
                <w:color w:val="auto"/>
              </w:rPr>
            </w:pPr>
            <w:r>
              <w:rPr>
                <w:rFonts w:ascii="Arial" w:cs="Arial" w:eastAsia="Arial" w:hAnsi="Arial"/>
                <w:sz w:val="18"/>
                <w:szCs w:val="18"/>
                <w:color w:val="auto"/>
              </w:rPr>
              <w:t>Germany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H.C. Starck Inc.</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H.C. Starck Ltd.</w:t>
            </w:r>
          </w:p>
        </w:tc>
        <w:tc>
          <w:tcPr>
            <w:tcW w:w="2880" w:type="dxa"/>
            <w:vAlign w:val="bottom"/>
          </w:tcPr>
          <w:p>
            <w:pPr>
              <w:ind w:left="114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H.C. Starck Smelting GmbH &amp; Co. KG</w:t>
            </w:r>
          </w:p>
        </w:tc>
        <w:tc>
          <w:tcPr>
            <w:tcW w:w="2880" w:type="dxa"/>
            <w:vAlign w:val="bottom"/>
          </w:tcPr>
          <w:p>
            <w:pPr>
              <w:ind w:left="1140"/>
              <w:spacing w:after="0"/>
              <w:rPr>
                <w:sz w:val="20"/>
                <w:szCs w:val="20"/>
                <w:color w:val="auto"/>
              </w:rPr>
            </w:pPr>
            <w:r>
              <w:rPr>
                <w:rFonts w:ascii="Arial" w:cs="Arial" w:eastAsia="Arial" w:hAnsi="Arial"/>
                <w:sz w:val="18"/>
                <w:szCs w:val="18"/>
                <w:color w:val="auto"/>
              </w:rPr>
              <w:t>Germany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H.C. Starck Tantalum and Niobium GmbH</w:t>
            </w:r>
          </w:p>
        </w:tc>
        <w:tc>
          <w:tcPr>
            <w:tcW w:w="2880" w:type="dxa"/>
            <w:vAlign w:val="bottom"/>
          </w:tcPr>
          <w:p>
            <w:pPr>
              <w:ind w:left="1140"/>
              <w:spacing w:after="0"/>
              <w:rPr>
                <w:sz w:val="20"/>
                <w:szCs w:val="20"/>
                <w:color w:val="auto"/>
              </w:rPr>
            </w:pPr>
            <w:r>
              <w:rPr>
                <w:rFonts w:ascii="Arial" w:cs="Arial" w:eastAsia="Arial" w:hAnsi="Arial"/>
                <w:sz w:val="18"/>
                <w:szCs w:val="18"/>
                <w:color w:val="auto"/>
              </w:rPr>
              <w:t>Germany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Hengyang King Xing Lifeng New Materials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Hi-Temp Specialty Metals, Inc.</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Jiangxi Dinghai Tantalum &amp; Niobium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Jiangxi Tuohong New Raw Material</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JiuJiang JinXin Nonferrous Metals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Jiujiang Nonferrous Metals Smelting Company Limited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Jiujiang Zhongao Tantalum &amp; Niobium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KEMET Blue Metals</w:t>
            </w:r>
          </w:p>
        </w:tc>
        <w:tc>
          <w:tcPr>
            <w:tcW w:w="2880" w:type="dxa"/>
            <w:vAlign w:val="bottom"/>
          </w:tcPr>
          <w:p>
            <w:pPr>
              <w:ind w:left="1140"/>
              <w:spacing w:after="0"/>
              <w:rPr>
                <w:sz w:val="20"/>
                <w:szCs w:val="20"/>
                <w:color w:val="auto"/>
              </w:rPr>
            </w:pPr>
            <w:r>
              <w:rPr>
                <w:rFonts w:ascii="Arial" w:cs="Arial" w:eastAsia="Arial" w:hAnsi="Arial"/>
                <w:sz w:val="18"/>
                <w:szCs w:val="18"/>
                <w:color w:val="auto"/>
              </w:rPr>
              <w:t>Mexico</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KEMET Blue Powder</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King-Tan Tantalum Industry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LSM Brasil S.A.</w:t>
            </w:r>
          </w:p>
        </w:tc>
        <w:tc>
          <w:tcPr>
            <w:tcW w:w="28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Metallurgical Products India Pvt., Ltd.</w:t>
            </w:r>
          </w:p>
        </w:tc>
        <w:tc>
          <w:tcPr>
            <w:tcW w:w="2880" w:type="dxa"/>
            <w:vAlign w:val="bottom"/>
          </w:tcPr>
          <w:p>
            <w:pPr>
              <w:ind w:left="1140"/>
              <w:spacing w:after="0"/>
              <w:rPr>
                <w:sz w:val="20"/>
                <w:szCs w:val="20"/>
                <w:color w:val="auto"/>
              </w:rPr>
            </w:pPr>
            <w:r>
              <w:rPr>
                <w:rFonts w:ascii="Arial" w:cs="Arial" w:eastAsia="Arial" w:hAnsi="Arial"/>
                <w:sz w:val="18"/>
                <w:szCs w:val="18"/>
                <w:color w:val="auto"/>
              </w:rPr>
              <w:t>India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Mineracao Taboca S.A.</w:t>
            </w:r>
          </w:p>
        </w:tc>
        <w:tc>
          <w:tcPr>
            <w:tcW w:w="28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Mitsui Mining and Smelting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Ningxia Orient Tantalum Industry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NPM Silmet AS</w:t>
            </w:r>
          </w:p>
        </w:tc>
        <w:tc>
          <w:tcPr>
            <w:tcW w:w="2880" w:type="dxa"/>
            <w:vAlign w:val="bottom"/>
          </w:tcPr>
          <w:p>
            <w:pPr>
              <w:ind w:left="1140"/>
              <w:spacing w:after="0"/>
              <w:rPr>
                <w:sz w:val="20"/>
                <w:szCs w:val="20"/>
                <w:color w:val="auto"/>
              </w:rPr>
            </w:pPr>
            <w:r>
              <w:rPr>
                <w:rFonts w:ascii="Arial" w:cs="Arial" w:eastAsia="Arial" w:hAnsi="Arial"/>
                <w:sz w:val="18"/>
                <w:szCs w:val="18"/>
                <w:color w:val="auto"/>
              </w:rPr>
              <w:t>Estonia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Power Resources Ltd.</w:t>
            </w:r>
          </w:p>
        </w:tc>
        <w:tc>
          <w:tcPr>
            <w:tcW w:w="2880" w:type="dxa"/>
            <w:vAlign w:val="bottom"/>
          </w:tcPr>
          <w:p>
            <w:pPr>
              <w:ind w:left="1140"/>
              <w:spacing w:after="0"/>
              <w:rPr>
                <w:sz w:val="20"/>
                <w:szCs w:val="20"/>
                <w:color w:val="auto"/>
              </w:rPr>
            </w:pPr>
            <w:r>
              <w:rPr>
                <w:rFonts w:ascii="Arial" w:cs="Arial" w:eastAsia="Arial" w:hAnsi="Arial"/>
                <w:sz w:val="18"/>
                <w:szCs w:val="18"/>
                <w:color w:val="auto"/>
              </w:rPr>
              <w:t>Macedonia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QuantumClean</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Resind Industria e Comercio Ltda.</w:t>
            </w:r>
          </w:p>
        </w:tc>
        <w:tc>
          <w:tcPr>
            <w:tcW w:w="2880" w:type="dxa"/>
            <w:vAlign w:val="bottom"/>
          </w:tcPr>
          <w:p>
            <w:pPr>
              <w:ind w:left="1140"/>
              <w:spacing w:after="0"/>
              <w:rPr>
                <w:sz w:val="20"/>
                <w:szCs w:val="20"/>
                <w:color w:val="auto"/>
              </w:rPr>
            </w:pPr>
            <w:r>
              <w:rPr>
                <w:rFonts w:ascii="Arial" w:cs="Arial" w:eastAsia="Arial" w:hAnsi="Arial"/>
                <w:sz w:val="18"/>
                <w:szCs w:val="18"/>
                <w:color w:val="auto"/>
              </w:rPr>
              <w:t>Brazil</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RFH Tantalum Smeltry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Solikamsk Magnesium Works OAO</w:t>
            </w:r>
          </w:p>
        </w:tc>
        <w:tc>
          <w:tcPr>
            <w:tcW w:w="2880" w:type="dxa"/>
            <w:vAlign w:val="bottom"/>
          </w:tcPr>
          <w:p>
            <w:pPr>
              <w:ind w:left="114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Taki Chemical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Telex Metals</w:t>
            </w:r>
          </w:p>
        </w:tc>
        <w:tc>
          <w:tcPr>
            <w:tcW w:w="2880" w:type="dxa"/>
            <w:vAlign w:val="bottom"/>
          </w:tcPr>
          <w:p>
            <w:pPr>
              <w:ind w:left="11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Ulba Metallurgical Plant JSC</w:t>
            </w:r>
          </w:p>
        </w:tc>
        <w:tc>
          <w:tcPr>
            <w:tcW w:w="2880" w:type="dxa"/>
            <w:vAlign w:val="bottom"/>
          </w:tcPr>
          <w:p>
            <w:pPr>
              <w:ind w:left="1140"/>
              <w:spacing w:after="0"/>
              <w:rPr>
                <w:sz w:val="20"/>
                <w:szCs w:val="20"/>
                <w:color w:val="auto"/>
              </w:rPr>
            </w:pPr>
            <w:r>
              <w:rPr>
                <w:rFonts w:ascii="Arial" w:cs="Arial" w:eastAsia="Arial" w:hAnsi="Arial"/>
                <w:sz w:val="18"/>
                <w:szCs w:val="18"/>
                <w:color w:val="auto"/>
              </w:rPr>
              <w:t>Kazakhstan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XinXing HaoRong Electronic Material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5440" w:type="dxa"/>
            <w:vAlign w:val="bottom"/>
          </w:tcPr>
          <w:p>
            <w:pPr>
              <w:ind w:left="280"/>
              <w:spacing w:after="0"/>
              <w:rPr>
                <w:sz w:val="20"/>
                <w:szCs w:val="20"/>
                <w:color w:val="auto"/>
              </w:rPr>
            </w:pPr>
            <w:r>
              <w:rPr>
                <w:rFonts w:ascii="Arial" w:cs="Arial" w:eastAsia="Arial" w:hAnsi="Arial"/>
                <w:sz w:val="18"/>
                <w:szCs w:val="18"/>
                <w:color w:val="auto"/>
              </w:rPr>
              <w:t>Yichun Jin Yang Rare Metal Co., Ltd.</w:t>
            </w:r>
          </w:p>
        </w:tc>
        <w:tc>
          <w:tcPr>
            <w:tcW w:w="2880" w:type="dxa"/>
            <w:vAlign w:val="bottom"/>
          </w:tcPr>
          <w:p>
            <w:pPr>
              <w:ind w:left="11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ectPr>
          <w:pgSz w:w="11900" w:h="16838" w:orient="portrait"/>
          <w:cols w:equalWidth="0" w:num="1">
            <w:col w:w="11240"/>
          </w:cols>
          <w:pgMar w:left="240" w:top="783" w:right="419" w:bottom="503" w:gutter="0" w:footer="0" w:header="0"/>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240" w:top="783" w:right="419" w:bottom="503"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Metal</w:t>
            </w:r>
          </w:p>
        </w:tc>
        <w:tc>
          <w:tcPr>
            <w:tcW w:w="6320" w:type="dxa"/>
            <w:vAlign w:val="bottom"/>
          </w:tcPr>
          <w:p>
            <w:pPr>
              <w:ind w:left="280"/>
              <w:spacing w:after="0"/>
              <w:rPr>
                <w:sz w:val="20"/>
                <w:szCs w:val="20"/>
                <w:color w:val="auto"/>
              </w:rPr>
            </w:pPr>
            <w:r>
              <w:rPr>
                <w:rFonts w:ascii="Arial" w:cs="Arial" w:eastAsia="Arial" w:hAnsi="Arial"/>
                <w:sz w:val="18"/>
                <w:szCs w:val="18"/>
                <w:b w:val="1"/>
                <w:bCs w:val="1"/>
                <w:color w:val="auto"/>
              </w:rPr>
              <w:t>Facility Name</w:t>
            </w:r>
          </w:p>
        </w:tc>
        <w:tc>
          <w:tcPr>
            <w:tcW w:w="1800" w:type="dxa"/>
            <w:vAlign w:val="bottom"/>
          </w:tcPr>
          <w:p>
            <w:pPr>
              <w:ind w:left="260"/>
              <w:spacing w:after="0"/>
              <w:rPr>
                <w:sz w:val="20"/>
                <w:szCs w:val="20"/>
                <w:color w:val="auto"/>
              </w:rPr>
            </w:pPr>
            <w:r>
              <w:rPr>
                <w:rFonts w:ascii="Arial" w:cs="Arial" w:eastAsia="Arial" w:hAnsi="Arial"/>
                <w:sz w:val="18"/>
                <w:szCs w:val="18"/>
                <w:b w:val="1"/>
                <w:bCs w:val="1"/>
                <w:color w:val="auto"/>
              </w:rPr>
              <w:t>Country</w:t>
            </w:r>
          </w:p>
        </w:tc>
        <w:tc>
          <w:tcPr>
            <w:tcW w:w="2120" w:type="dxa"/>
            <w:vAlign w:val="bottom"/>
          </w:tcPr>
          <w:p>
            <w:pPr>
              <w:ind w:left="580"/>
              <w:spacing w:after="0"/>
              <w:rPr>
                <w:sz w:val="20"/>
                <w:szCs w:val="20"/>
                <w:color w:val="auto"/>
              </w:rPr>
            </w:pPr>
            <w:r>
              <w:rPr>
                <w:rFonts w:ascii="Arial" w:cs="Arial" w:eastAsia="Arial" w:hAnsi="Arial"/>
                <w:sz w:val="18"/>
                <w:szCs w:val="18"/>
                <w:b w:val="1"/>
                <w:bCs w:val="1"/>
                <w:color w:val="auto"/>
                <w:w w:val="93"/>
              </w:rPr>
              <w:t>Compliance Status</w:t>
            </w:r>
          </w:p>
        </w:tc>
      </w:tr>
      <w:tr>
        <w:trPr>
          <w:trHeight w:val="54"/>
        </w:trPr>
        <w:tc>
          <w:tcPr>
            <w:tcW w:w="100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r>
      <w:tr>
        <w:trPr>
          <w:trHeight w:val="237"/>
        </w:trPr>
        <w:tc>
          <w:tcPr>
            <w:tcW w:w="1000" w:type="dxa"/>
            <w:vAlign w:val="bottom"/>
          </w:tcPr>
          <w:p>
            <w:pPr>
              <w:ind w:left="40"/>
              <w:spacing w:after="0"/>
              <w:rPr>
                <w:sz w:val="20"/>
                <w:szCs w:val="20"/>
                <w:color w:val="auto"/>
              </w:rPr>
            </w:pPr>
            <w:r>
              <w:rPr>
                <w:rFonts w:ascii="Arial" w:cs="Arial" w:eastAsia="Arial" w:hAnsi="Arial"/>
                <w:sz w:val="18"/>
                <w:szCs w:val="18"/>
                <w:color w:val="auto"/>
              </w:rPr>
              <w:t>Tantalum</w:t>
            </w:r>
          </w:p>
        </w:tc>
        <w:tc>
          <w:tcPr>
            <w:tcW w:w="6320" w:type="dxa"/>
            <w:vAlign w:val="bottom"/>
          </w:tcPr>
          <w:p>
            <w:pPr>
              <w:ind w:left="280"/>
              <w:spacing w:after="0"/>
              <w:rPr>
                <w:sz w:val="20"/>
                <w:szCs w:val="20"/>
                <w:color w:val="auto"/>
              </w:rPr>
            </w:pPr>
            <w:r>
              <w:rPr>
                <w:rFonts w:ascii="Arial" w:cs="Arial" w:eastAsia="Arial" w:hAnsi="Arial"/>
                <w:sz w:val="18"/>
                <w:szCs w:val="18"/>
                <w:color w:val="auto"/>
              </w:rPr>
              <w:t>Zhuzhou Cemented Carbide Group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Alpha</w:t>
            </w:r>
          </w:p>
        </w:tc>
        <w:tc>
          <w:tcPr>
            <w:tcW w:w="18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An Thai Minerals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Viet Nam</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An Vinh Joint Stock Mineral Processing Company</w:t>
            </w:r>
          </w:p>
        </w:tc>
        <w:tc>
          <w:tcPr>
            <w:tcW w:w="1800" w:type="dxa"/>
            <w:vAlign w:val="bottom"/>
          </w:tcPr>
          <w:p>
            <w:pPr>
              <w:ind w:left="260"/>
              <w:spacing w:after="0"/>
              <w:rPr>
                <w:sz w:val="20"/>
                <w:szCs w:val="20"/>
                <w:color w:val="auto"/>
              </w:rPr>
            </w:pPr>
            <w:r>
              <w:rPr>
                <w:rFonts w:ascii="Arial" w:cs="Arial" w:eastAsia="Arial" w:hAnsi="Arial"/>
                <w:sz w:val="18"/>
                <w:szCs w:val="18"/>
                <w:color w:val="auto"/>
              </w:rPr>
              <w:t>Viet Nam</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Chenzhou Yunxiang Mining and Metallurgy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China Tin Group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CNMC (Guangxi) PGMA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Cooperativa Metalurgica de Rondonia Ltda.</w:t>
            </w:r>
          </w:p>
        </w:tc>
        <w:tc>
          <w:tcPr>
            <w:tcW w:w="1800" w:type="dxa"/>
            <w:vAlign w:val="bottom"/>
          </w:tcPr>
          <w:p>
            <w:pPr>
              <w:ind w:left="26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CV Ayi Jaya</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CV Dua Sekawan</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CV Gita Pesona</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CV Serumpun Sebalai</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CV Tiga Sekawan</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CV United Smelting</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CV Venus Inti Perkasa</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Dowa</w:t>
            </w:r>
          </w:p>
        </w:tc>
        <w:tc>
          <w:tcPr>
            <w:tcW w:w="1800" w:type="dxa"/>
            <w:vAlign w:val="bottom"/>
          </w:tcPr>
          <w:p>
            <w:pPr>
              <w:ind w:left="260"/>
              <w:spacing w:after="0"/>
              <w:rPr>
                <w:sz w:val="20"/>
                <w:szCs w:val="20"/>
                <w:color w:val="auto"/>
              </w:rPr>
            </w:pPr>
            <w:r>
              <w:rPr>
                <w:rFonts w:ascii="Arial" w:cs="Arial" w:eastAsia="Arial" w:hAnsi="Arial"/>
                <w:sz w:val="18"/>
                <w:szCs w:val="18"/>
                <w:color w:val="auto"/>
              </w:rPr>
              <w:t>Japan</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83"/>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w w:val="97"/>
              </w:rPr>
              <w:t>Electro-Mechanical Facility of the Cao Bang Minerals &amp; Metallurgy Joint Stock</w:t>
            </w:r>
          </w:p>
        </w:tc>
        <w:tc>
          <w:tcPr>
            <w:tcW w:w="1800" w:type="dxa"/>
            <w:vAlign w:val="bottom"/>
          </w:tcPr>
          <w:p>
            <w:pPr>
              <w:ind w:left="260"/>
              <w:spacing w:after="0"/>
              <w:rPr>
                <w:sz w:val="20"/>
                <w:szCs w:val="20"/>
                <w:color w:val="auto"/>
              </w:rPr>
            </w:pPr>
            <w:r>
              <w:rPr>
                <w:rFonts w:ascii="Arial" w:cs="Arial" w:eastAsia="Arial" w:hAnsi="Arial"/>
                <w:sz w:val="18"/>
                <w:szCs w:val="18"/>
                <w:color w:val="auto"/>
              </w:rPr>
              <w:t>Viet Nam</w:t>
            </w:r>
          </w:p>
        </w:tc>
        <w:tc>
          <w:tcPr>
            <w:tcW w:w="2120" w:type="dxa"/>
            <w:vAlign w:val="bottom"/>
          </w:tcPr>
          <w:p>
            <w:pPr>
              <w:ind w:left="580"/>
              <w:spacing w:after="0"/>
              <w:rPr>
                <w:sz w:val="20"/>
                <w:szCs w:val="20"/>
                <w:color w:val="auto"/>
              </w:rPr>
            </w:pPr>
            <w:r>
              <w:rPr>
                <w:rFonts w:ascii="Arial" w:cs="Arial" w:eastAsia="Arial" w:hAnsi="Arial"/>
                <w:sz w:val="18"/>
                <w:szCs w:val="18"/>
                <w:color w:val="auto"/>
              </w:rPr>
              <w:t>In Process</w:t>
            </w:r>
          </w:p>
        </w:tc>
      </w:tr>
      <w:tr>
        <w:trPr>
          <w:trHeight w:val="230"/>
        </w:trPr>
        <w:tc>
          <w:tcPr>
            <w:tcW w:w="1000" w:type="dxa"/>
            <w:vAlign w:val="bottom"/>
          </w:tcPr>
          <w:p>
            <w:pPr>
              <w:spacing w:after="0"/>
              <w:rPr>
                <w:sz w:val="20"/>
                <w:szCs w:val="20"/>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Company</w:t>
            </w:r>
          </w:p>
        </w:tc>
        <w:tc>
          <w:tcPr>
            <w:tcW w:w="18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EM Vinto</w:t>
            </w:r>
          </w:p>
        </w:tc>
        <w:tc>
          <w:tcPr>
            <w:tcW w:w="1800" w:type="dxa"/>
            <w:vAlign w:val="bottom"/>
          </w:tcPr>
          <w:p>
            <w:pPr>
              <w:ind w:left="260"/>
              <w:spacing w:after="0"/>
              <w:rPr>
                <w:sz w:val="20"/>
                <w:szCs w:val="20"/>
                <w:color w:val="auto"/>
              </w:rPr>
            </w:pPr>
            <w:r>
              <w:rPr>
                <w:rFonts w:ascii="Arial" w:cs="Arial" w:eastAsia="Arial" w:hAnsi="Arial"/>
                <w:sz w:val="18"/>
                <w:szCs w:val="18"/>
                <w:color w:val="auto"/>
              </w:rPr>
              <w:t>Bolivia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Estanho de Rondonia S.A.</w:t>
            </w:r>
          </w:p>
        </w:tc>
        <w:tc>
          <w:tcPr>
            <w:tcW w:w="1800" w:type="dxa"/>
            <w:vAlign w:val="bottom"/>
          </w:tcPr>
          <w:p>
            <w:pPr>
              <w:ind w:left="26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Fenix Metals</w:t>
            </w:r>
          </w:p>
        </w:tc>
        <w:tc>
          <w:tcPr>
            <w:tcW w:w="1800" w:type="dxa"/>
            <w:vAlign w:val="bottom"/>
          </w:tcPr>
          <w:p>
            <w:pPr>
              <w:ind w:left="260"/>
              <w:spacing w:after="0"/>
              <w:rPr>
                <w:sz w:val="20"/>
                <w:szCs w:val="20"/>
                <w:color w:val="auto"/>
              </w:rPr>
            </w:pPr>
            <w:r>
              <w:rPr>
                <w:rFonts w:ascii="Arial" w:cs="Arial" w:eastAsia="Arial" w:hAnsi="Arial"/>
                <w:sz w:val="18"/>
                <w:szCs w:val="18"/>
                <w:color w:val="auto"/>
              </w:rPr>
              <w:t>Poland</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Gejiu Fengming Metallurgy Chemical Plant</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Gejiu Jinye Mineral Company</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Gejiu Kai Meng Industry and Trade LLC</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In Process</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Gejiu Non-Ferrous Metal Processing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Gejiu Yunxin Nonferrous Electrolysis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Gejiu Zili Mining And Metallurgy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Guanyang Guida Nonferrous Metal Smelting Plant</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HuiChang Hill Tin Industry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Huichang Jinshunda Tin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In Process</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Jiangxi Ketai Advanced Material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Magnu's Minerais Metais e Ligas Ltda.</w:t>
            </w:r>
          </w:p>
        </w:tc>
        <w:tc>
          <w:tcPr>
            <w:tcW w:w="1800" w:type="dxa"/>
            <w:vAlign w:val="bottom"/>
          </w:tcPr>
          <w:p>
            <w:pPr>
              <w:ind w:left="26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Malaysia Smelting Corporation (MSC)</w:t>
            </w:r>
          </w:p>
        </w:tc>
        <w:tc>
          <w:tcPr>
            <w:tcW w:w="1800" w:type="dxa"/>
            <w:vAlign w:val="bottom"/>
          </w:tcPr>
          <w:p>
            <w:pPr>
              <w:ind w:left="260"/>
              <w:spacing w:after="0"/>
              <w:rPr>
                <w:sz w:val="20"/>
                <w:szCs w:val="20"/>
                <w:color w:val="auto"/>
              </w:rPr>
            </w:pPr>
            <w:r>
              <w:rPr>
                <w:rFonts w:ascii="Arial" w:cs="Arial" w:eastAsia="Arial" w:hAnsi="Arial"/>
                <w:sz w:val="18"/>
                <w:szCs w:val="18"/>
                <w:color w:val="auto"/>
              </w:rPr>
              <w:t>Malaysia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Melt Metais e Ligas S.A.</w:t>
            </w:r>
          </w:p>
        </w:tc>
        <w:tc>
          <w:tcPr>
            <w:tcW w:w="1800" w:type="dxa"/>
            <w:vAlign w:val="bottom"/>
          </w:tcPr>
          <w:p>
            <w:pPr>
              <w:ind w:left="26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Metallic Resources, Inc.</w:t>
            </w:r>
          </w:p>
        </w:tc>
        <w:tc>
          <w:tcPr>
            <w:tcW w:w="18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Metallo Belgium N.V.</w:t>
            </w:r>
          </w:p>
        </w:tc>
        <w:tc>
          <w:tcPr>
            <w:tcW w:w="1800" w:type="dxa"/>
            <w:vAlign w:val="bottom"/>
          </w:tcPr>
          <w:p>
            <w:pPr>
              <w:ind w:left="260"/>
              <w:spacing w:after="0"/>
              <w:rPr>
                <w:sz w:val="20"/>
                <w:szCs w:val="20"/>
                <w:color w:val="auto"/>
              </w:rPr>
            </w:pPr>
            <w:r>
              <w:rPr>
                <w:rFonts w:ascii="Arial" w:cs="Arial" w:eastAsia="Arial" w:hAnsi="Arial"/>
                <w:sz w:val="18"/>
                <w:szCs w:val="18"/>
                <w:color w:val="auto"/>
              </w:rPr>
              <w:t>Belgium</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Metallo Spain S.L.U.</w:t>
            </w:r>
          </w:p>
        </w:tc>
        <w:tc>
          <w:tcPr>
            <w:tcW w:w="1800" w:type="dxa"/>
            <w:vAlign w:val="bottom"/>
          </w:tcPr>
          <w:p>
            <w:pPr>
              <w:ind w:left="260"/>
              <w:spacing w:after="0"/>
              <w:rPr>
                <w:sz w:val="20"/>
                <w:szCs w:val="20"/>
                <w:color w:val="auto"/>
              </w:rPr>
            </w:pPr>
            <w:r>
              <w:rPr>
                <w:rFonts w:ascii="Arial" w:cs="Arial" w:eastAsia="Arial" w:hAnsi="Arial"/>
                <w:sz w:val="18"/>
                <w:szCs w:val="18"/>
                <w:color w:val="auto"/>
              </w:rPr>
              <w:t>Spain</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Mineracao Taboca S.A.</w:t>
            </w:r>
          </w:p>
        </w:tc>
        <w:tc>
          <w:tcPr>
            <w:tcW w:w="1800" w:type="dxa"/>
            <w:vAlign w:val="bottom"/>
          </w:tcPr>
          <w:p>
            <w:pPr>
              <w:ind w:left="26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Minsur</w:t>
            </w:r>
          </w:p>
        </w:tc>
        <w:tc>
          <w:tcPr>
            <w:tcW w:w="1800" w:type="dxa"/>
            <w:vAlign w:val="bottom"/>
          </w:tcPr>
          <w:p>
            <w:pPr>
              <w:ind w:left="260"/>
              <w:spacing w:after="0"/>
              <w:rPr>
                <w:sz w:val="20"/>
                <w:szCs w:val="20"/>
                <w:color w:val="auto"/>
              </w:rPr>
            </w:pPr>
            <w:r>
              <w:rPr>
                <w:rFonts w:ascii="Arial" w:cs="Arial" w:eastAsia="Arial" w:hAnsi="Arial"/>
                <w:sz w:val="18"/>
                <w:szCs w:val="18"/>
                <w:color w:val="auto"/>
              </w:rPr>
              <w:t>Peru</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Mitsubishi Materials Corporation</w:t>
            </w:r>
          </w:p>
        </w:tc>
        <w:tc>
          <w:tcPr>
            <w:tcW w:w="1800" w:type="dxa"/>
            <w:vAlign w:val="bottom"/>
          </w:tcPr>
          <w:p>
            <w:pPr>
              <w:ind w:left="260"/>
              <w:spacing w:after="0"/>
              <w:rPr>
                <w:sz w:val="20"/>
                <w:szCs w:val="20"/>
                <w:color w:val="auto"/>
              </w:rPr>
            </w:pPr>
            <w:r>
              <w:rPr>
                <w:rFonts w:ascii="Arial" w:cs="Arial" w:eastAsia="Arial" w:hAnsi="Arial"/>
                <w:sz w:val="18"/>
                <w:szCs w:val="18"/>
                <w:color w:val="auto"/>
              </w:rPr>
              <w:t>Japan</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Modeltech Sdn Bhd</w:t>
            </w:r>
          </w:p>
        </w:tc>
        <w:tc>
          <w:tcPr>
            <w:tcW w:w="1800" w:type="dxa"/>
            <w:vAlign w:val="bottom"/>
          </w:tcPr>
          <w:p>
            <w:pPr>
              <w:ind w:left="260"/>
              <w:spacing w:after="0"/>
              <w:rPr>
                <w:sz w:val="20"/>
                <w:szCs w:val="20"/>
                <w:color w:val="auto"/>
              </w:rPr>
            </w:pPr>
            <w:r>
              <w:rPr>
                <w:rFonts w:ascii="Arial" w:cs="Arial" w:eastAsia="Arial" w:hAnsi="Arial"/>
                <w:sz w:val="18"/>
                <w:szCs w:val="18"/>
                <w:color w:val="auto"/>
              </w:rPr>
              <w:t>Malaysia</w:t>
            </w:r>
          </w:p>
        </w:tc>
        <w:tc>
          <w:tcPr>
            <w:tcW w:w="2120" w:type="dxa"/>
            <w:vAlign w:val="bottom"/>
          </w:tcPr>
          <w:p>
            <w:pPr>
              <w:ind w:left="580"/>
              <w:spacing w:after="0"/>
              <w:rPr>
                <w:sz w:val="20"/>
                <w:szCs w:val="20"/>
                <w:color w:val="auto"/>
              </w:rPr>
            </w:pPr>
            <w:r>
              <w:rPr>
                <w:rFonts w:ascii="Arial" w:cs="Arial" w:eastAsia="Arial" w:hAnsi="Arial"/>
                <w:sz w:val="18"/>
                <w:szCs w:val="18"/>
                <w:color w:val="auto"/>
              </w:rPr>
              <w:t>In Process</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Nankang Nanshan Tin Manufactory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In Process</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Nghe Tinh Non-Ferrous Metals Joint Stock Company</w:t>
            </w:r>
          </w:p>
        </w:tc>
        <w:tc>
          <w:tcPr>
            <w:tcW w:w="1800" w:type="dxa"/>
            <w:vAlign w:val="bottom"/>
          </w:tcPr>
          <w:p>
            <w:pPr>
              <w:ind w:left="260"/>
              <w:spacing w:after="0"/>
              <w:rPr>
                <w:sz w:val="20"/>
                <w:szCs w:val="20"/>
                <w:color w:val="auto"/>
              </w:rPr>
            </w:pPr>
            <w:r>
              <w:rPr>
                <w:rFonts w:ascii="Arial" w:cs="Arial" w:eastAsia="Arial" w:hAnsi="Arial"/>
                <w:sz w:val="18"/>
                <w:szCs w:val="18"/>
                <w:color w:val="auto"/>
              </w:rPr>
              <w:t>Viet Nam</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O.M. Manufacturing (Thailand) Co., Ltd.</w:t>
            </w:r>
          </w:p>
        </w:tc>
        <w:tc>
          <w:tcPr>
            <w:tcW w:w="1800" w:type="dxa"/>
            <w:vAlign w:val="bottom"/>
          </w:tcPr>
          <w:p>
            <w:pPr>
              <w:ind w:left="260"/>
              <w:spacing w:after="0"/>
              <w:rPr>
                <w:sz w:val="20"/>
                <w:szCs w:val="20"/>
                <w:color w:val="auto"/>
              </w:rPr>
            </w:pPr>
            <w:r>
              <w:rPr>
                <w:rFonts w:ascii="Arial" w:cs="Arial" w:eastAsia="Arial" w:hAnsi="Arial"/>
                <w:sz w:val="18"/>
                <w:szCs w:val="18"/>
                <w:color w:val="auto"/>
              </w:rPr>
              <w:t>Thailand</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O.M. Manufacturing Philippines, Inc.</w:t>
            </w:r>
          </w:p>
        </w:tc>
        <w:tc>
          <w:tcPr>
            <w:tcW w:w="1800" w:type="dxa"/>
            <w:vAlign w:val="bottom"/>
          </w:tcPr>
          <w:p>
            <w:pPr>
              <w:ind w:left="260"/>
              <w:spacing w:after="0"/>
              <w:rPr>
                <w:sz w:val="20"/>
                <w:szCs w:val="20"/>
                <w:color w:val="auto"/>
              </w:rPr>
            </w:pPr>
            <w:r>
              <w:rPr>
                <w:rFonts w:ascii="Arial" w:cs="Arial" w:eastAsia="Arial" w:hAnsi="Arial"/>
                <w:sz w:val="18"/>
                <w:szCs w:val="18"/>
                <w:color w:val="auto"/>
              </w:rPr>
              <w:t>Philippines</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Operaciones Metalurgical S.A.</w:t>
            </w:r>
          </w:p>
        </w:tc>
        <w:tc>
          <w:tcPr>
            <w:tcW w:w="1800" w:type="dxa"/>
            <w:vAlign w:val="bottom"/>
          </w:tcPr>
          <w:p>
            <w:pPr>
              <w:ind w:left="260"/>
              <w:spacing w:after="0"/>
              <w:rPr>
                <w:sz w:val="20"/>
                <w:szCs w:val="20"/>
                <w:color w:val="auto"/>
              </w:rPr>
            </w:pPr>
            <w:r>
              <w:rPr>
                <w:rFonts w:ascii="Arial" w:cs="Arial" w:eastAsia="Arial" w:hAnsi="Arial"/>
                <w:sz w:val="18"/>
                <w:szCs w:val="18"/>
                <w:color w:val="auto"/>
              </w:rPr>
              <w:t>Bolivia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PT Aries Kencana Sejahtera</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1000" w:type="dxa"/>
            <w:vAlign w:val="bottom"/>
          </w:tcPr>
          <w:p>
            <w:pPr>
              <w:ind w:left="40"/>
              <w:spacing w:after="0"/>
              <w:rPr>
                <w:sz w:val="20"/>
                <w:szCs w:val="20"/>
                <w:color w:val="auto"/>
              </w:rPr>
            </w:pPr>
            <w:r>
              <w:rPr>
                <w:rFonts w:ascii="Arial" w:cs="Arial" w:eastAsia="Arial" w:hAnsi="Arial"/>
                <w:sz w:val="18"/>
                <w:szCs w:val="18"/>
                <w:color w:val="auto"/>
              </w:rPr>
              <w:t>Tin</w:t>
            </w:r>
          </w:p>
        </w:tc>
        <w:tc>
          <w:tcPr>
            <w:tcW w:w="6320" w:type="dxa"/>
            <w:vAlign w:val="bottom"/>
          </w:tcPr>
          <w:p>
            <w:pPr>
              <w:ind w:left="280"/>
              <w:spacing w:after="0"/>
              <w:rPr>
                <w:sz w:val="20"/>
                <w:szCs w:val="20"/>
                <w:color w:val="auto"/>
              </w:rPr>
            </w:pPr>
            <w:r>
              <w:rPr>
                <w:rFonts w:ascii="Arial" w:cs="Arial" w:eastAsia="Arial" w:hAnsi="Arial"/>
                <w:sz w:val="18"/>
                <w:szCs w:val="18"/>
                <w:color w:val="auto"/>
              </w:rPr>
              <w:t>PT Artha Cipta Langgeng</w:t>
            </w:r>
          </w:p>
        </w:tc>
        <w:tc>
          <w:tcPr>
            <w:tcW w:w="1800" w:type="dxa"/>
            <w:vAlign w:val="bottom"/>
          </w:tcPr>
          <w:p>
            <w:pPr>
              <w:ind w:left="26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ectPr>
          <w:pgSz w:w="11900" w:h="16838" w:orient="portrait"/>
          <w:cols w:equalWidth="0" w:num="1">
            <w:col w:w="11240"/>
          </w:cols>
          <w:pgMar w:left="240" w:top="783" w:right="419" w:bottom="595" w:gutter="0" w:footer="0" w:header="0"/>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240" w:top="783" w:right="419" w:bottom="595"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Metal</w:t>
            </w:r>
          </w:p>
        </w:tc>
        <w:tc>
          <w:tcPr>
            <w:tcW w:w="5480" w:type="dxa"/>
            <w:vAlign w:val="bottom"/>
          </w:tcPr>
          <w:p>
            <w:pPr>
              <w:ind w:left="300"/>
              <w:spacing w:after="0"/>
              <w:rPr>
                <w:sz w:val="20"/>
                <w:szCs w:val="20"/>
                <w:color w:val="auto"/>
              </w:rPr>
            </w:pPr>
            <w:r>
              <w:rPr>
                <w:rFonts w:ascii="Arial" w:cs="Arial" w:eastAsia="Arial" w:hAnsi="Arial"/>
                <w:sz w:val="18"/>
                <w:szCs w:val="18"/>
                <w:b w:val="1"/>
                <w:bCs w:val="1"/>
                <w:color w:val="auto"/>
              </w:rPr>
              <w:t>Facility Name</w:t>
            </w:r>
          </w:p>
        </w:tc>
        <w:tc>
          <w:tcPr>
            <w:tcW w:w="2660" w:type="dxa"/>
            <w:vAlign w:val="bottom"/>
          </w:tcPr>
          <w:p>
            <w:pPr>
              <w:ind w:left="1120"/>
              <w:spacing w:after="0"/>
              <w:rPr>
                <w:sz w:val="20"/>
                <w:szCs w:val="20"/>
                <w:color w:val="auto"/>
              </w:rPr>
            </w:pPr>
            <w:r>
              <w:rPr>
                <w:rFonts w:ascii="Arial" w:cs="Arial" w:eastAsia="Arial" w:hAnsi="Arial"/>
                <w:sz w:val="18"/>
                <w:szCs w:val="18"/>
                <w:b w:val="1"/>
                <w:bCs w:val="1"/>
                <w:color w:val="auto"/>
              </w:rPr>
              <w:t>Country</w:t>
            </w:r>
          </w:p>
        </w:tc>
        <w:tc>
          <w:tcPr>
            <w:tcW w:w="2120" w:type="dxa"/>
            <w:vAlign w:val="bottom"/>
          </w:tcPr>
          <w:p>
            <w:pPr>
              <w:ind w:left="580"/>
              <w:spacing w:after="0"/>
              <w:rPr>
                <w:sz w:val="20"/>
                <w:szCs w:val="20"/>
                <w:color w:val="auto"/>
              </w:rPr>
            </w:pPr>
            <w:r>
              <w:rPr>
                <w:rFonts w:ascii="Arial" w:cs="Arial" w:eastAsia="Arial" w:hAnsi="Arial"/>
                <w:sz w:val="18"/>
                <w:szCs w:val="18"/>
                <w:b w:val="1"/>
                <w:bCs w:val="1"/>
                <w:color w:val="auto"/>
                <w:w w:val="93"/>
              </w:rPr>
              <w:t>Compliance Status</w:t>
            </w:r>
          </w:p>
        </w:tc>
      </w:tr>
      <w:tr>
        <w:trPr>
          <w:trHeight w:val="54"/>
        </w:trPr>
        <w:tc>
          <w:tcPr>
            <w:tcW w:w="98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r>
      <w:tr>
        <w:trPr>
          <w:trHeight w:val="23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ATD Makmur Mandiri Jaya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Babel Inti Perkasa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Bangka Prima Tin</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Bangka Tin Industry</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Belitung Industri Sejahtera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Bukit Timah</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DS Jaya Abadi</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Eunindo Usaha Mandiri</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Inti Stania Prima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Karimun Mining</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Kijang Jaya Mandiri</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Lautan Harmonis Sejahtera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Menara Cipta Mulia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Mitra Stania Prima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O.M. Indonesia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Panca Mega Persada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Prima Timah Utama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Refined Bangka Tin</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Sariwiguna Binasentosa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Stanindo Inti Perkasa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Sukses Inti Makmur</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Sumber Jaya Indah</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Timah (Persero) Tbk Kundur</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Timah (Persero) Tbk Mentok</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Tinindo Inter Nusa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PT Tommy Utama</w:t>
            </w:r>
          </w:p>
        </w:tc>
        <w:tc>
          <w:tcPr>
            <w:tcW w:w="2660" w:type="dxa"/>
            <w:vAlign w:val="bottom"/>
          </w:tcPr>
          <w:p>
            <w:pPr>
              <w:ind w:left="1120"/>
              <w:spacing w:after="0"/>
              <w:rPr>
                <w:sz w:val="20"/>
                <w:szCs w:val="20"/>
                <w:color w:val="auto"/>
              </w:rPr>
            </w:pPr>
            <w:r>
              <w:rPr>
                <w:rFonts w:ascii="Arial" w:cs="Arial" w:eastAsia="Arial" w:hAnsi="Arial"/>
                <w:sz w:val="18"/>
                <w:szCs w:val="18"/>
                <w:color w:val="auto"/>
              </w:rPr>
              <w:t>Indonesia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Resind Industria e Comercio Ltda.</w:t>
            </w:r>
          </w:p>
        </w:tc>
        <w:tc>
          <w:tcPr>
            <w:tcW w:w="2660" w:type="dxa"/>
            <w:vAlign w:val="bottom"/>
          </w:tcPr>
          <w:p>
            <w:pPr>
              <w:ind w:left="112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Rui Da Hung</w:t>
            </w:r>
          </w:p>
        </w:tc>
        <w:tc>
          <w:tcPr>
            <w:tcW w:w="2660" w:type="dxa"/>
            <w:vAlign w:val="bottom"/>
          </w:tcPr>
          <w:p>
            <w:pPr>
              <w:ind w:left="1120"/>
              <w:spacing w:after="0"/>
              <w:rPr>
                <w:sz w:val="20"/>
                <w:szCs w:val="20"/>
                <w:color w:val="auto"/>
              </w:rPr>
            </w:pPr>
            <w:r>
              <w:rPr>
                <w:rFonts w:ascii="Arial" w:cs="Arial" w:eastAsia="Arial" w:hAnsi="Arial"/>
                <w:sz w:val="18"/>
                <w:szCs w:val="18"/>
                <w:color w:val="auto"/>
              </w:rPr>
              <w:t>Taiwan</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Soft Metais Ltda.</w:t>
            </w:r>
          </w:p>
        </w:tc>
        <w:tc>
          <w:tcPr>
            <w:tcW w:w="2660" w:type="dxa"/>
            <w:vAlign w:val="bottom"/>
          </w:tcPr>
          <w:p>
            <w:pPr>
              <w:ind w:left="112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Super Ligas</w:t>
            </w:r>
          </w:p>
        </w:tc>
        <w:tc>
          <w:tcPr>
            <w:tcW w:w="2660" w:type="dxa"/>
            <w:vAlign w:val="bottom"/>
          </w:tcPr>
          <w:p>
            <w:pPr>
              <w:ind w:left="112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Thaisarco</w:t>
            </w:r>
          </w:p>
        </w:tc>
        <w:tc>
          <w:tcPr>
            <w:tcW w:w="2660" w:type="dxa"/>
            <w:vAlign w:val="bottom"/>
          </w:tcPr>
          <w:p>
            <w:pPr>
              <w:ind w:left="1120"/>
              <w:spacing w:after="0"/>
              <w:rPr>
                <w:sz w:val="20"/>
                <w:szCs w:val="20"/>
                <w:color w:val="auto"/>
              </w:rPr>
            </w:pPr>
            <w:r>
              <w:rPr>
                <w:rFonts w:ascii="Arial" w:cs="Arial" w:eastAsia="Arial" w:hAnsi="Arial"/>
                <w:sz w:val="18"/>
                <w:szCs w:val="18"/>
                <w:color w:val="auto"/>
              </w:rPr>
              <w:t>Thailand</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Tuyen Quang Non-Ferrous Metals Joint Stock Company</w:t>
            </w:r>
          </w:p>
        </w:tc>
        <w:tc>
          <w:tcPr>
            <w:tcW w:w="2660" w:type="dxa"/>
            <w:vAlign w:val="bottom"/>
          </w:tcPr>
          <w:p>
            <w:pPr>
              <w:ind w:left="1120"/>
              <w:spacing w:after="0"/>
              <w:rPr>
                <w:sz w:val="20"/>
                <w:szCs w:val="20"/>
                <w:color w:val="auto"/>
              </w:rPr>
            </w:pPr>
            <w:r>
              <w:rPr>
                <w:rFonts w:ascii="Arial" w:cs="Arial" w:eastAsia="Arial" w:hAnsi="Arial"/>
                <w:sz w:val="18"/>
                <w:szCs w:val="18"/>
                <w:color w:val="auto"/>
              </w:rPr>
              <w:t>Viet Nam</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VQB Mineral and Trading Group JSC</w:t>
            </w:r>
          </w:p>
        </w:tc>
        <w:tc>
          <w:tcPr>
            <w:tcW w:w="2660" w:type="dxa"/>
            <w:vAlign w:val="bottom"/>
          </w:tcPr>
          <w:p>
            <w:pPr>
              <w:ind w:left="1120"/>
              <w:spacing w:after="0"/>
              <w:rPr>
                <w:sz w:val="20"/>
                <w:szCs w:val="20"/>
                <w:color w:val="auto"/>
              </w:rPr>
            </w:pPr>
            <w:r>
              <w:rPr>
                <w:rFonts w:ascii="Arial" w:cs="Arial" w:eastAsia="Arial" w:hAnsi="Arial"/>
                <w:sz w:val="18"/>
                <w:szCs w:val="18"/>
                <w:color w:val="auto"/>
              </w:rPr>
              <w:t>Viet Nam</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White Solder Metalurgia e Mineracao Ltda.</w:t>
            </w:r>
          </w:p>
        </w:tc>
        <w:tc>
          <w:tcPr>
            <w:tcW w:w="2660" w:type="dxa"/>
            <w:vAlign w:val="bottom"/>
          </w:tcPr>
          <w:p>
            <w:pPr>
              <w:ind w:left="112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Yunnan Chengfeng Non-ferrous Metals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Tin</w:t>
            </w:r>
          </w:p>
        </w:tc>
        <w:tc>
          <w:tcPr>
            <w:tcW w:w="5480" w:type="dxa"/>
            <w:vAlign w:val="bottom"/>
          </w:tcPr>
          <w:p>
            <w:pPr>
              <w:ind w:left="300"/>
              <w:spacing w:after="0"/>
              <w:rPr>
                <w:sz w:val="20"/>
                <w:szCs w:val="20"/>
                <w:color w:val="auto"/>
              </w:rPr>
            </w:pPr>
            <w:r>
              <w:rPr>
                <w:rFonts w:ascii="Arial" w:cs="Arial" w:eastAsia="Arial" w:hAnsi="Arial"/>
                <w:sz w:val="18"/>
                <w:szCs w:val="18"/>
                <w:color w:val="auto"/>
              </w:rPr>
              <w:t>Yunnan Tin Company Limited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A.L.M.T. TUNGSTEN Corp.</w:t>
            </w:r>
          </w:p>
        </w:tc>
        <w:tc>
          <w:tcPr>
            <w:tcW w:w="2660" w:type="dxa"/>
            <w:vAlign w:val="bottom"/>
          </w:tcPr>
          <w:p>
            <w:pPr>
              <w:ind w:left="1120"/>
              <w:spacing w:after="0"/>
              <w:rPr>
                <w:sz w:val="20"/>
                <w:szCs w:val="20"/>
                <w:color w:val="auto"/>
              </w:rPr>
            </w:pPr>
            <w:r>
              <w:rPr>
                <w:rFonts w:ascii="Arial" w:cs="Arial" w:eastAsia="Arial" w:hAnsi="Arial"/>
                <w:sz w:val="18"/>
                <w:szCs w:val="18"/>
                <w:color w:val="auto"/>
              </w:rPr>
              <w:t>Japan</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ACL Metais Eireli</w:t>
            </w:r>
          </w:p>
        </w:tc>
        <w:tc>
          <w:tcPr>
            <w:tcW w:w="2660" w:type="dxa"/>
            <w:vAlign w:val="bottom"/>
          </w:tcPr>
          <w:p>
            <w:pPr>
              <w:ind w:left="1120"/>
              <w:spacing w:after="0"/>
              <w:rPr>
                <w:sz w:val="20"/>
                <w:szCs w:val="20"/>
                <w:color w:val="auto"/>
              </w:rPr>
            </w:pPr>
            <w:r>
              <w:rPr>
                <w:rFonts w:ascii="Arial" w:cs="Arial" w:eastAsia="Arial" w:hAnsi="Arial"/>
                <w:sz w:val="18"/>
                <w:szCs w:val="18"/>
                <w:color w:val="auto"/>
              </w:rPr>
              <w:t>Brazil</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Asia Tungsten Products Vietnam Ltd.</w:t>
            </w:r>
          </w:p>
        </w:tc>
        <w:tc>
          <w:tcPr>
            <w:tcW w:w="2660" w:type="dxa"/>
            <w:vAlign w:val="bottom"/>
          </w:tcPr>
          <w:p>
            <w:pPr>
              <w:ind w:left="1120"/>
              <w:spacing w:after="0"/>
              <w:rPr>
                <w:sz w:val="20"/>
                <w:szCs w:val="20"/>
                <w:color w:val="auto"/>
              </w:rPr>
            </w:pPr>
            <w:r>
              <w:rPr>
                <w:rFonts w:ascii="Arial" w:cs="Arial" w:eastAsia="Arial" w:hAnsi="Arial"/>
                <w:sz w:val="18"/>
                <w:szCs w:val="18"/>
                <w:color w:val="auto"/>
              </w:rPr>
              <w:t>Viet Nam</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Chenzhou Diamond Tungsten Products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Chongyi Zhangyuan Tungsten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Dayu Weiliang Tungsten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Fujian Jinxin Tungsten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Ganzhou Huaxing Tungsten Products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Ganzhou Jiangwu Ferrotungsten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Ganzhou Seadragon W &amp; Mo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Ganzhou Yatai Tungsten Co., Ltd.</w:t>
            </w:r>
          </w:p>
        </w:tc>
        <w:tc>
          <w:tcPr>
            <w:tcW w:w="2660" w:type="dxa"/>
            <w:vAlign w:val="bottom"/>
          </w:tcPr>
          <w:p>
            <w:pPr>
              <w:ind w:left="1120"/>
              <w:spacing w:after="0"/>
              <w:rPr>
                <w:sz w:val="20"/>
                <w:szCs w:val="20"/>
                <w:color w:val="auto"/>
              </w:rPr>
            </w:pPr>
            <w:r>
              <w:rPr>
                <w:rFonts w:ascii="Arial" w:cs="Arial" w:eastAsia="Arial" w:hAnsi="Arial"/>
                <w:sz w:val="18"/>
                <w:szCs w:val="18"/>
                <w:color w:val="auto"/>
              </w:rPr>
              <w:t>China</w:t>
            </w:r>
          </w:p>
        </w:tc>
        <w:tc>
          <w:tcPr>
            <w:tcW w:w="21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480" w:type="dxa"/>
            <w:vAlign w:val="bottom"/>
          </w:tcPr>
          <w:p>
            <w:pPr>
              <w:ind w:left="300"/>
              <w:spacing w:after="0"/>
              <w:rPr>
                <w:sz w:val="20"/>
                <w:szCs w:val="20"/>
                <w:color w:val="auto"/>
              </w:rPr>
            </w:pPr>
            <w:r>
              <w:rPr>
                <w:rFonts w:ascii="Arial" w:cs="Arial" w:eastAsia="Arial" w:hAnsi="Arial"/>
                <w:sz w:val="18"/>
                <w:szCs w:val="18"/>
                <w:color w:val="auto"/>
              </w:rPr>
              <w:t>Global Tungsten &amp; Powders Corp.</w:t>
            </w:r>
          </w:p>
        </w:tc>
        <w:tc>
          <w:tcPr>
            <w:tcW w:w="2660" w:type="dxa"/>
            <w:vAlign w:val="bottom"/>
          </w:tcPr>
          <w:p>
            <w:pPr>
              <w:ind w:left="1120"/>
              <w:spacing w:after="0"/>
              <w:rPr>
                <w:sz w:val="20"/>
                <w:szCs w:val="20"/>
                <w:color w:val="auto"/>
              </w:rPr>
            </w:pPr>
            <w:r>
              <w:rPr>
                <w:rFonts w:ascii="Arial" w:cs="Arial" w:eastAsia="Arial" w:hAnsi="Arial"/>
                <w:sz w:val="18"/>
                <w:szCs w:val="18"/>
                <w:color w:val="auto"/>
              </w:rPr>
              <w:t>United States</w:t>
            </w:r>
          </w:p>
        </w:tc>
        <w:tc>
          <w:tcPr>
            <w:tcW w:w="2120" w:type="dxa"/>
            <w:vAlign w:val="bottom"/>
          </w:tcPr>
          <w:p>
            <w:pPr>
              <w:ind w:left="580"/>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ectPr>
          <w:pgSz w:w="11900" w:h="16838" w:orient="portrait"/>
          <w:cols w:equalWidth="0" w:num="1">
            <w:col w:w="11240"/>
          </w:cols>
          <w:pgMar w:left="240" w:top="783" w:right="419" w:bottom="514" w:gutter="0" w:footer="0" w:header="0"/>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240" w:top="783" w:right="419" w:bottom="514"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Metal</w:t>
            </w:r>
          </w:p>
        </w:tc>
        <w:tc>
          <w:tcPr>
            <w:tcW w:w="5860" w:type="dxa"/>
            <w:vAlign w:val="bottom"/>
          </w:tcPr>
          <w:p>
            <w:pPr>
              <w:ind w:left="300"/>
              <w:spacing w:after="0"/>
              <w:rPr>
                <w:sz w:val="20"/>
                <w:szCs w:val="20"/>
                <w:color w:val="auto"/>
              </w:rPr>
            </w:pPr>
            <w:r>
              <w:rPr>
                <w:rFonts w:ascii="Arial" w:cs="Arial" w:eastAsia="Arial" w:hAnsi="Arial"/>
                <w:sz w:val="18"/>
                <w:szCs w:val="18"/>
                <w:b w:val="1"/>
                <w:bCs w:val="1"/>
                <w:color w:val="auto"/>
              </w:rPr>
              <w:t>Facility Name</w:t>
            </w:r>
          </w:p>
        </w:tc>
        <w:tc>
          <w:tcPr>
            <w:tcW w:w="2480" w:type="dxa"/>
            <w:vAlign w:val="bottom"/>
          </w:tcPr>
          <w:p>
            <w:pPr>
              <w:ind w:left="740"/>
              <w:spacing w:after="0"/>
              <w:rPr>
                <w:sz w:val="20"/>
                <w:szCs w:val="20"/>
                <w:color w:val="auto"/>
              </w:rPr>
            </w:pPr>
            <w:r>
              <w:rPr>
                <w:rFonts w:ascii="Arial" w:cs="Arial" w:eastAsia="Arial" w:hAnsi="Arial"/>
                <w:sz w:val="18"/>
                <w:szCs w:val="18"/>
                <w:b w:val="1"/>
                <w:bCs w:val="1"/>
                <w:color w:val="auto"/>
              </w:rPr>
              <w:t>Country</w:t>
            </w:r>
          </w:p>
        </w:tc>
        <w:tc>
          <w:tcPr>
            <w:tcW w:w="1920" w:type="dxa"/>
            <w:vAlign w:val="bottom"/>
          </w:tcPr>
          <w:p>
            <w:pPr>
              <w:ind w:left="380"/>
              <w:spacing w:after="0"/>
              <w:rPr>
                <w:sz w:val="20"/>
                <w:szCs w:val="20"/>
                <w:color w:val="auto"/>
              </w:rPr>
            </w:pPr>
            <w:r>
              <w:rPr>
                <w:rFonts w:ascii="Arial" w:cs="Arial" w:eastAsia="Arial" w:hAnsi="Arial"/>
                <w:sz w:val="18"/>
                <w:szCs w:val="18"/>
                <w:b w:val="1"/>
                <w:bCs w:val="1"/>
                <w:color w:val="auto"/>
                <w:w w:val="93"/>
              </w:rPr>
              <w:t>Compliance Status</w:t>
            </w:r>
          </w:p>
        </w:tc>
      </w:tr>
      <w:tr>
        <w:trPr>
          <w:trHeight w:val="54"/>
        </w:trPr>
        <w:tc>
          <w:tcPr>
            <w:tcW w:w="98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3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Guangdong Xianglu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H.C. Starck Smelting GmbH &amp; Co. KG</w:t>
            </w:r>
          </w:p>
        </w:tc>
        <w:tc>
          <w:tcPr>
            <w:tcW w:w="2480" w:type="dxa"/>
            <w:vAlign w:val="bottom"/>
          </w:tcPr>
          <w:p>
            <w:pPr>
              <w:ind w:left="740"/>
              <w:spacing w:after="0"/>
              <w:rPr>
                <w:sz w:val="20"/>
                <w:szCs w:val="20"/>
                <w:color w:val="auto"/>
              </w:rPr>
            </w:pPr>
            <w:r>
              <w:rPr>
                <w:rFonts w:ascii="Arial" w:cs="Arial" w:eastAsia="Arial" w:hAnsi="Arial"/>
                <w:sz w:val="18"/>
                <w:szCs w:val="18"/>
                <w:color w:val="auto"/>
              </w:rPr>
              <w:t>Germany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H.C. Starck Tungsten GmbH</w:t>
            </w:r>
          </w:p>
        </w:tc>
        <w:tc>
          <w:tcPr>
            <w:tcW w:w="2480" w:type="dxa"/>
            <w:vAlign w:val="bottom"/>
          </w:tcPr>
          <w:p>
            <w:pPr>
              <w:ind w:left="740"/>
              <w:spacing w:after="0"/>
              <w:rPr>
                <w:sz w:val="20"/>
                <w:szCs w:val="20"/>
                <w:color w:val="auto"/>
              </w:rPr>
            </w:pPr>
            <w:r>
              <w:rPr>
                <w:rFonts w:ascii="Arial" w:cs="Arial" w:eastAsia="Arial" w:hAnsi="Arial"/>
                <w:sz w:val="18"/>
                <w:szCs w:val="18"/>
                <w:color w:val="auto"/>
              </w:rPr>
              <w:t>Germany</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Hunan Chenzhou Mining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Hunan Chuangda Vanadium Tungsten Co., Ltd. Wuji</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Hunan Chunchang Nonferrous Metals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Hydrometallurg, JSC</w:t>
            </w:r>
          </w:p>
        </w:tc>
        <w:tc>
          <w:tcPr>
            <w:tcW w:w="2480" w:type="dxa"/>
            <w:vAlign w:val="bottom"/>
          </w:tcPr>
          <w:p>
            <w:pPr>
              <w:ind w:left="74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Japan New Metals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Japan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Jiangwu H.C. Starck Tungsten Products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Jiangxi Dayu Longxintai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Jiangxi Gan Bei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Jiangxi Minmetals Gao'an Non-ferrous Metals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Jiangxi Tonggu Non-ferrous Metallurgical &amp; Chemical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Jiangxi Xinsheng Tungsten Industry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Jiangxi Xiushui Xianggan Nonferrous Metals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Jiangxi Yaosheng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Kennametal Fallon</w:t>
            </w:r>
          </w:p>
        </w:tc>
        <w:tc>
          <w:tcPr>
            <w:tcW w:w="2480" w:type="dxa"/>
            <w:vAlign w:val="bottom"/>
          </w:tcPr>
          <w:p>
            <w:pPr>
              <w:ind w:left="7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Kennametal Huntsville</w:t>
            </w:r>
          </w:p>
        </w:tc>
        <w:tc>
          <w:tcPr>
            <w:tcW w:w="2480" w:type="dxa"/>
            <w:vAlign w:val="bottom"/>
          </w:tcPr>
          <w:p>
            <w:pPr>
              <w:ind w:left="7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Malipo Haiyu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Moliren Ltd.</w:t>
            </w:r>
          </w:p>
        </w:tc>
        <w:tc>
          <w:tcPr>
            <w:tcW w:w="2480" w:type="dxa"/>
            <w:vAlign w:val="bottom"/>
          </w:tcPr>
          <w:p>
            <w:pPr>
              <w:ind w:left="74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Niagara Refining LLC</w:t>
            </w:r>
          </w:p>
        </w:tc>
        <w:tc>
          <w:tcPr>
            <w:tcW w:w="2480" w:type="dxa"/>
            <w:vAlign w:val="bottom"/>
          </w:tcPr>
          <w:p>
            <w:pPr>
              <w:ind w:left="740"/>
              <w:spacing w:after="0"/>
              <w:rPr>
                <w:sz w:val="20"/>
                <w:szCs w:val="20"/>
                <w:color w:val="auto"/>
              </w:rPr>
            </w:pPr>
            <w:r>
              <w:rPr>
                <w:rFonts w:ascii="Arial" w:cs="Arial" w:eastAsia="Arial" w:hAnsi="Arial"/>
                <w:sz w:val="18"/>
                <w:szCs w:val="18"/>
                <w:color w:val="auto"/>
              </w:rPr>
              <w:t>United States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Nui Phao H.C. Starck Tungsten Chemicals Manufacturing LLC</w:t>
            </w:r>
          </w:p>
        </w:tc>
        <w:tc>
          <w:tcPr>
            <w:tcW w:w="2480" w:type="dxa"/>
            <w:vAlign w:val="bottom"/>
          </w:tcPr>
          <w:p>
            <w:pPr>
              <w:ind w:left="740"/>
              <w:spacing w:after="0"/>
              <w:rPr>
                <w:sz w:val="20"/>
                <w:szCs w:val="20"/>
                <w:color w:val="auto"/>
              </w:rPr>
            </w:pPr>
            <w:r>
              <w:rPr>
                <w:rFonts w:ascii="Arial" w:cs="Arial" w:eastAsia="Arial" w:hAnsi="Arial"/>
                <w:sz w:val="18"/>
                <w:szCs w:val="18"/>
                <w:color w:val="auto"/>
              </w:rPr>
              <w:t>Viet Nam</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Philippine Chuangxin Industrial Co., Inc.</w:t>
            </w:r>
          </w:p>
        </w:tc>
        <w:tc>
          <w:tcPr>
            <w:tcW w:w="2480" w:type="dxa"/>
            <w:vAlign w:val="bottom"/>
          </w:tcPr>
          <w:p>
            <w:pPr>
              <w:ind w:left="740"/>
              <w:spacing w:after="0"/>
              <w:rPr>
                <w:sz w:val="20"/>
                <w:szCs w:val="20"/>
                <w:color w:val="auto"/>
              </w:rPr>
            </w:pPr>
            <w:r>
              <w:rPr>
                <w:rFonts w:ascii="Arial" w:cs="Arial" w:eastAsia="Arial" w:hAnsi="Arial"/>
                <w:sz w:val="18"/>
                <w:szCs w:val="18"/>
                <w:color w:val="auto"/>
              </w:rPr>
              <w:t>Philippines</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South-East Nonferrous Metal Company Limited of Hengyang City</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Tejing (Vietnam)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Viet Nam</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Unecha Refractory metals plant</w:t>
            </w:r>
          </w:p>
        </w:tc>
        <w:tc>
          <w:tcPr>
            <w:tcW w:w="2480" w:type="dxa"/>
            <w:vAlign w:val="bottom"/>
          </w:tcPr>
          <w:p>
            <w:pPr>
              <w:ind w:left="740"/>
              <w:spacing w:after="0"/>
              <w:rPr>
                <w:sz w:val="20"/>
                <w:szCs w:val="20"/>
                <w:color w:val="auto"/>
              </w:rPr>
            </w:pPr>
            <w:r>
              <w:rPr>
                <w:rFonts w:ascii="Arial" w:cs="Arial" w:eastAsia="Arial" w:hAnsi="Arial"/>
                <w:sz w:val="18"/>
                <w:szCs w:val="18"/>
                <w:color w:val="auto"/>
              </w:rPr>
              <w:t>Russian Federation</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Vietnam Youngsun Tungsten Industry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Viet Nam</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Wolfram Bergbau und Hutten AG</w:t>
            </w:r>
          </w:p>
        </w:tc>
        <w:tc>
          <w:tcPr>
            <w:tcW w:w="2480" w:type="dxa"/>
            <w:vAlign w:val="bottom"/>
          </w:tcPr>
          <w:p>
            <w:pPr>
              <w:ind w:left="740"/>
              <w:spacing w:after="0"/>
              <w:rPr>
                <w:sz w:val="20"/>
                <w:szCs w:val="20"/>
                <w:color w:val="auto"/>
              </w:rPr>
            </w:pPr>
            <w:r>
              <w:rPr>
                <w:rFonts w:ascii="Arial" w:cs="Arial" w:eastAsia="Arial" w:hAnsi="Arial"/>
                <w:sz w:val="18"/>
                <w:szCs w:val="18"/>
                <w:color w:val="auto"/>
              </w:rPr>
              <w:t>Austria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Woltech Korea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Korea, Republic of</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Xiamen Tungsten (H.C.)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Xiamen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Xinfeng Huarui Tungsten &amp; Molybdenum New Material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r>
        <w:trPr>
          <w:trHeight w:val="297"/>
        </w:trPr>
        <w:tc>
          <w:tcPr>
            <w:tcW w:w="980" w:type="dxa"/>
            <w:vAlign w:val="bottom"/>
          </w:tcPr>
          <w:p>
            <w:pPr>
              <w:ind w:left="40"/>
              <w:spacing w:after="0"/>
              <w:rPr>
                <w:sz w:val="20"/>
                <w:szCs w:val="20"/>
                <w:color w:val="auto"/>
              </w:rPr>
            </w:pPr>
            <w:r>
              <w:rPr>
                <w:rFonts w:ascii="Arial" w:cs="Arial" w:eastAsia="Arial" w:hAnsi="Arial"/>
                <w:sz w:val="18"/>
                <w:szCs w:val="18"/>
                <w:color w:val="auto"/>
              </w:rPr>
              <w:t>Tungsten</w:t>
            </w:r>
          </w:p>
        </w:tc>
        <w:tc>
          <w:tcPr>
            <w:tcW w:w="5860" w:type="dxa"/>
            <w:vAlign w:val="bottom"/>
          </w:tcPr>
          <w:p>
            <w:pPr>
              <w:ind w:left="300"/>
              <w:spacing w:after="0"/>
              <w:rPr>
                <w:sz w:val="20"/>
                <w:szCs w:val="20"/>
                <w:color w:val="auto"/>
              </w:rPr>
            </w:pPr>
            <w:r>
              <w:rPr>
                <w:rFonts w:ascii="Arial" w:cs="Arial" w:eastAsia="Arial" w:hAnsi="Arial"/>
                <w:sz w:val="18"/>
                <w:szCs w:val="18"/>
                <w:color w:val="auto"/>
              </w:rPr>
              <w:t>Xinhai Rendan Shaoguan Tungsten Co., Ltd.</w:t>
            </w:r>
          </w:p>
        </w:tc>
        <w:tc>
          <w:tcPr>
            <w:tcW w:w="2480" w:type="dxa"/>
            <w:vAlign w:val="bottom"/>
          </w:tcPr>
          <w:p>
            <w:pPr>
              <w:ind w:left="740"/>
              <w:spacing w:after="0"/>
              <w:rPr>
                <w:sz w:val="20"/>
                <w:szCs w:val="20"/>
                <w:color w:val="auto"/>
              </w:rPr>
            </w:pPr>
            <w:r>
              <w:rPr>
                <w:rFonts w:ascii="Arial" w:cs="Arial" w:eastAsia="Arial" w:hAnsi="Arial"/>
                <w:sz w:val="18"/>
                <w:szCs w:val="18"/>
                <w:color w:val="auto"/>
              </w:rPr>
              <w:t>China</w:t>
            </w:r>
          </w:p>
        </w:tc>
        <w:tc>
          <w:tcPr>
            <w:tcW w:w="1920" w:type="dxa"/>
            <w:vAlign w:val="bottom"/>
          </w:tcPr>
          <w:p>
            <w:pPr>
              <w:ind w:left="380"/>
              <w:spacing w:after="0"/>
              <w:rPr>
                <w:sz w:val="20"/>
                <w:szCs w:val="20"/>
                <w:color w:val="auto"/>
              </w:rPr>
            </w:pPr>
            <w:r>
              <w:rPr>
                <w:rFonts w:ascii="Arial" w:cs="Arial" w:eastAsia="Arial" w:hAnsi="Arial"/>
                <w:sz w:val="18"/>
                <w:szCs w:val="18"/>
                <w:color w:val="auto"/>
              </w:rPr>
              <w:t>Compliant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240" w:top="78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2019-12-06T17:36:11Z</dcterms:created>
  <dcterms:modified xsi:type="dcterms:W3CDTF">2019-12-06T17:36:11Z</dcterms:modified>
</cp:coreProperties>
</file>