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473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473440"/>
                    </a:xfrm>
                    <a:prstGeom prst="rect">
                      <a:avLst/>
                    </a:prstGeom>
                    <a:noFill/>
                  </pic:spPr>
                </pic:pic>
              </a:graphicData>
            </a:graphic>
          </wp:anchor>
        </w:drawing>
      </w:r>
    </w:p>
    <w:p>
      <w:pPr>
        <w:spacing w:after="0" w:line="1160" w:lineRule="exact"/>
        <w:rPr>
          <w:sz w:val="24"/>
          <w:szCs w:val="24"/>
          <w:color w:val="auto"/>
        </w:rPr>
      </w:pPr>
    </w:p>
    <w:p>
      <w:pPr>
        <w:sectPr>
          <w:pgSz w:w="11900" w:h="16897" w:orient="portrait"/>
          <w:cols w:equalWidth="0" w:num="2">
            <w:col w:w="2300" w:space="320"/>
            <w:col w:w="8440"/>
          </w:cols>
          <w:pgMar w:left="460" w:top="216" w:right="37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Casdin Eli</w:t>
              </w:r>
            </w:hyperlink>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STANDARD BIOTOOLS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840" w:type="dxa"/>
            <w:vAlign w:val="bottom"/>
            <w:tcBorders>
              <w:bottom w:val="single" w:sz="8" w:color="0000EE"/>
            </w:tcBorders>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7" w:orient="portrait"/>
          <w:cols w:equalWidth="0" w:num="1">
            <w:col w:w="11060"/>
          </w:cols>
          <w:pgMar w:left="460" w:top="216" w:right="37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02109</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97" w:orient="portrait"/>
          <w:cols w:equalWidth="0" w:num="2">
            <w:col w:w="7540" w:space="720"/>
            <w:col w:w="2800"/>
          </w:cols>
          <w:pgMar w:left="460" w:top="216" w:right="379" w:bottom="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19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Borders>
              <w:bottom w:val="single" w:sz="8" w:color="2C2C2C"/>
            </w:tcBorders>
          </w:tcPr>
          <w:p>
            <w:pPr>
              <w:jc w:val="right"/>
              <w:ind w:right="76"/>
              <w:spacing w:after="0"/>
              <w:rPr>
                <w:sz w:val="20"/>
                <w:szCs w:val="20"/>
                <w:color w:val="auto"/>
              </w:rPr>
            </w:pPr>
            <w:r>
              <w:rPr>
                <w:rFonts w:ascii="Times New Roman" w:cs="Times New Roman" w:eastAsia="Times New Roman" w:hAnsi="Times New Roman"/>
                <w:sz w:val="17"/>
                <w:szCs w:val="17"/>
                <w:color w:val="0000FF"/>
              </w:rPr>
              <w:t>06/18/2026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99,116</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3,053,169</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Private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13,939,637</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Private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2,744,219</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72,100,000</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Borders>
              <w:bottom w:val="single" w:sz="8" w:color="2C2C2C"/>
            </w:tcBorders>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(4)</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04"/>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0.8297</w:t>
            </w:r>
          </w:p>
        </w:tc>
        <w:tc>
          <w:tcPr>
            <w:tcW w:w="15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0000FF"/>
              </w:rPr>
              <w:t>175,923</w:t>
            </w: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06/18/2036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175,923</w:t>
            </w:r>
          </w:p>
        </w:tc>
        <w:tc>
          <w:tcPr>
            <w:tcW w:w="560" w:type="dxa"/>
            <w:vAlign w:val="bottom"/>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0000FF"/>
              </w:rPr>
              <w:t>175,923</w:t>
            </w:r>
          </w:p>
        </w:tc>
        <w:tc>
          <w:tcPr>
            <w:tcW w:w="360" w:type="dxa"/>
            <w:vAlign w:val="bottom"/>
          </w:tcPr>
          <w:p>
            <w:pPr>
              <w:ind w:left="280"/>
              <w:spacing w:after="0"/>
              <w:rPr>
                <w:sz w:val="20"/>
                <w:szCs w:val="20"/>
                <w:color w:val="auto"/>
              </w:rPr>
            </w:pPr>
            <w:r>
              <w:rPr>
                <w:rFonts w:ascii="Times New Roman" w:cs="Times New Roman" w:eastAsia="Times New Roman" w:hAnsi="Times New Roman"/>
                <w:sz w:val="11"/>
                <w:szCs w:val="11"/>
                <w:color w:val="0000FF"/>
                <w:w w:val="74"/>
              </w:rPr>
              <w:t>D</w:t>
            </w:r>
          </w:p>
        </w:tc>
      </w:tr>
      <w:tr>
        <w:trPr>
          <w:trHeight w:val="90"/>
        </w:trPr>
        <w:tc>
          <w:tcPr>
            <w:tcW w:w="62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Units ("RSUs") that vest in full on the earlier to occur of June 18, 2027 and one day prior to the date of the Company's next annual meeting of stockholders, subject to the Reporting</w:t>
      </w:r>
    </w:p>
    <w:p>
      <w:pPr>
        <w:sectPr>
          <w:pgSz w:w="11900" w:h="16897" w:orient="portrait"/>
          <w:cols w:equalWidth="0" w:num="1">
            <w:col w:w="11060"/>
          </w:cols>
          <w:pgMar w:left="460" w:top="216" w:right="3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Person's continued service through the applicable vesting date. Each RSU represents the right to receive one share of common stock upon vesting.</w:t>
      </w:r>
    </w:p>
    <w:p>
      <w:pPr>
        <w:spacing w:after="0" w:line="41" w:lineRule="exact"/>
        <w:rPr>
          <w:sz w:val="20"/>
          <w:szCs w:val="20"/>
          <w:color w:val="auto"/>
        </w:rPr>
      </w:pPr>
    </w:p>
    <w:p>
      <w:pPr>
        <w:ind w:right="460"/>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Capital, LLC ("Casdin"), the investment adviser to the Equity Fund II, and (ii) Eli Casdin, the managing member of Casdin.</w:t>
      </w:r>
    </w:p>
    <w:p>
      <w:pPr>
        <w:spacing w:after="0" w:line="19" w:lineRule="exact"/>
        <w:rPr>
          <w:rFonts w:ascii="Times New Roman" w:cs="Times New Roman" w:eastAsia="Times New Roman" w:hAnsi="Times New Roman"/>
          <w:sz w:val="13"/>
          <w:szCs w:val="13"/>
          <w:color w:val="008000"/>
        </w:rPr>
      </w:pPr>
    </w:p>
    <w:p>
      <w:pPr>
        <w:ind w:right="300"/>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19" w:lineRule="exact"/>
        <w:rPr>
          <w:rFonts w:ascii="Times New Roman" w:cs="Times New Roman" w:eastAsia="Times New Roman" w:hAnsi="Times New Roman"/>
          <w:sz w:val="13"/>
          <w:szCs w:val="13"/>
          <w:color w:val="008000"/>
        </w:rPr>
      </w:pPr>
    </w:p>
    <w:p>
      <w:pPr>
        <w:ind w:right="100"/>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the investment adviser to the Master Fund, (ii) Casdin Partners GP, LLC, the general partner of the Master Fund (the "GP"), and (iii) Eli Casdin, the managing member of Casdin and the GP.</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18, 2026, subject to the Reporting Person's continued service through the applicable vesting date.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3"/>
          <w:szCs w:val="13"/>
          <w:color w:val="008000"/>
        </w:rPr>
        <w:t>The Reporting Person disclaims beneficial ownership in the securities reported on this Form 4 except to the extent of his pecuniary interest, if any, therein, and this report shall not be deemed to be an admission that the Reporting Person is the beneficial owner of such securities for purposes of Section 16 or for any other purpose.</w:t>
      </w:r>
    </w:p>
    <w:p>
      <w:pPr>
        <w:spacing w:after="0" w:line="2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 Casdin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06/23/2026</w:t>
            </w:r>
          </w:p>
        </w:tc>
      </w:tr>
      <w:tr>
        <w:trPr>
          <w:trHeight w:val="20"/>
        </w:trPr>
        <w:tc>
          <w:tcPr>
            <w:tcW w:w="8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4264"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2026-06-23T17:11:05Z</dcterms:created>
  <dcterms:modified xsi:type="dcterms:W3CDTF">2026-06-23T17:11:05Z</dcterms:modified>
</cp:coreProperties>
</file>