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&amp; DEVELOPMENT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4,483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4.0828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1,220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4.4461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14.44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4,483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4.0828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4,483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11/17/2019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4.4461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1,220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04/23/2018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Jones were effected pursuant to a Rule 10b5-1 trading plan adopted on February 24,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61% of the shares subject to the Option vested on December 31, 2009, 25% of the remaining 39% of the shares subject to the Option vested on April 1, 2010 and 1/48th of the remaining 39% of the shares subject to the Option shall vest each month thereafter such that all shares subject to the Option shall be fully vested on April 1,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fully vested on March 22, 2010.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2019-12-17T16:42:01Z</dcterms:created>
  <dcterms:modified xsi:type="dcterms:W3CDTF">2019-12-17T16:42:01Z</dcterms:modified>
</cp:coreProperties>
</file>