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18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 Tower Place, Suite 2000</w:t>
            </w:r>
          </w:p>
        </w:tc>
        <w:tc>
          <w:tcPr>
            <w:tcW w:w="1740" w:type="dxa"/>
            <w:vAlign w:val="bottom"/>
          </w:tcPr>
          <w:p>
            <w:pPr>
              <w:spacing w:after="0"/>
              <w:rPr>
                <w:sz w:val="24"/>
                <w:szCs w:val="24"/>
                <w:color w:val="auto"/>
              </w:rPr>
            </w:pPr>
          </w:p>
        </w:tc>
      </w:tr>
      <w:tr>
        <w:trPr>
          <w:trHeight w:val="220"/>
        </w:trPr>
        <w:tc>
          <w:tcPr>
            <w:tcW w:w="218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740" w:type="dxa"/>
            <w:vAlign w:val="bottom"/>
          </w:tcPr>
          <w:p>
            <w:pPr>
              <w:spacing w:after="0"/>
              <w:rPr>
                <w:sz w:val="19"/>
                <w:szCs w:val="19"/>
                <w:color w:val="auto"/>
              </w:rPr>
            </w:pPr>
          </w:p>
        </w:tc>
      </w:tr>
      <w:tr>
        <w:trPr>
          <w:trHeight w:val="234"/>
        </w:trPr>
        <w:tc>
          <w:tcPr>
            <w:tcW w:w="218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4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174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4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4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Change of Control and Severance Plan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27, 2024, the Human Capital Committee of the Board of Directors (the “Board”) of Standard BioTools Inc. (the “Company”) approved the Company’s 2024 Change of Control and Severance Plan and Participation Agreement thereunder (the “2024 Severance Plan”). The 2024 Severance Plan has a term until August 4, 2026 (the “Term”). The 2024 Severance Plan is intended to provide certain payments of cash severance and other benefits to the Company’s executive leadership team in the event of a qualifying termination of employment with the Company, other than for the Company’s Chief Executive Officer who is party to a Participation Agreement under the Company’s 2023 Change of Control and Severance Plan (the “2023 Severance Plan”).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members of the Company’s executive leadership team and certain other designated employees are eligible to participate in the 2024 Severance Plan and to receive benefits thereunder. Each of Hanjoon Alex Kim (the Company’s Chief Operating Officer), David King, Ph.D. (the Company’s Senior Vice President of Global Research and Development), Agnieszka Gallagher (the Company’s Senior Vice President and Chief Legal Officer), Mona Abou-Sayed (the Company’s Senior Vice President of Standard BioTools Business System), Jeremy Davis (the Company’s Chief Commercial Officer), Anders Davas (the Company’s Senior Vice President of Global Operations), Betsy Jensen (the Company’s Chief Human Resources Officer), and Sean Mackay (the Company’s Chief Business Officer) have entered into Participation Agreements under the 2024 Severance Plan. For such individuals, the 2024 Severance Plan supersedes the severance and/or change in control related benefits previously provided to such individuals under t</w:t>
      </w:r>
      <w:r>
        <w:rPr>
          <w:rFonts w:ascii="Times New Roman" w:cs="Times New Roman" w:eastAsia="Times New Roman" w:hAnsi="Times New Roman"/>
          <w:sz w:val="18"/>
          <w:szCs w:val="18"/>
          <w:color w:val="231F20"/>
        </w:rPr>
        <w:t>he Company’s 2023</w:t>
      </w:r>
      <w:r>
        <w:rPr>
          <w:rFonts w:ascii="Times New Roman" w:cs="Times New Roman" w:eastAsia="Times New Roman" w:hAnsi="Times New Roman"/>
          <w:sz w:val="18"/>
          <w:szCs w:val="18"/>
          <w:color w:val="auto"/>
        </w:rPr>
        <w:t xml:space="preserve"> Severance Plan and any prior </w:t>
      </w:r>
      <w:r>
        <w:rPr>
          <w:rFonts w:ascii="Times New Roman" w:cs="Times New Roman" w:eastAsia="Times New Roman" w:hAnsi="Times New Roman"/>
          <w:sz w:val="18"/>
          <w:szCs w:val="18"/>
          <w:color w:val="231F20"/>
        </w:rPr>
        <w:t>employment and severance agreements.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2024 Severance Plan, if the executive’s employment is terminated outside of the period beginning three months before a Change of Control (as defined in the 2024 Severance Plan) and ending 12 months after a Change of Control (such period, the “Change of Control Period”) for a reason other than Cause (as defined in the 2024 Severance Plan) or the executive’s death or Disability (as defined in the 2024 Severance Plan), then, subject to the severance conditions provided in the 2024 Severance Plan, the executive will be entitled to receive the following severance benefits: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Continued payments (less applicable withholdings) totaling 100% of the executive’s annual base salary in effect as of the date of termination in equal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installments over a period of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pro-rated lump-sum payment of the executive’s annual target bonus in effect immediately prior to the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332"/>
        <w:spacing w:after="0" w:line="250" w:lineRule="auto"/>
        <w:tabs>
          <w:tab w:leader="none" w:pos="4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Reimbursement of costs of continued health coverage for the executive, his or her spouse, and/or his or her dependents, as applicable, for a period of up to 12 months.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the termination occurs prior to the end of the Term, 100% vesting acceleration of the executive’s then-outstanding and unvested equity awards, provided that, if an equity award is to vest and/or the amount of the award to vest is to be determined based on the achievement of performance criteria, then, unless expressly otherwise provided in the applicable equity award agreement, 100% of such equity award will vest assuming the applicable performance criteria had been achieved at target levels for the relevant performance period(s).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Reasonable outplacement services in accordance with any applicable policy of the Company that is in effect as of the executive’s termination (or if no such policy is in effect, as determined by the Company).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Under the 2024 Severance Plan, if an executive’s employment is terminated within the Change of Control Period either (i) by the Company for a reason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Cause or the executive’s death or Disability or (ii) by the executive for Good Reason (as defined in the executive’s Participation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2024 Severance Plan), then, subject to the severance conditions provided in the 2024 Severance Plan, the executive will be entitled to receive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severance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A lump-sum payment (less applicable withholdings) totaling 150% of the sum of (x) his or her annual base salary (as in effect immediately before termination or immediately before the Change of Control, whichever is higher) plus (y) the greater of (A) his or her annual target cash incentive (as in effect immediately before termination or immediately before the Change of Control, whichever is higher) or (B) the average of the annual cash incentives actually paid to him or her for the three fiscal years preceding the year in which his or her termination occurs.  </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pro-rated lump-sum payment of the executive’s annual target bonus in effect immediately prior to the Change of Control or the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whichever is greater.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Reimbursement of costs for continued health coverage for the executive, his or her spouse, and/or his or her dependents, as applicable, for a period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18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100% vesting acceleration of his or her then-outstanding and unvested equity awards, provided that, if an equity award is to vest and/or the amount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to vest is to be determined based on the achievement of performance criteria, then, unless otherwise provided in the applicable equity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100% of such equity award will vest assuming the applicable performance criteria had been achieved at target levels for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foregoing description of the 2024 Severance Plan and the Participation Agreement thereunder does not purport to be complete and is qualified in its entirety by reference to the full text of the 2024 Severance Plan, including the Participation Agreement thereunder, a copy of which is filed as Exhibit 10.1 to this Current Report on Form 8-K and is incorporated herein by reference.  </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114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3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420" w:type="dxa"/>
            <w:vAlign w:val="bottom"/>
            <w:tcBorders>
              <w:bottom w:val="single" w:sz="8" w:color="0000EE"/>
            </w:tcBorders>
          </w:tcPr>
          <w:p>
            <w:pPr>
              <w:jc w:val="right"/>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36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2024 Change of Control and Severance Plan and Participation Agreement.</w:t>
            </w:r>
          </w:p>
        </w:tc>
        <w:tc>
          <w:tcPr>
            <w:tcW w:w="4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1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30, 2024</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Egholm, Ph.D.</w:t>
            </w: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Egholm, Ph.D.</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59"/>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2024 CHANGE OF CONTROL AND SEVERANCE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SUMMARY PLAN DESCRIPTION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Adopted August 27, 2024</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purpose of this Standard BioTools Inc. 2024 Change of Control and Severance Plan, or Plan (as defined in Section 2 below), is to provide assurances of specified benefits to certain employees of the Company whose employment is subject to being involuntarily terminated other than for death, Disability, or Cause or voluntarily terminated for Good Reason under the circumstances described herein. This Plan is an “employee welfare benefit plan,” as defined in Section 3(1) of the U.S.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This document constitutes both the written instrument under which the Plan is maintained and the required summary plan description for the Plan. This Plan is a replacement for that certain Standard BioTools Inc. Change of Control and Severance Plan and Summary Plan Description adopted by the Compensation Committee of Standard BioTools Inc. on August 4, 2023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The Prior Plan expires according to its terms and will not be renewed. By becoming a Participant under this Plan (and immediately upon execution of the Participation Agreement), the Participant expressly acknowledges that Participant will cease being a participant under or entitled to any benefits under the Prior Plan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b w:val="1"/>
          <w:bCs w:val="1"/>
          <w:color w:val="auto"/>
        </w:rPr>
        <w:t>Important Terms</w:t>
      </w:r>
      <w:r>
        <w:rPr>
          <w:rFonts w:ascii="Times New Roman" w:cs="Times New Roman" w:eastAsia="Times New Roman" w:hAnsi="Times New Roman"/>
          <w:sz w:val="17"/>
          <w:szCs w:val="17"/>
          <w:color w:val="auto"/>
        </w:rPr>
        <w:t>. The following words and phrases, when the initial letter of the term is capitalized, will have the meanings set forth in this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unless a different meaning is plainly required by the context:</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Company, acting through the Compensation Committee or another duly constituted committee of members of the Board, or any person to whom the Administrator has delegated any authority or responsibility with respect to the Plan pursuant to Section 12, but only to the extent of such delegation.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exists upon (i) a Participant’s conviction of, or plea of guilty or nolo contendere to, any crime involving dishonesty or moral turpitude or any felony; or (ii) a Participant’s (a) engagement in material dishonesty, willful misconduct, or gross negligence—in each case in connection with the Participant’s position at the Company; (b) breach of any confidentiality, invention assignment, non-disclosure, or non-solicitation agreement entered into between the Company and the Participant; (c) material violation of a written Company policy or procedure that has been provided to the Participant, which violation causes substantial injury to the Company; or (d) willful refusal to perform the Participant’s assigned duties to the Company, following written notice of such refusal by the Company and a period of fifteen (15) days to cure the same and the Participant’s failure to cure during such time period. No act or omission shall be considered “willful” if such act or omission was done, or not done, in the reasonable, good-faith belief that such act or omission was in the best interests of the Company or upon the advice of counsel to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   2.4.1. </w:t>
      </w: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that occurs on the date that any one person, or more than one person acting as a group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acquires ownership of the stock of the Company that, together with the stock held by such Person, constitutes more than fifty percent (50%) of the total voting power of the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the acquisition of additional stock by any one Person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direct or indirect beneficial ownership of fifty percent (50%) or more of the total voting power of the stock of the Company or of the ultimate parent entity of the Company in substantially the same proportions as their ownership of the Company’s voting stock immediately prior to the change in ownership, such event shall not be considered a Change in Control under this subsection. For this purpose, indirect beneficial ownership shall include, without limitation, an interest resulting from ownership of the voting securities of one or more corporations or other business entities that own the Company, as the case may be, either directly or through one or more subsidiary corporations or other business entities.</w:t>
      </w:r>
    </w:p>
    <w:p>
      <w:pPr>
        <w:spacing w:after="0" w:line="18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A change in the effective control of the Company that occurs on the date that a majority of members of the Board is replaced during any twenty-four (24) month period with individuals whose appointment or election to the Board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xml:space="preserve">. A change in the ownership of a substantial portion of the Company’s assets that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2.4.3,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as to which fifty percent (50%) or more of the total value or voting power is owned, directly or indirectly, by the Company; (iii) a Person that owns, directly or indirectly, fifty percent (50%) or more of the total value or voting power of all the outstanding stock of the Company; or (iv) an entity as to which at least fifty percent (50%) of the total value or voting power is owned, directly or indirectly, by a Person described in 2.4.3(b)(iii). For purposes of this subsection 2.4.3,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Notwithstanding any of the foregoing, however</w:t>
      </w:r>
      <w:r>
        <w:rPr>
          <w:rFonts w:ascii="Times New Roman" w:cs="Times New Roman" w:eastAsia="Times New Roman" w:hAnsi="Times New Roman"/>
          <w:sz w:val="18"/>
          <w:szCs w:val="18"/>
          <w:color w:val="auto"/>
        </w:rPr>
        <w:t>, in any circumstance or transaction in which compensation or benefits paid under this Plan would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imposition of an additional tax under Section 409A of the Code (as defined below) if the foregoing definition of “Change of Control” were to apply, but would not result in the imposition of any additional tax if the term “Change of Control” were defined herein to mean a “change in control event” within the meaning of Treasury Regulation Section 1.409A-3(i)(5), then “Change of Control” shall mean a “change in control event” within the meaning of Treasury Regulation Section 1.409A-3(i)(5), but only to the extent necessary to prevent such compensation from becoming subject to an additional tax under Section 409A.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and for the avoidance of doubt</w:t>
      </w:r>
      <w:r>
        <w:rPr>
          <w:rFonts w:ascii="Times New Roman" w:cs="Times New Roman" w:eastAsia="Times New Roman" w:hAnsi="Times New Roman"/>
          <w:sz w:val="18"/>
          <w:szCs w:val="18"/>
          <w:color w:val="auto"/>
        </w:rPr>
        <w:t>, a transaction will not constitute a Change in Control if:</w:t>
      </w:r>
    </w:p>
    <w:p>
      <w:pPr>
        <w:spacing w:after="0" w:line="227" w:lineRule="exact"/>
        <w:rPr>
          <w:sz w:val="20"/>
          <w:szCs w:val="20"/>
          <w:color w:val="auto"/>
        </w:rPr>
      </w:pPr>
    </w:p>
    <w:p>
      <w:pPr>
        <w:ind w:firstLine="8"/>
        <w:spacing w:after="0" w:line="282" w:lineRule="auto"/>
        <w:tabs>
          <w:tab w:leader="none" w:pos="2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58"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Change of Control Period</w:t>
      </w:r>
      <w:r>
        <w:rPr>
          <w:rFonts w:ascii="Times New Roman" w:cs="Times New Roman" w:eastAsia="Times New Roman" w:hAnsi="Times New Roman"/>
          <w:sz w:val="18"/>
          <w:szCs w:val="18"/>
          <w:color w:val="auto"/>
        </w:rPr>
        <w:t>” means the time period beginning three (3) months prior to a Change of Control (or three months prior to signing of a definitive agreement to consummate a Change of Control if the Company enters into such an agreement) and ending on the date that is twelve (12) months following the Change of Control.</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Standard BioTools Inc. and any successor that assumes the obligations of the Company under the Plan by way of merger, acquisition, consolidation or other transaction.</w:t>
      </w:r>
    </w:p>
    <w:p>
      <w:pPr>
        <w:spacing w:after="0" w:line="15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means that Participant has been unable to perform his or her Company duties as the result of Participant’s incapacity due to physical or mental illness, and such inability, at least twenty-six (26) weeks after its commencement, is determined to be total and permanent by a physician selected by the Company or its insurers and acceptable to Participant or Participant’s legal representative (such agreement as to acceptability not to be unreasonably withheld). Termination resulting from Disability may only be effected after at least 30 days’ written notice by the Company of its intention to terminate Participant’s employment. In the event that Participant resumes the performance of substantially all of his or her duties hereunder before the termination of employment becomes effective, the notice of intent to terminate will automatically be deemed to have been revoked.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August 27, 2024, which is the date the Plan was deemed effective by the Compensation Committee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a Participant’s outstanding stock options, stock appreciation rights, restricted stock, restricted stock units, performance shares, performance stock units, and any other Company equity compensation awards.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has the meaning set forth in the Participant’s Participation Agreement.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means a Non-COC Involuntary Termination or a COC Involuntary Termination, in each case, under the circumstances described in Section 4 or Section 5, as applicable.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employee of the Company or of any parent or subsidiary of the Company who (a) has been designated by the Administrator to participate in the Plan and (b) has timely and properly executed and delivered a Participation Agreement to the Company.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Participation Agreement</w:t>
      </w:r>
      <w:r>
        <w:rPr>
          <w:rFonts w:ascii="Times New Roman" w:cs="Times New Roman" w:eastAsia="Times New Roman" w:hAnsi="Times New Roman"/>
          <w:sz w:val="18"/>
          <w:szCs w:val="18"/>
          <w:color w:val="auto"/>
        </w:rPr>
        <w:t xml:space="preserve">” means the individual agreement (as will be provided in separate cover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provided by the Administrator to a Participant under the Plan, which has been signed and accepted by the Participant.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Standard BioTools Inc. 2024 Change of Control and Severance Plan as set forth in this document and as hereafter amended from time to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final regulations and any guidance promulgated thereunder.</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Section 409A Limit</w:t>
      </w:r>
      <w:r>
        <w:rPr>
          <w:rFonts w:ascii="Times New Roman" w:cs="Times New Roman" w:eastAsia="Times New Roman" w:hAnsi="Times New Roman"/>
          <w:sz w:val="18"/>
          <w:szCs w:val="18"/>
          <w:color w:val="auto"/>
        </w:rPr>
        <w:t>” means two (2) times the lesser of: (i) the Participant’s annualized compensation based upon the annual rate of pay paid to the Participant during the taxable year preceding the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Participant’s employment is terminated.</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 means the compensation and other benefits that the Participant will be provided in the circumstances described in Section 4 or Section 5 of the Plan, as applicable.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Eligibility for Severance Benefits</w:t>
      </w:r>
      <w:r>
        <w:rPr>
          <w:rFonts w:ascii="Times New Roman" w:cs="Times New Roman" w:eastAsia="Times New Roman" w:hAnsi="Times New Roman"/>
          <w:sz w:val="18"/>
          <w:szCs w:val="18"/>
          <w:color w:val="auto"/>
        </w:rPr>
        <w:t>. An individual is eligible for Severance Benefits under the Plan, as described in Section 4 or Section 5, as applicable, only if he or she experiences an Involuntary Termination.</w:t>
      </w:r>
    </w:p>
    <w:p>
      <w:pPr>
        <w:spacing w:after="0" w:line="15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b w:val="1"/>
          <w:bCs w:val="1"/>
          <w:color w:val="auto"/>
        </w:rPr>
        <w:t>Involuntary Termination Outside the Change of Control Period</w:t>
      </w:r>
      <w:r>
        <w:rPr>
          <w:rFonts w:ascii="Times New Roman" w:cs="Times New Roman" w:eastAsia="Times New Roman" w:hAnsi="Times New Roman"/>
          <w:sz w:val="17"/>
          <w:szCs w:val="17"/>
          <w:color w:val="auto"/>
        </w:rPr>
        <w:t>. If, outside of the Change of Control Period, the Company (or any parent or subsidiary of the Company) terminates the Participant’s employment for a reason other than for Cause, the Participant’s death or Disability (a “</w:t>
      </w:r>
      <w:r>
        <w:rPr>
          <w:rFonts w:ascii="Times New Roman" w:cs="Times New Roman" w:eastAsia="Times New Roman" w:hAnsi="Times New Roman"/>
          <w:sz w:val="17"/>
          <w:szCs w:val="17"/>
          <w:b w:val="1"/>
          <w:bCs w:val="1"/>
          <w:i w:val="1"/>
          <w:iCs w:val="1"/>
          <w:color w:val="auto"/>
        </w:rPr>
        <w:t>Non-COC Involuntary Termination</w:t>
      </w:r>
      <w:r>
        <w:rPr>
          <w:rFonts w:ascii="Times New Roman" w:cs="Times New Roman" w:eastAsia="Times New Roman" w:hAnsi="Times New Roman"/>
          <w:sz w:val="17"/>
          <w:szCs w:val="17"/>
          <w:color w:val="auto"/>
        </w:rPr>
        <w:t>”), subject to the Participant’s compliance with Section 7, the Participant will receive the following Severance Benefits: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b w:val="1"/>
          <w:bCs w:val="1"/>
          <w:color w:val="auto"/>
        </w:rPr>
        <w:t>Cash Severance Benefits</w:t>
      </w:r>
      <w:r>
        <w:rPr>
          <w:rFonts w:ascii="Times New Roman" w:cs="Times New Roman" w:eastAsia="Times New Roman" w:hAnsi="Times New Roman"/>
          <w:sz w:val="18"/>
          <w:szCs w:val="18"/>
          <w:color w:val="auto"/>
        </w:rPr>
        <w:t>. Continued payments of cash severance for the period set forth in the Participant’s Participation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b w:val="1"/>
          <w:bCs w:val="1"/>
          <w:color w:val="auto"/>
        </w:rPr>
        <w:t>Continued Medical Benefits</w:t>
      </w:r>
      <w:r>
        <w:rPr>
          <w:rFonts w:ascii="Times New Roman" w:cs="Times New Roman" w:eastAsia="Times New Roman" w:hAnsi="Times New Roman"/>
          <w:sz w:val="18"/>
          <w:szCs w:val="18"/>
          <w:color w:val="auto"/>
        </w:rPr>
        <w:t>. If the Participant and any spouse and/or other dependents of the Participant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have coverage on the date of the Participant’s Involuntary Termination under a group health plan sponsored by the Company, the Company will pay on behalf of Participant the total applicable premium cost for continued group health plan coverage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during the period of time following the Participant’s employment termination, as set forth in the Participant’s Participation Agreement, provided that the Participant validly elects and is eligible to continue coverage under COBRA for the Participant and any such Family Members; and</w:t>
      </w:r>
    </w:p>
    <w:p>
      <w:pPr>
        <w:spacing w:after="0" w:line="182"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b w:val="1"/>
          <w:bCs w:val="1"/>
          <w:color w:val="auto"/>
        </w:rPr>
        <w:t>Outplacement Services</w:t>
      </w:r>
      <w:r>
        <w:rPr>
          <w:rFonts w:ascii="Times New Roman" w:cs="Times New Roman" w:eastAsia="Times New Roman" w:hAnsi="Times New Roman"/>
          <w:sz w:val="18"/>
          <w:szCs w:val="18"/>
          <w:color w:val="auto"/>
        </w:rPr>
        <w:t>. Reasonable outplacement services in accordance with any applicable Company policy in effect as of the Participant’s Non-COC Involuntary Termination (or if no such policy is in effect, as determined by the Company, in its sole discretion).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Involuntary Termination During the Change of Control Period</w:t>
      </w:r>
      <w:r>
        <w:rPr>
          <w:rFonts w:ascii="Times New Roman" w:cs="Times New Roman" w:eastAsia="Times New Roman" w:hAnsi="Times New Roman"/>
          <w:sz w:val="18"/>
          <w:szCs w:val="18"/>
          <w:color w:val="auto"/>
        </w:rPr>
        <w:t>. If, during the Change of Control Period, (i) a Participant terminates his or her employment with the Company (or any parent or subsidiary of the Company) for Good Reason, or (ii) the Company (or any parent or subsidiary of the Company) terminates the Participant’s employment for a reason other than Cause or the Participant’s death or Disability (a “</w:t>
      </w:r>
      <w:r>
        <w:rPr>
          <w:rFonts w:ascii="Times New Roman" w:cs="Times New Roman" w:eastAsia="Times New Roman" w:hAnsi="Times New Roman"/>
          <w:sz w:val="18"/>
          <w:szCs w:val="18"/>
          <w:b w:val="1"/>
          <w:bCs w:val="1"/>
          <w:i w:val="1"/>
          <w:iCs w:val="1"/>
          <w:color w:val="auto"/>
        </w:rPr>
        <w:t>COC Involuntary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then, in each case, subject to the Participant’s compliance with Section 7, the Participant will receive the following Severance Benefits: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b w:val="1"/>
          <w:bCs w:val="1"/>
          <w:color w:val="auto"/>
        </w:rPr>
        <w:t>Cash Severance Benefits</w:t>
      </w:r>
      <w:r>
        <w:rPr>
          <w:rFonts w:ascii="Times New Roman" w:cs="Times New Roman" w:eastAsia="Times New Roman" w:hAnsi="Times New Roman"/>
          <w:sz w:val="18"/>
          <w:szCs w:val="18"/>
          <w:color w:val="auto"/>
        </w:rPr>
        <w:t>. A lump-sum payment of cash severance and/or bonus equal to the amount set forth in the Participant’s Participation Agreement;</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b w:val="1"/>
          <w:bCs w:val="1"/>
          <w:color w:val="auto"/>
        </w:rPr>
        <w:t>Equity Award Vesting Acceleration Benefit</w:t>
      </w:r>
      <w:r>
        <w:rPr>
          <w:rFonts w:ascii="Times New Roman" w:cs="Times New Roman" w:eastAsia="Times New Roman" w:hAnsi="Times New Roman"/>
          <w:sz w:val="18"/>
          <w:szCs w:val="18"/>
          <w:color w:val="auto"/>
        </w:rPr>
        <w:t>. The Participant’s Equity Awards will accelerate and vest to the amount set forth in the Participant’s Participation Agreement, as applicable;</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b w:val="1"/>
          <w:bCs w:val="1"/>
          <w:color w:val="auto"/>
        </w:rPr>
        <w:t>Continued Medical Benefits</w:t>
      </w:r>
      <w:r>
        <w:rPr>
          <w:rFonts w:ascii="Times New Roman" w:cs="Times New Roman" w:eastAsia="Times New Roman" w:hAnsi="Times New Roman"/>
          <w:sz w:val="18"/>
          <w:szCs w:val="18"/>
          <w:color w:val="auto"/>
        </w:rPr>
        <w:t>. If the Participant, and any Family Member(s) has/have coverage on the date of the Participant’s Involuntary Termination under a group health plan sponsored by the Company, the Company will pay on behalf of Participant the total applicable premium cost for continued group health plan coverage under the COBRA during the period of time following the Participant’s employment termination, as set forth in the Participant’s Participation Agreement, provided that the Participant validly elects and is eligible to continue coverage under COBRA for the Participant and his or her Family Members;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b w:val="1"/>
          <w:bCs w:val="1"/>
          <w:color w:val="auto"/>
        </w:rPr>
        <w:t>Outplacement Service</w:t>
      </w:r>
      <w:r>
        <w:rPr>
          <w:rFonts w:ascii="Times New Roman" w:cs="Times New Roman" w:eastAsia="Times New Roman" w:hAnsi="Times New Roman"/>
          <w:sz w:val="18"/>
          <w:szCs w:val="18"/>
          <w:color w:val="auto"/>
        </w:rPr>
        <w:t>s. Reasonable outplacement services in accordance with any applicable Company policy in effect as of the Participant’s COC Involuntary Termination (or if no such policy is in effect, as determined by the Company, in its sole discretion); provided, however, that such outplacement services shall be in no case less than the outplacement services provided under any applicable Company policy in effect immediately prior to the applicable Change of Control.</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color w:val="auto"/>
        </w:rPr>
        <w:t>Limitation on Payments</w:t>
      </w:r>
      <w:r>
        <w:rPr>
          <w:rFonts w:ascii="Times New Roman" w:cs="Times New Roman" w:eastAsia="Times New Roman" w:hAnsi="Times New Roman"/>
          <w:sz w:val="18"/>
          <w:szCs w:val="18"/>
          <w:color w:val="auto"/>
        </w:rPr>
        <w:t>. In the event that the severance and other benefits provided for in this Plan or otherwise (“</w:t>
      </w:r>
      <w:r>
        <w:rPr>
          <w:rFonts w:ascii="Times New Roman" w:cs="Times New Roman" w:eastAsia="Times New Roman" w:hAnsi="Times New Roman"/>
          <w:sz w:val="18"/>
          <w:szCs w:val="18"/>
          <w:b w:val="1"/>
          <w:bCs w:val="1"/>
          <w:i w:val="1"/>
          <w:iCs w:val="1"/>
          <w:color w:val="auto"/>
        </w:rPr>
        <w:t>280G Payments</w:t>
      </w:r>
      <w:r>
        <w:rPr>
          <w:rFonts w:ascii="Times New Roman" w:cs="Times New Roman" w:eastAsia="Times New Roman" w:hAnsi="Times New Roman"/>
          <w:sz w:val="18"/>
          <w:szCs w:val="18"/>
          <w:color w:val="auto"/>
        </w:rPr>
        <w:t>”) payable to a Participant (i) constitute “parachute payments” within the meaning of Section 280G of the Code, and (ii) but for this Section 6, would be subject to the excise tax imposed by Section 4999 of the Code, then the 280G Payments will be either:</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6.1.            delivered in full, or</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6.2.            delivered as to such lesser extent as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If a reduction in severance and other benefits constituting “parachute payments” is necessary so that benefits are delivered to a lesser extent, reduction will occur in the following order: (a) cancellation of awards granted “contingent on a change in ownership or control” (within the meaning of Code Section 280G); (b) a pro rata reduction of (i) cash payments that are subject to Section 409A as deferred compensation and (ii) cash payments not subject to Section 409A; (c) a pro rata reduction of (i) employee benefits that are subject to Section 409A as deferred compensation and (ii) employee benefits not subject to Section 409A; and (d) a pro rata cancellation of (i) accelerated vesting equity awards that are subject to Section 409A as deferred compensation and (ii) equity awards not subject to Section 409A. In the event that acceleration of vesting of equity awards is to be cancelled, such acceleration of vesting will be cancelled in the reverse order of the date of grant of the Participant’s equity awards. 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6.</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the Participant and the Company otherwise agree in writing, any determination required under this Section 6 will be made in writing by the Company’s independent public accountants immediately prior to the Change of Control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the Participant and the Company. For purposes of making the calculations required by this Section 6 the Firm may make reasonable assumptions and approximations concerning applicable taxes and may rely on reasonable, good faith interpretations concerning the application of Sections 280G and 4999 of the Code. The Participant and the Company will furnish to the Firm such information and documents as the Firm may reasonably request in order to make a determination under this Section 6. The Company will bear all costs the Firm may incur in connection with any calculations contemplated by this Section 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to Receipt of Severance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b w:val="1"/>
          <w:bCs w:val="1"/>
          <w:color w:val="auto"/>
        </w:rPr>
        <w:t>Release Agreement</w:t>
      </w:r>
      <w:r>
        <w:rPr>
          <w:rFonts w:ascii="Times New Roman" w:cs="Times New Roman" w:eastAsia="Times New Roman" w:hAnsi="Times New Roman"/>
          <w:sz w:val="18"/>
          <w:szCs w:val="18"/>
          <w:color w:val="auto"/>
        </w:rPr>
        <w:t xml:space="preserve">. As a condition to receiving the Severance Benefits under this Plan, each Participant will be required to sign and not revoke a separation and release of claims agreement in substantially the form attached this Plan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In all cases, the Release must become effective and irrevocable no later than the 60th day following the Participant’s Involuntary Termination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If the Release does not become effective and irrevocable by the Release Deadline Date, the Participant will forfeit any right to the Severance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In no event will the Severance Benefits be paid or provided until the Release becomes effective and irrevocable.</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b w:val="1"/>
          <w:bCs w:val="1"/>
          <w:color w:val="auto"/>
        </w:rPr>
        <w:t>Other Requirements</w:t>
      </w:r>
      <w:r>
        <w:rPr>
          <w:rFonts w:ascii="Times New Roman" w:cs="Times New Roman" w:eastAsia="Times New Roman" w:hAnsi="Times New Roman"/>
          <w:sz w:val="18"/>
          <w:szCs w:val="18"/>
          <w:color w:val="auto"/>
        </w:rPr>
        <w:t>. A Participant’s receipt of Severance Benefits will be subject to the Participant continuing to comply with the provisions of this Section 7 and the terms of any confidentiality, proprietary information and inventions agreement and such other appropriate agreement between the Participant and the Company. Severance Benefits under this Plan will terminate immediately for a Participant if the Participant, at any time, violates any such agreement and/or the provisions of this Section 7.</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color w:val="auto"/>
        </w:rPr>
        <w:t>Timing of Severance Benefits</w:t>
      </w:r>
      <w:r>
        <w:rPr>
          <w:rFonts w:ascii="Times New Roman" w:cs="Times New Roman" w:eastAsia="Times New Roman" w:hAnsi="Times New Roman"/>
          <w:sz w:val="18"/>
          <w:szCs w:val="18"/>
          <w:color w:val="auto"/>
        </w:rPr>
        <w:t>. Provided that the Release becomes effective and irrevocable by the Release Deadline Date and subject to Section 10, the Severance Benefits will be paid (or in the case of Severance Benefits scheduled to be paid installments, will commence) on the first Company payroll date following the Release Deadline Date (such payment date, the “</w:t>
      </w:r>
      <w:r>
        <w:rPr>
          <w:rFonts w:ascii="Times New Roman" w:cs="Times New Roman" w:eastAsia="Times New Roman" w:hAnsi="Times New Roman"/>
          <w:sz w:val="18"/>
          <w:szCs w:val="18"/>
          <w:b w:val="1"/>
          <w:bCs w:val="1"/>
          <w:i w:val="1"/>
          <w:iCs w:val="1"/>
          <w:color w:val="auto"/>
        </w:rPr>
        <w:t>Severance Start Date</w:t>
      </w:r>
      <w:r>
        <w:rPr>
          <w:rFonts w:ascii="Times New Roman" w:cs="Times New Roman" w:eastAsia="Times New Roman" w:hAnsi="Times New Roman"/>
          <w:sz w:val="18"/>
          <w:szCs w:val="18"/>
          <w:color w:val="auto"/>
        </w:rPr>
        <w:t>”), and any severance payments or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color w:val="auto"/>
        </w:rPr>
        <w:t>Exclusive Benefit</w:t>
      </w:r>
      <w:r>
        <w:rPr>
          <w:rFonts w:ascii="Times New Roman" w:cs="Times New Roman" w:eastAsia="Times New Roman" w:hAnsi="Times New Roman"/>
          <w:sz w:val="18"/>
          <w:szCs w:val="18"/>
          <w:color w:val="auto"/>
        </w:rPr>
        <w:t>. The benefits provided under this Plan shall be the exclusive benefit for a Participant related to termination of employment and/or change in control and shall supersede and replace any severance and/or change in control benefits set forth in any offer letter, employment agreement and/or severance agreement, including without limitation the Prior Plan. For the avoidance of doubt, if a Participant was otherwise eligible to participate in any other Company severance plan (whether or not subject to ERISA), then participation in this Plan will supersede and replace eligibility in such other plan.</w:t>
      </w:r>
    </w:p>
    <w:p>
      <w:pPr>
        <w:spacing w:after="0" w:line="17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10.1.           Notwithstanding anything to the contrary in this Plan, no severance payments or benefits to be paid or provided to a Participant, if any, under this Plan that, when considered together with any other severance payments or separation benefits, are considered deferred compensation under Section 409A (together, the “</w:t>
      </w:r>
      <w:r>
        <w:rPr>
          <w:rFonts w:ascii="Times New Roman" w:cs="Times New Roman" w:eastAsia="Times New Roman" w:hAnsi="Times New Roman"/>
          <w:sz w:val="17"/>
          <w:szCs w:val="17"/>
          <w:b w:val="1"/>
          <w:bCs w:val="1"/>
          <w:i w:val="1"/>
          <w:iCs w:val="1"/>
          <w:color w:val="auto"/>
        </w:rPr>
        <w:t>Deferred Payments</w:t>
      </w:r>
      <w:r>
        <w:rPr>
          <w:rFonts w:ascii="Times New Roman" w:cs="Times New Roman" w:eastAsia="Times New Roman" w:hAnsi="Times New Roman"/>
          <w:sz w:val="17"/>
          <w:szCs w:val="17"/>
          <w:color w:val="auto"/>
        </w:rPr>
        <w:t>”) will be paid or provided until the Participant has a “separation from service” within the meaning of Section 409A. Similarly, no severance payable to a Participant, if any, under this Plan that otherwise would be exempt from Section 409A pursuant to Treasury Regulation Section 1.409A 1(b)(9) will be payable until the Participant has a “separation from service” within the meaning of Section 409A.</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10.2.           It is intended that none of the severance payments or benefits under this Plan will constitute Deferred Payments but rather will be exempt from Section 409A as a payment that would fall within the “short-term deferral period” as described in Section 10.3 below or resulting from an involuntary separation from service as described in Section 10.4 below. In no event will a Participant have discretion to determine the taxable year of payment of any Deferred Payment.</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10.3.           Notwithstanding anything to the contrary in this Plan or in any Participation Agreement, if a Participant is a “specified employee” within the meaning of Section 409A at the time of the Participant’s separation from service (other than due to death), then the Deferred Payments, if any, that are payable within the first six (6) months following the Participant’s separation from service, will become payable on the date six</w:t>
      </w:r>
    </w:p>
    <w:p>
      <w:pPr>
        <w:spacing w:after="0" w:line="1" w:lineRule="exact"/>
        <w:rPr>
          <w:sz w:val="20"/>
          <w:szCs w:val="20"/>
          <w:color w:val="auto"/>
        </w:rPr>
      </w:pPr>
    </w:p>
    <w:p>
      <w:pPr>
        <w:jc w:val="both"/>
        <w:ind w:firstLine="8"/>
        <w:spacing w:after="0" w:line="252"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six- 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10.4.           Any amount paid under this Plan that satisfies the requirements of the “short-term deferral” rule set forth in Section 1.409A-1(b)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of the Treasury Regulations will not constitute Deferred Payments for purposes of Section 10 above.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10.5.           Any amount paid under this Plan that qualifies as a payment made as a result of an involuntary separation from service pursuant to Section 1.409A-1(b)(9)(iii) of the Treasury Regulations that does not exceed the Section 409A Limit will not constitute Deferred Payments for purposes of Section 10 above.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10.6.           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12 and 15, the Company reserves the right to amend the Plan as it deems necessary or advisable, in its sole discretion and without the consent of the Participants, to comply with Section 409A or to avoid income recognition under Section 409A prior to the actual payment of benefits under the Plan or imposition of any additional tax. In no event will the Company reimburse a Participant for any taxes that may be imposed on the Participant as result of Section 409A.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Withholdings</w:t>
      </w:r>
      <w:r>
        <w:rPr>
          <w:rFonts w:ascii="Times New Roman" w:cs="Times New Roman" w:eastAsia="Times New Roman" w:hAnsi="Times New Roman"/>
          <w:sz w:val="18"/>
          <w:szCs w:val="18"/>
          <w:color w:val="auto"/>
        </w:rPr>
        <w:t>. The Company will withhold from any payments or benefits under the Plan all applicable U.S. federal, state, local and non-U.S. taxes required to be withheld and any other required payroll deductions.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The Company is the administrator of the Plan (within the meaning of section 3(16)(A) of ERISA). The Plan will be administered and interpreted by the Administrator (in its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Plan amendment or termination or any other action that reasonably could be expected to increase materially the cost of the Plan must be approved by the Board.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Eligibility to Participate</w:t>
      </w:r>
      <w:r>
        <w:rPr>
          <w:rFonts w:ascii="Times New Roman" w:cs="Times New Roman" w:eastAsia="Times New Roman" w:hAnsi="Times New Roman"/>
          <w:sz w:val="18"/>
          <w:szCs w:val="18"/>
          <w:color w:val="auto"/>
        </w:rPr>
        <w:t>. To the extent that the Administrator has delegated administrative authority or responsibility to one or more officers of the Company in accordance with Sections 2.1 and 12,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Plan will have a term until August 4, 2026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If a Participant becomes entitled to benefits during the Term, the Plan will not terminate with respect to such Participant until all of the obligations of the Company and such Participant with respect to this Plan have been satisfied.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Amendment or Termination</w:t>
      </w:r>
      <w:r>
        <w:rPr>
          <w:rFonts w:ascii="Times New Roman" w:cs="Times New Roman" w:eastAsia="Times New Roman" w:hAnsi="Times New Roman"/>
          <w:sz w:val="18"/>
          <w:szCs w:val="18"/>
          <w:color w:val="auto"/>
        </w:rPr>
        <w:t>. The Company, by action of the Administrator, reserves the right to amend or terminate the Plan at any time, without advance notice to any Participant and without regard to the effect of the amendment or termination on any Participant or on any other individual. Any amendment or termination of the Plan will be in writing. In addition, notwithstanding the preceding, during the Term, the Company may not, without a Participant’s written consent, amend or terminate the Plan in any way, nor take any other action, that (i) prevents that Participant from becoming eligible for the Severance Benefits under the Plan, or (ii) reduces or alters to the detriment of the Participant the Severance Benefits payable, or potentially payable, to a Participant under the Plan (including, without limitation, imposing additional conditions). Any action of the Company in amending or terminating the Plan will be taken in a non-fiduciary capacity.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 and Appeals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78" w:lineRule="auto"/>
        <w:rPr>
          <w:sz w:val="20"/>
          <w:szCs w:val="20"/>
          <w:color w:val="auto"/>
        </w:rPr>
      </w:pPr>
      <w:r>
        <w:rPr>
          <w:rFonts w:ascii="Times New Roman" w:cs="Times New Roman" w:eastAsia="Times New Roman" w:hAnsi="Times New Roman"/>
          <w:sz w:val="17"/>
          <w:szCs w:val="17"/>
          <w:color w:val="auto"/>
        </w:rPr>
        <w:t>16.1.           </w:t>
      </w:r>
      <w:r>
        <w:rPr>
          <w:rFonts w:ascii="Times New Roman" w:cs="Times New Roman" w:eastAsia="Times New Roman" w:hAnsi="Times New Roman"/>
          <w:sz w:val="17"/>
          <w:szCs w:val="17"/>
          <w:b w:val="1"/>
          <w:bCs w:val="1"/>
          <w:color w:val="auto"/>
        </w:rPr>
        <w:t>Claims Procedure</w:t>
      </w:r>
      <w:r>
        <w:rPr>
          <w:rFonts w:ascii="Times New Roman" w:cs="Times New Roman" w:eastAsia="Times New Roman" w:hAnsi="Times New Roman"/>
          <w:sz w:val="17"/>
          <w:szCs w:val="17"/>
          <w:color w:val="auto"/>
        </w:rPr>
        <w:t>. Any employee or other person who believes he or she is entitled to any payment under the Plan may submit a claim in writing to the Administrator within 90 days of the earlier of (i) the date the claimant learned the amount of his or her benefits under the Plan or</w:t>
      </w:r>
    </w:p>
    <w:p>
      <w:pPr>
        <w:spacing w:after="0" w:line="1" w:lineRule="exact"/>
        <w:rPr>
          <w:sz w:val="20"/>
          <w:szCs w:val="20"/>
          <w:color w:val="auto"/>
        </w:rPr>
      </w:pPr>
    </w:p>
    <w:p>
      <w:pPr>
        <w:jc w:val="both"/>
        <w:ind w:firstLine="8"/>
        <w:spacing w:after="0" w:line="252"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Administrator expects to render its decision on the claim.</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Appeal Procedure</w:t>
      </w:r>
      <w:r>
        <w:rPr>
          <w:rFonts w:ascii="Times New Roman" w:cs="Times New Roman" w:eastAsia="Times New Roman" w:hAnsi="Times New Roman"/>
          <w:sz w:val="18"/>
          <w:szCs w:val="18"/>
          <w:color w:val="auto"/>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The parties shall each bear their own expenses, legal fees and other fees incurred in connection with this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Source of Payments</w:t>
      </w:r>
      <w:r>
        <w:rPr>
          <w:rFonts w:ascii="Times New Roman" w:cs="Times New Roman" w:eastAsia="Times New Roman" w:hAnsi="Times New Roman"/>
          <w:sz w:val="18"/>
          <w:szCs w:val="18"/>
          <w:color w:val="auto"/>
        </w:rPr>
        <w:t>. All payments under the Plan will be paid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Inalienability</w:t>
      </w:r>
      <w:r>
        <w:rPr>
          <w:rFonts w:ascii="Times New Roman" w:cs="Times New Roman" w:eastAsia="Times New Roman" w:hAnsi="Times New Roman"/>
          <w:sz w:val="18"/>
          <w:szCs w:val="18"/>
          <w:color w:val="auto"/>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b w:val="1"/>
          <w:bCs w:val="1"/>
          <w:color w:val="auto"/>
        </w:rPr>
        <w:t>No Enlargement of Employment Rights</w:t>
      </w:r>
      <w:r>
        <w:rPr>
          <w:rFonts w:ascii="Times New Roman" w:cs="Times New Roman" w:eastAsia="Times New Roman" w:hAnsi="Times New Roman"/>
          <w:sz w:val="18"/>
          <w:szCs w:val="18"/>
          <w:color w:val="auto"/>
        </w:rPr>
        <w:t>. Neither the establishment or maintenance or amendment of 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benefits under the Plan depending upon the circumstances of his or her termination of employment.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The provisions of the Plan will be construed, administered and enforced in accordance with ERISA and, to the extent applicable, the internal substantive laws of the state of California (but not its conflict of laws provisions).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is held invalid or unenforceable, its invalidity or unenforceability will not affect any other provision of the Plan, and the Plan will be construed and enforced as if such provision had not been included.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Headings in this Plan document are for purposes of reference only and will not limit or otherwise affect the meaning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5960"/>
        <w:spacing w:after="0"/>
        <w:rPr>
          <w:sz w:val="20"/>
          <w:szCs w:val="20"/>
          <w:color w:val="auto"/>
        </w:rPr>
      </w:pPr>
      <w:r>
        <w:rPr>
          <w:rFonts w:ascii="Times New Roman" w:cs="Times New Roman" w:eastAsia="Times New Roman" w:hAnsi="Times New Roman"/>
          <w:sz w:val="17"/>
          <w:szCs w:val="17"/>
          <w:b w:val="1"/>
          <w:bCs w:val="1"/>
          <w:color w:val="auto"/>
        </w:rPr>
        <w:t>STANDARD BIOTOOLS INC. 2024 CHANGE OF CONTROL</w:t>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SEVERANCE PLAN AND SUMMARY PLAN DESCRIPTION</w:t>
      </w:r>
    </w:p>
    <w:p>
      <w:pPr>
        <w:spacing w:after="0" w:line="214"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Plan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Standard BioTools Inc. 2024 Change of Control and Severance Plan</w:t>
      </w:r>
    </w:p>
    <w:p>
      <w:pPr>
        <w:spacing w:after="0" w:line="207" w:lineRule="exact"/>
        <w:rPr>
          <w:sz w:val="20"/>
          <w:szCs w:val="20"/>
          <w:color w:val="auto"/>
        </w:rPr>
      </w:pPr>
    </w:p>
    <w:p>
      <w:pPr>
        <w:sectPr>
          <w:pgSz w:w="11900" w:h="16838" w:orient="portrait"/>
          <w:cols w:equalWidth="0" w:num="2">
            <w:col w:w="2220" w:space="720"/>
            <w:col w:w="8300"/>
          </w:cols>
          <w:pgMar w:left="320" w:top="900" w:right="339" w:bottom="1440" w:gutter="0" w:footer="0" w:header="0"/>
          <w:type w:val="continuous"/>
        </w:sectPr>
      </w:pP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Plan Sponsor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0" w:lineRule="exact"/>
        <w:rPr>
          <w:sz w:val="20"/>
          <w:szCs w:val="20"/>
          <w:color w:val="auto"/>
        </w:rPr>
      </w:pPr>
    </w:p>
    <w:p>
      <w:pPr>
        <w:sectPr>
          <w:pgSz w:w="11900" w:h="16838" w:orient="portrait"/>
          <w:cols w:equalWidth="0" w:num="2">
            <w:col w:w="2220" w:space="720"/>
            <w:col w:w="8300"/>
          </w:cols>
          <w:pgMar w:left="320" w:top="900" w:right="339" w:bottom="1440" w:gutter="0" w:footer="0" w:header="0"/>
          <w:type w:val="continuous"/>
        </w:sectPr>
      </w:pP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Identification Numbers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EIN</w:t>
      </w:r>
      <w:r>
        <w:rPr>
          <w:rFonts w:ascii="Times New Roman" w:cs="Times New Roman" w:eastAsia="Times New Roman" w:hAnsi="Times New Roman"/>
          <w:sz w:val="17"/>
          <w:szCs w:val="17"/>
          <w:color w:val="auto"/>
        </w:rPr>
        <w:t>: 77-0513190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502</w:t>
      </w:r>
    </w:p>
    <w:p>
      <w:pPr>
        <w:spacing w:after="0" w:line="200" w:lineRule="exact"/>
        <w:rPr>
          <w:sz w:val="20"/>
          <w:szCs w:val="20"/>
          <w:color w:val="auto"/>
        </w:rPr>
      </w:pPr>
    </w:p>
    <w:p>
      <w:pPr>
        <w:sectPr>
          <w:pgSz w:w="11900" w:h="16838" w:orient="portrait"/>
          <w:cols w:equalWidth="0" w:num="2">
            <w:col w:w="2520" w:space="420"/>
            <w:col w:w="8300"/>
          </w:cols>
          <w:pgMar w:left="320" w:top="900" w:right="339" w:bottom="1440" w:gutter="0" w:footer="0" w:header="0"/>
          <w:type w:val="continuous"/>
        </w:sectPr>
      </w:pP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Plan Year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Company’s fiscal year</w:t>
      </w:r>
    </w:p>
    <w:p>
      <w:pPr>
        <w:spacing w:after="0" w:line="200" w:lineRule="exact"/>
        <w:rPr>
          <w:sz w:val="20"/>
          <w:szCs w:val="20"/>
          <w:color w:val="auto"/>
        </w:rPr>
      </w:pPr>
    </w:p>
    <w:p>
      <w:pPr>
        <w:sectPr>
          <w:pgSz w:w="11900" w:h="16838" w:orient="portrait"/>
          <w:cols w:equalWidth="0" w:num="2">
            <w:col w:w="2220" w:space="720"/>
            <w:col w:w="8300"/>
          </w:cols>
          <w:pgMar w:left="320" w:top="900" w:right="339" w:bottom="1440" w:gutter="0" w:footer="0" w:header="0"/>
          <w:type w:val="continuous"/>
        </w:sectPr>
      </w:pPr>
    </w:p>
    <w:p>
      <w:pPr>
        <w:spacing w:after="0" w:line="33"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Administrator of the Standard BioTools Inc. 2020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and Severance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650-266-6000</w:t>
      </w:r>
    </w:p>
    <w:p>
      <w:pPr>
        <w:spacing w:after="0" w:line="200" w:lineRule="exact"/>
        <w:rPr>
          <w:sz w:val="20"/>
          <w:szCs w:val="20"/>
          <w:color w:val="auto"/>
        </w:rPr>
      </w:pPr>
    </w:p>
    <w:p>
      <w:pPr>
        <w:sectPr>
          <w:pgSz w:w="11900" w:h="16838" w:orient="portrait"/>
          <w:cols w:equalWidth="0" w:num="2">
            <w:col w:w="2240" w:space="700"/>
            <w:col w:w="8300"/>
          </w:cols>
          <w:pgMar w:left="320" w:top="900" w:right="339" w:bottom="1440" w:gutter="0" w:footer="0" w:header="0"/>
          <w:type w:val="continuous"/>
        </w:sectPr>
      </w:pP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Agent for Service of</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Legal Process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2020 Change of Control and Severance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650-266-6000</w:t>
      </w:r>
    </w:p>
    <w:p>
      <w:pPr>
        <w:spacing w:after="0" w:line="200" w:lineRule="exact"/>
        <w:rPr>
          <w:sz w:val="20"/>
          <w:szCs w:val="20"/>
          <w:color w:val="auto"/>
        </w:rPr>
      </w:pPr>
    </w:p>
    <w:p>
      <w:pPr>
        <w:sectPr>
          <w:pgSz w:w="11900" w:h="16838" w:orient="portrait"/>
          <w:cols w:equalWidth="0" w:num="2">
            <w:col w:w="2220" w:space="720"/>
            <w:col w:w="8300"/>
          </w:cols>
          <w:pgMar w:left="320" w:top="900" w:right="339" w:bottom="1440" w:gutter="0" w:footer="0" w:header="0"/>
          <w:type w:val="continuous"/>
        </w:sectPr>
      </w:pPr>
    </w:p>
    <w:p>
      <w:pPr>
        <w:spacing w:after="0" w:line="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Service of process also may be made upon the Administrator.</w:t>
      </w:r>
    </w:p>
    <w:p>
      <w:pPr>
        <w:sectPr>
          <w:pgSz w:w="11900" w:h="16838" w:orient="portrait"/>
          <w:cols w:equalWidth="0" w:num="1">
            <w:col w:w="11240"/>
          </w:cols>
          <w:pgMar w:left="320" w:top="900" w:right="339" w:bottom="1440" w:gutter="0" w:footer="0" w:header="0"/>
          <w:type w:val="continuous"/>
        </w:sectPr>
      </w:pP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Type of Plan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Severance Plan/Employee Welfare Benefit Plan</w:t>
      </w:r>
    </w:p>
    <w:p>
      <w:pPr>
        <w:spacing w:after="0" w:line="200" w:lineRule="exact"/>
        <w:rPr>
          <w:sz w:val="20"/>
          <w:szCs w:val="20"/>
          <w:color w:val="auto"/>
        </w:rPr>
      </w:pPr>
    </w:p>
    <w:p>
      <w:pPr>
        <w:sectPr>
          <w:pgSz w:w="11900" w:h="16838" w:orient="portrait"/>
          <w:cols w:equalWidth="0" w:num="2">
            <w:col w:w="2220" w:space="720"/>
            <w:col w:w="8300"/>
          </w:cols>
          <w:pgMar w:left="320" w:top="900" w:right="339" w:bottom="1440" w:gutter="0" w:footer="0" w:header="0"/>
          <w:type w:val="continuous"/>
        </w:sectPr>
      </w:pPr>
    </w:p>
    <w:p>
      <w:pPr>
        <w:spacing w:after="0" w:line="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Plan Costs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cost of the Plan is paid by the Employer.</w:t>
      </w:r>
    </w:p>
    <w:p>
      <w:pPr>
        <w:spacing w:after="0" w:line="200" w:lineRule="exact"/>
        <w:rPr>
          <w:sz w:val="20"/>
          <w:szCs w:val="20"/>
          <w:color w:val="auto"/>
        </w:rPr>
      </w:pPr>
    </w:p>
    <w:p>
      <w:pPr>
        <w:sectPr>
          <w:pgSz w:w="11900" w:h="16838" w:orient="portrait"/>
          <w:cols w:equalWidth="0" w:num="2">
            <w:col w:w="2220" w:space="720"/>
            <w:col w:w="8300"/>
          </w:cols>
          <w:pgMar w:left="320" w:top="900" w:right="339" w:bottom="1440" w:gutter="0" w:footer="0" w:header="0"/>
          <w:type w:val="continuous"/>
        </w:sectPr>
      </w:pPr>
    </w:p>
    <w:p>
      <w:pPr>
        <w:spacing w:after="0" w:line="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ERISA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Participant under the Plan, you have certain rights and protections under ERISA:</w:t>
      </w:r>
    </w:p>
    <w:p>
      <w:pPr>
        <w:spacing w:after="0" w:line="225"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examine (without charge) all Plan documents, including any amendments and copies of all documents filed with the U.S. Department of Labor. These documents are available for your review in the Company’s Human Resources Department.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obtain copies of all Plan documents and other Plan information upon written request to the Administrator. A reasonable charge may be made for such copies.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16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 –</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Executive Leadership Team Members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 and Severance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Agreement</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Standard BioTools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pleased to inform you that you have been selected to participate in the Company’s 2024 Change of Control and Severance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 Participant.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actually become a participant in the Plan, you must complete and sign this Participation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“Good Reason”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Non-COC Involuntary 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outside of the Change of Control Period, you incur a Non-COC Involuntary Termination, then subject to the terms and conditions of the Plan, you will receive:</w:t>
      </w:r>
    </w:p>
    <w:p>
      <w:pPr>
        <w:spacing w:after="0" w:line="15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Severance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amount equal to 100% of your annual base salary in effect as of the date of your Non-COC Involuntary Termination paid in equal installments over a period of twelve (12) months following your termination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(i) your annual target bonus (as in effect immediately prior to the Non-COC Involuntary Termination), multiplied by (ii) a fraction, the numerator of which is the number of days worked by you during the year in which the Non-COC Involuntary Termination occurs and the denominator of which is three hundred and sixty five (365).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 –</w:t>
      </w:r>
    </w:p>
    <w:p>
      <w:pPr>
        <w:spacing w:after="0" w:line="203" w:lineRule="exact"/>
        <w:rPr>
          <w:sz w:val="20"/>
          <w:szCs w:val="20"/>
          <w:color w:val="auto"/>
        </w:rPr>
      </w:pPr>
    </w:p>
    <w:p>
      <w:pPr>
        <w:jc w:val="both"/>
        <w:ind w:left="340" w:hanging="332"/>
        <w:spacing w:after="0" w:line="268" w:lineRule="auto"/>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Continued Medical Benefits</w:t>
      </w:r>
      <w:r>
        <w:rPr>
          <w:rFonts w:ascii="Times New Roman" w:cs="Times New Roman" w:eastAsia="Times New Roman" w:hAnsi="Times New Roman"/>
          <w:sz w:val="18"/>
          <w:szCs w:val="18"/>
          <w:color w:val="auto"/>
        </w:rPr>
        <w:t>. Payment by the Company of continued health coverage under COBRA for a period of twelve (12) months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termination of employment. Notwithstanding the foregoing, if you are not employed in the United States, the benefit under this paragraph will be a regional equivalent to COBRA as determined by the Administrator in its sole discretion.</w:t>
      </w:r>
    </w:p>
    <w:p>
      <w:pPr>
        <w:spacing w:after="0" w:line="170" w:lineRule="exact"/>
        <w:rPr>
          <w:rFonts w:ascii="Times New Roman" w:cs="Times New Roman" w:eastAsia="Times New Roman" w:hAnsi="Times New Roman"/>
          <w:sz w:val="18"/>
          <w:szCs w:val="18"/>
          <w:b w:val="1"/>
          <w:bCs w:val="1"/>
          <w:color w:val="auto"/>
        </w:rPr>
      </w:pPr>
    </w:p>
    <w:p>
      <w:pPr>
        <w:ind w:left="340" w:right="40" w:hanging="332"/>
        <w:spacing w:after="0" w:line="254" w:lineRule="auto"/>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Award Vesting Acceleration</w:t>
      </w:r>
      <w:r>
        <w:rPr>
          <w:rFonts w:ascii="Times New Roman" w:cs="Times New Roman" w:eastAsia="Times New Roman" w:hAnsi="Times New Roman"/>
          <w:sz w:val="18"/>
          <w:szCs w:val="18"/>
          <w:color w:val="auto"/>
        </w:rPr>
        <w:t>. If such Non-COC Involuntary Termination occurs prior to the end of the Term, then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applicable grant agreements) or the equivalent measure of the number of units or shares that vest at 100% of target levels of achievement under the applicable Equity Award. Except as otherwise provided in the applicable Equity Award agreement, shares owed upon such vesting (and upon exercise, if applicable) of Equity Awards will issued to you as promptly as practicable and no more than thirty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spacing w:after="0" w:line="18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  Outplacement Services</w:t>
      </w:r>
      <w:r>
        <w:rPr>
          <w:rFonts w:ascii="Times New Roman" w:cs="Times New Roman" w:eastAsia="Times New Roman" w:hAnsi="Times New Roman"/>
          <w:sz w:val="18"/>
          <w:szCs w:val="18"/>
          <w:color w:val="auto"/>
        </w:rPr>
        <w:t>. Outplacement services as described in Section 4.3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 Involuntary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during the Change of Control Period, you incur a COC Involuntary Termination, then subject to the terms and conditions of the Plan, you will receive:</w:t>
      </w:r>
    </w:p>
    <w:p>
      <w:pPr>
        <w:spacing w:after="0" w:line="221"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Severance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spacing w:after="0" w:line="188"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 –</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2.            Continued Medical Benefits</w:t>
      </w:r>
      <w:r>
        <w:rPr>
          <w:rFonts w:ascii="Times New Roman" w:cs="Times New Roman" w:eastAsia="Times New Roman" w:hAnsi="Times New Roman"/>
          <w:sz w:val="18"/>
          <w:szCs w:val="18"/>
          <w:color w:val="auto"/>
        </w:rPr>
        <w:t>. Payment by the Company of continued health coverage under COBRA for a period of 18 months following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Notwithstanding the foregoing, if you are not employed in the United States, the benefit under this paragraph will be a regional equivalent to COBRA determined by the Administrator in its sole discretion.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            Equity Award Vesting Acceleration</w:t>
      </w:r>
      <w:r>
        <w:rPr>
          <w:rFonts w:ascii="Times New Roman" w:cs="Times New Roman" w:eastAsia="Times New Roman" w:hAnsi="Times New Roman"/>
          <w:sz w:val="18"/>
          <w:szCs w:val="18"/>
          <w:color w:val="auto"/>
        </w:rPr>
        <w:t>. 100% of your then-outstanding and unvested Equity Awards will become vested in full. If, however,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Section 409A such that the payment or settlement will not be subject to the additional tax or interest applicable under Section 409A.</w:t>
      </w:r>
    </w:p>
    <w:p>
      <w:pPr>
        <w:spacing w:after="0" w:line="2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Outplacement Services</w:t>
      </w:r>
      <w:r>
        <w:rPr>
          <w:rFonts w:ascii="Times New Roman" w:cs="Times New Roman" w:eastAsia="Times New Roman" w:hAnsi="Times New Roman"/>
          <w:sz w:val="18"/>
          <w:szCs w:val="18"/>
          <w:color w:val="auto"/>
        </w:rPr>
        <w:t>. Outplacement services as described in Section 5.4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receive any Severance Benefits for which you otherwise become eligible under the Plan, you must sign and deliver to the Company the Release, which must have become effective and irrevocable within the requisite period set forth in the Plan.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5960"/>
        <w:spacing w:after="0"/>
        <w:rPr>
          <w:sz w:val="20"/>
          <w:szCs w:val="20"/>
          <w:color w:val="auto"/>
        </w:rPr>
      </w:pPr>
      <w:r>
        <w:rPr>
          <w:rFonts w:ascii="Times New Roman" w:cs="Times New Roman" w:eastAsia="Times New Roman" w:hAnsi="Times New Roman"/>
          <w:sz w:val="18"/>
          <w:szCs w:val="18"/>
          <w:b w:val="1"/>
          <w:bCs w:val="1"/>
          <w:color w:val="auto"/>
        </w:rPr>
        <w:t>STANDARD BIOTOOLS INC. 2024 CHANGE OF CONTROL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SEVERANCE PLAN AND SUMMARY PLAN DESCRIPTION –</w:t>
      </w:r>
    </w:p>
    <w:p>
      <w:pPr>
        <w:spacing w:after="0" w:line="20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By your signature below, you and the Company agree that your participation in the Plan is governed by this Participation Agreement and the provisions of the Plan. Your signature below confirms that: (1) you have received a copy of the 2024 Change of Control and Severance Plan and Summary Plan Description; (2) you have carefully read this Participation Agreement and the 2024 Change of Control and Severance Plan and Summary Plan Description;</w:t>
      </w:r>
    </w:p>
    <w:p>
      <w:pPr>
        <w:spacing w:after="0" w:line="2" w:lineRule="exact"/>
        <w:rPr>
          <w:sz w:val="20"/>
          <w:szCs w:val="20"/>
          <w:color w:val="auto"/>
        </w:rPr>
      </w:pPr>
    </w:p>
    <w:p>
      <w:pPr>
        <w:ind w:right="40"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198"/>
        </w:trPr>
        <w:tc>
          <w:tcPr>
            <w:tcW w:w="55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8"/>
        </w:trPr>
        <w:tc>
          <w:tcPr>
            <w:tcW w:w="55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Standard BioTools Inc. 2024 Change of Control and Severance Plan and Summary Plan Description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the Participation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04"/>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decimal"/>
      <w:start w:val="16"/>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1."/>
      <w:numFmt w:val="decimal"/>
      <w:start w:val="26"/>
    </w:lvl>
  </w:abstractNum>
  <w:abstractNum w:abstractNumId="10">
    <w:nsid w:val="DED7263"/>
    <w:multiLevelType w:val="hybridMultilevel"/>
    <w:lvl w:ilvl="0">
      <w:lvlJc w:val="left"/>
      <w:lvlText w:val="%1."/>
      <w:numFmt w:val="decimal"/>
      <w:start w:val="27"/>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4"/>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2024-08-30T16:18:39Z</dcterms:created>
  <dcterms:modified xsi:type="dcterms:W3CDTF">2024-08-30T16:18:39Z</dcterms:modified>
</cp:coreProperties>
</file>