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353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536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Kim Hanjoon Alex</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(Last)</w:t>
            </w:r>
          </w:p>
        </w:tc>
        <w:tc>
          <w:tcPr>
            <w:tcW w:w="1160" w:type="dxa"/>
            <w:vAlign w:val="bottom"/>
          </w:tcPr>
          <w:p>
            <w:pPr>
              <w:ind w:left="140"/>
              <w:spacing w:after="0"/>
              <w:rPr>
                <w:sz w:val="20"/>
                <w:szCs w:val="20"/>
                <w:color w:val="auto"/>
              </w:rPr>
            </w:pPr>
            <w:r>
              <w:rPr>
                <w:rFonts w:ascii="Arial" w:cs="Arial" w:eastAsia="Arial" w:hAnsi="Arial"/>
                <w:sz w:val="13"/>
                <w:szCs w:val="13"/>
                <w:color w:val="auto"/>
              </w:rPr>
              <w:t>(First)</w:t>
            </w:r>
          </w:p>
        </w:tc>
        <w:tc>
          <w:tcPr>
            <w:tcW w:w="1380" w:type="dxa"/>
            <w:vAlign w:val="bottom"/>
          </w:tcPr>
          <w:p>
            <w:pPr>
              <w:ind w:left="2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2 TOWER PLACE, STE 2000</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6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140"/>
              <w:spacing w:after="0"/>
              <w:rPr>
                <w:sz w:val="20"/>
                <w:szCs w:val="20"/>
                <w:color w:val="auto"/>
              </w:rPr>
            </w:pPr>
            <w:r>
              <w:rPr>
                <w:rFonts w:ascii="Arial" w:cs="Arial" w:eastAsia="Arial" w:hAnsi="Arial"/>
                <w:sz w:val="13"/>
                <w:szCs w:val="13"/>
                <w:color w:val="auto"/>
              </w:rPr>
              <w:t>(State)</w:t>
            </w:r>
          </w:p>
        </w:tc>
        <w:tc>
          <w:tcPr>
            <w:tcW w:w="1380" w:type="dxa"/>
            <w:vAlign w:val="bottom"/>
          </w:tcPr>
          <w:p>
            <w:pPr>
              <w:ind w:left="2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STANDARD BIOTOOLS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LAB</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04/04/2024</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2"/>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(A) or</w:t>
            </w: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0000FF"/>
              </w:rPr>
              <w:t>04/04/2024</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8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0000FF"/>
              </w:rPr>
              <w:t>70,183</w:t>
            </w: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140,366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04/05/2024</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70,702</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211,068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70,183</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04/04/2024</w:t>
            </w:r>
          </w:p>
        </w:tc>
        <w:tc>
          <w:tcPr>
            <w:tcW w:w="114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70,183</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60" w:type="dxa"/>
            <w:vAlign w:val="bottom"/>
            <w:gridSpan w:val="2"/>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140,366</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11, 2023, the Reporting Person was granted a target amount of 77,185 performance-based restricted stock units ("RSUs") under the Issuer's 2011 Equity Incentive Plan, as amended. Each RSU represent the right, upon achievement of certain pre-established performance criteria, to receive one share of the Issuer's common stock, subject to vesting conditions. On April 5, 2024, the Board of Directors of the Issuer determined that certain of the RSU performance-based conditions were met resulting in the vesting of 70,702 RSUs as of March 31, 2024.</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4, 2022, the Reporting Person was granted 280,732 RSUs, vesting in four equal annual installments beginning on April 4, 2023.</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Hanjoon Alex Kim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77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7595" cy="8255"/>
                    </a:xfrm>
                    <a:prstGeom prst="rect">
                      <a:avLst/>
                    </a:prstGeom>
                    <a:noFill/>
                  </pic:spPr>
                </pic:pic>
              </a:graphicData>
            </a:graphic>
          </wp:anchor>
        </w:drawing>
      </w:r>
    </w:p>
    <w:p>
      <w:pPr>
        <w:spacing w:after="0" w:line="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Agnieszka Gallagher, Attorney- 04/05/2024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01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162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19209"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2024-04-05T18:02:55Z</dcterms:created>
  <dcterms:modified xsi:type="dcterms:W3CDTF">2024-04-05T18:02:55Z</dcterms:modified>
</cp:coreProperties>
</file>