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598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598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25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Linthwaite Stephen Christopher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39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5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251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25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02/20/2020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4,750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182,377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02/20/2020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7,812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190,189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02/20/2020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27,528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217,717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02/20/2020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21,124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3.75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196,593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02/20/2020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2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4,750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7,812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02/20/2020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2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7,812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70,316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27,528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02/20/2020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27,528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82,584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13, 2017, the Reporting Person was granted 76,000 Restricted Stock Units vesting as to 1/12th of the total number of shares on May 20, 2017, and as to 1/16th of the total number of shares each quarter thereafter.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June 11, 2018, the Reporting Person was granted 125,000 Restricted Stock Units vesting as to 1/16th of the total number of shares on August 20, 2018, and as to 1/16th of the total number of shares each quarter thereafter.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19, 2019, the Reporting Person was granted 110,112 Restricted Stock Units vesting as to 1/4th of the total number of shares on February 20, 2020, and as to 1/16th of the total number of shares each quarter thereafter.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Stephen Christopher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407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Linthwaite by Nicholas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Khadder,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1772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25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080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2020-02-24T16:09:21Z</dcterms:created>
  <dcterms:modified xsi:type="dcterms:W3CDTF">2020-02-24T16:09:21Z</dcterms:modified>
</cp:coreProperties>
</file>