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January 11, 2019</w:t>
      </w:r>
    </w:p>
    <w:p>
      <w:pPr>
        <w:spacing w:after="0" w:line="27" w:lineRule="exact"/>
        <w:rPr>
          <w:sz w:val="24"/>
          <w:szCs w:val="24"/>
          <w:color w:val="auto"/>
        </w:rPr>
      </w:pPr>
    </w:p>
    <w:p>
      <w:pPr>
        <w:ind w:left="92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194310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72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22"/>
                <w:szCs w:val="22"/>
                <w:b w:val="1"/>
                <w:bCs w:val="1"/>
                <w:color w:val="auto"/>
                <w:w w:val="96"/>
              </w:rPr>
              <w:t>FORM S-8</w:t>
            </w:r>
          </w:p>
        </w:tc>
      </w:tr>
      <w:tr>
        <w:trPr>
          <w:trHeight w:val="256"/>
        </w:trPr>
        <w:tc>
          <w:tcPr>
            <w:tcW w:w="2520" w:type="dxa"/>
            <w:vAlign w:val="bottom"/>
          </w:tcPr>
          <w:p>
            <w:pPr>
              <w:spacing w:after="0"/>
              <w:rPr>
                <w:sz w:val="22"/>
                <w:szCs w:val="22"/>
                <w:color w:val="auto"/>
              </w:rPr>
            </w:pPr>
          </w:p>
        </w:tc>
        <w:tc>
          <w:tcPr>
            <w:tcW w:w="7200" w:type="dxa"/>
            <w:vAlign w:val="bottom"/>
            <w:gridSpan w:val="3"/>
          </w:tcPr>
          <w:p>
            <w:pPr>
              <w:jc w:val="center"/>
              <w:ind w:right="2150"/>
              <w:spacing w:after="0"/>
              <w:rPr>
                <w:sz w:val="20"/>
                <w:szCs w:val="20"/>
                <w:color w:val="auto"/>
              </w:rPr>
            </w:pPr>
            <w:r>
              <w:rPr>
                <w:rFonts w:ascii="Arial" w:cs="Arial" w:eastAsia="Arial" w:hAnsi="Arial"/>
                <w:sz w:val="22"/>
                <w:szCs w:val="22"/>
                <w:b w:val="1"/>
                <w:bCs w:val="1"/>
                <w:color w:val="auto"/>
                <w:w w:val="99"/>
              </w:rPr>
              <w:t>REGISTRATION STATEMENT</w:t>
            </w:r>
          </w:p>
        </w:tc>
      </w:tr>
      <w:tr>
        <w:trPr>
          <w:trHeight w:val="216"/>
        </w:trPr>
        <w:tc>
          <w:tcPr>
            <w:tcW w:w="2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18"/>
                <w:szCs w:val="18"/>
                <w:b w:val="1"/>
                <w:bCs w:val="1"/>
                <w:i w:val="1"/>
                <w:iCs w:val="1"/>
                <w:color w:val="auto"/>
                <w:w w:val="92"/>
              </w:rPr>
              <w:t>Under</w:t>
            </w:r>
          </w:p>
        </w:tc>
      </w:tr>
      <w:tr>
        <w:trPr>
          <w:trHeight w:val="230"/>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18"/>
                <w:szCs w:val="18"/>
                <w:b w:val="1"/>
                <w:bCs w:val="1"/>
                <w:i w:val="1"/>
                <w:iCs w:val="1"/>
                <w:color w:val="auto"/>
                <w:w w:val="87"/>
              </w:rPr>
              <w:t>The Securities Act of 1933</w:t>
            </w:r>
          </w:p>
        </w:tc>
      </w:tr>
      <w:tr>
        <w:trPr>
          <w:trHeight w:val="297"/>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00" w:type="dxa"/>
            <w:vAlign w:val="bottom"/>
          </w:tcPr>
          <w:p>
            <w:pPr>
              <w:spacing w:after="0"/>
              <w:rPr>
                <w:sz w:val="24"/>
                <w:szCs w:val="24"/>
                <w:color w:val="auto"/>
              </w:rPr>
            </w:pPr>
          </w:p>
        </w:tc>
      </w:tr>
      <w:tr>
        <w:trPr>
          <w:trHeight w:val="596"/>
        </w:trPr>
        <w:tc>
          <w:tcPr>
            <w:tcW w:w="2520" w:type="dxa"/>
            <w:vAlign w:val="bottom"/>
          </w:tcPr>
          <w:p>
            <w:pPr>
              <w:spacing w:after="0"/>
              <w:rPr>
                <w:sz w:val="24"/>
                <w:szCs w:val="24"/>
                <w:color w:val="auto"/>
              </w:rPr>
            </w:pPr>
          </w:p>
        </w:tc>
        <w:tc>
          <w:tcPr>
            <w:tcW w:w="7200" w:type="dxa"/>
            <w:vAlign w:val="bottom"/>
            <w:gridSpan w:val="3"/>
          </w:tcPr>
          <w:p>
            <w:pPr>
              <w:jc w:val="center"/>
              <w:ind w:right="2150"/>
              <w:spacing w:after="0"/>
              <w:rPr>
                <w:sz w:val="20"/>
                <w:szCs w:val="20"/>
                <w:color w:val="auto"/>
              </w:rPr>
            </w:pPr>
            <w:r>
              <w:rPr>
                <w:rFonts w:ascii="Arial" w:cs="Arial" w:eastAsia="Arial" w:hAnsi="Arial"/>
                <w:sz w:val="25"/>
                <w:szCs w:val="25"/>
                <w:b w:val="1"/>
                <w:bCs w:val="1"/>
                <w:color w:val="auto"/>
              </w:rPr>
              <w:t>FLUIDIGM CORPORATION</w:t>
            </w:r>
          </w:p>
        </w:tc>
      </w:tr>
      <w:tr>
        <w:trPr>
          <w:trHeight w:val="234"/>
        </w:trPr>
        <w:tc>
          <w:tcPr>
            <w:tcW w:w="2520" w:type="dxa"/>
            <w:vAlign w:val="bottom"/>
          </w:tcPr>
          <w:p>
            <w:pPr>
              <w:spacing w:after="0"/>
              <w:rPr>
                <w:sz w:val="20"/>
                <w:szCs w:val="20"/>
                <w:color w:val="auto"/>
              </w:rPr>
            </w:pPr>
          </w:p>
        </w:tc>
        <w:tc>
          <w:tcPr>
            <w:tcW w:w="7200" w:type="dxa"/>
            <w:vAlign w:val="bottom"/>
            <w:gridSpan w:val="3"/>
          </w:tcPr>
          <w:p>
            <w:pPr>
              <w:jc w:val="center"/>
              <w:ind w:right="217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97"/>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00" w:type="dxa"/>
            <w:vAlign w:val="bottom"/>
          </w:tcPr>
          <w:p>
            <w:pPr>
              <w:spacing w:after="0"/>
              <w:rPr>
                <w:sz w:val="24"/>
                <w:szCs w:val="24"/>
                <w:color w:val="auto"/>
              </w:rPr>
            </w:pPr>
          </w:p>
        </w:tc>
      </w:tr>
      <w:tr>
        <w:trPr>
          <w:trHeight w:val="502"/>
        </w:trPr>
        <w:tc>
          <w:tcPr>
            <w:tcW w:w="25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Delaware</w:t>
            </w:r>
          </w:p>
        </w:tc>
        <w:tc>
          <w:tcPr>
            <w:tcW w:w="7200" w:type="dxa"/>
            <w:vAlign w:val="bottom"/>
            <w:gridSpan w:val="3"/>
          </w:tcPr>
          <w:p>
            <w:pPr>
              <w:jc w:val="center"/>
              <w:ind w:left="5301"/>
              <w:spacing w:after="0"/>
              <w:rPr>
                <w:sz w:val="20"/>
                <w:szCs w:val="20"/>
                <w:color w:val="auto"/>
              </w:rPr>
            </w:pPr>
            <w:r>
              <w:rPr>
                <w:rFonts w:ascii="Arial" w:cs="Arial" w:eastAsia="Arial" w:hAnsi="Arial"/>
                <w:sz w:val="18"/>
                <w:szCs w:val="18"/>
                <w:b w:val="1"/>
                <w:bCs w:val="1"/>
                <w:color w:val="auto"/>
                <w:w w:val="91"/>
              </w:rPr>
              <w:t>77-0513190</w:t>
            </w:r>
          </w:p>
        </w:tc>
      </w:tr>
      <w:tr>
        <w:trPr>
          <w:trHeight w:val="216"/>
        </w:trPr>
        <w:tc>
          <w:tcPr>
            <w:tcW w:w="25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w:t>
            </w:r>
          </w:p>
        </w:tc>
        <w:tc>
          <w:tcPr>
            <w:tcW w:w="1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300" w:type="dxa"/>
            <w:vAlign w:val="bottom"/>
          </w:tcPr>
          <w:p>
            <w:pPr>
              <w:jc w:val="center"/>
              <w:ind w:left="14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5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incorporation or organization)</w:t>
            </w:r>
          </w:p>
        </w:tc>
        <w:tc>
          <w:tcPr>
            <w:tcW w:w="1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30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60" w:type="dxa"/>
            <w:vAlign w:val="bottom"/>
            <w:gridSpan w:val="2"/>
          </w:tcPr>
          <w:p>
            <w:pPr>
              <w:jc w:val="center"/>
              <w:ind w:right="3210"/>
              <w:spacing w:after="0"/>
              <w:rPr>
                <w:sz w:val="20"/>
                <w:szCs w:val="20"/>
                <w:color w:val="auto"/>
              </w:rPr>
            </w:pPr>
            <w:r>
              <w:rPr>
                <w:rFonts w:ascii="Arial" w:cs="Arial" w:eastAsia="Arial" w:hAnsi="Arial"/>
                <w:sz w:val="18"/>
                <w:szCs w:val="18"/>
                <w:b w:val="1"/>
                <w:bCs w:val="1"/>
                <w:color w:val="auto"/>
                <w:w w:val="89"/>
              </w:rPr>
              <w:t>7000 Shoreline Court, Suite 100</w:t>
            </w:r>
          </w:p>
        </w:tc>
      </w:tr>
      <w:tr>
        <w:trPr>
          <w:trHeight w:val="216"/>
        </w:trPr>
        <w:tc>
          <w:tcPr>
            <w:tcW w:w="2520" w:type="dxa"/>
            <w:vAlign w:val="bottom"/>
          </w:tcPr>
          <w:p>
            <w:pPr>
              <w:spacing w:after="0"/>
              <w:rPr>
                <w:sz w:val="18"/>
                <w:szCs w:val="18"/>
                <w:color w:val="auto"/>
              </w:rPr>
            </w:pPr>
          </w:p>
        </w:tc>
        <w:tc>
          <w:tcPr>
            <w:tcW w:w="7200" w:type="dxa"/>
            <w:vAlign w:val="bottom"/>
            <w:gridSpan w:val="3"/>
          </w:tcPr>
          <w:p>
            <w:pPr>
              <w:jc w:val="center"/>
              <w:ind w:right="2150"/>
              <w:spacing w:after="0"/>
              <w:rPr>
                <w:sz w:val="20"/>
                <w:szCs w:val="20"/>
                <w:color w:val="auto"/>
              </w:rPr>
            </w:pPr>
            <w:r>
              <w:rPr>
                <w:rFonts w:ascii="Arial" w:cs="Arial" w:eastAsia="Arial" w:hAnsi="Arial"/>
                <w:sz w:val="18"/>
                <w:szCs w:val="18"/>
                <w:b w:val="1"/>
                <w:bCs w:val="1"/>
                <w:color w:val="auto"/>
                <w:w w:val="90"/>
              </w:rPr>
              <w:t>South San Francisco, California 94080</w:t>
            </w:r>
          </w:p>
        </w:tc>
      </w:tr>
      <w:tr>
        <w:trPr>
          <w:trHeight w:val="216"/>
        </w:trPr>
        <w:tc>
          <w:tcPr>
            <w:tcW w:w="2520" w:type="dxa"/>
            <w:vAlign w:val="bottom"/>
          </w:tcPr>
          <w:p>
            <w:pPr>
              <w:spacing w:after="0"/>
              <w:rPr>
                <w:sz w:val="18"/>
                <w:szCs w:val="18"/>
                <w:color w:val="auto"/>
              </w:rPr>
            </w:pPr>
          </w:p>
        </w:tc>
        <w:tc>
          <w:tcPr>
            <w:tcW w:w="3900" w:type="dxa"/>
            <w:vAlign w:val="bottom"/>
            <w:gridSpan w:val="2"/>
          </w:tcPr>
          <w:p>
            <w:pPr>
              <w:jc w:val="center"/>
              <w:ind w:left="961"/>
              <w:spacing w:after="0"/>
              <w:rPr>
                <w:sz w:val="20"/>
                <w:szCs w:val="20"/>
                <w:color w:val="auto"/>
              </w:rPr>
            </w:pPr>
            <w:r>
              <w:rPr>
                <w:rFonts w:ascii="Arial" w:cs="Arial" w:eastAsia="Arial" w:hAnsi="Arial"/>
                <w:sz w:val="18"/>
                <w:szCs w:val="18"/>
                <w:b w:val="1"/>
                <w:bCs w:val="1"/>
                <w:color w:val="auto"/>
                <w:w w:val="90"/>
              </w:rPr>
              <w:t>(650) 266-6000</w:t>
            </w:r>
          </w:p>
        </w:tc>
        <w:tc>
          <w:tcPr>
            <w:tcW w:w="3300" w:type="dxa"/>
            <w:vAlign w:val="bottom"/>
          </w:tcPr>
          <w:p>
            <w:pPr>
              <w:spacing w:after="0"/>
              <w:rPr>
                <w:sz w:val="18"/>
                <w:szCs w:val="18"/>
                <w:color w:val="auto"/>
              </w:rPr>
            </w:pPr>
          </w:p>
        </w:tc>
      </w:tr>
      <w:tr>
        <w:trPr>
          <w:trHeight w:val="234"/>
        </w:trPr>
        <w:tc>
          <w:tcPr>
            <w:tcW w:w="2520" w:type="dxa"/>
            <w:vAlign w:val="bottom"/>
          </w:tcPr>
          <w:p>
            <w:pPr>
              <w:spacing w:after="0"/>
              <w:rPr>
                <w:sz w:val="20"/>
                <w:szCs w:val="20"/>
                <w:color w:val="auto"/>
              </w:rPr>
            </w:pPr>
          </w:p>
        </w:tc>
        <w:tc>
          <w:tcPr>
            <w:tcW w:w="7200" w:type="dxa"/>
            <w:vAlign w:val="bottom"/>
            <w:gridSpan w:val="3"/>
          </w:tcPr>
          <w:p>
            <w:pPr>
              <w:jc w:val="center"/>
              <w:ind w:right="217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r>
      <w:tr>
        <w:trPr>
          <w:trHeight w:val="297"/>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00" w:type="dxa"/>
            <w:vAlign w:val="bottom"/>
          </w:tcPr>
          <w:p>
            <w:pPr>
              <w:spacing w:after="0"/>
              <w:rPr>
                <w:sz w:val="24"/>
                <w:szCs w:val="24"/>
                <w:color w:val="auto"/>
              </w:rPr>
            </w:pPr>
          </w:p>
        </w:tc>
      </w:tr>
      <w:tr>
        <w:trPr>
          <w:trHeight w:val="529"/>
        </w:trPr>
        <w:tc>
          <w:tcPr>
            <w:tcW w:w="2520" w:type="dxa"/>
            <w:vAlign w:val="bottom"/>
          </w:tcPr>
          <w:p>
            <w:pPr>
              <w:spacing w:after="0"/>
              <w:rPr>
                <w:sz w:val="24"/>
                <w:szCs w:val="24"/>
                <w:color w:val="auto"/>
              </w:rPr>
            </w:pPr>
          </w:p>
        </w:tc>
        <w:tc>
          <w:tcPr>
            <w:tcW w:w="7200" w:type="dxa"/>
            <w:vAlign w:val="bottom"/>
            <w:gridSpan w:val="3"/>
          </w:tcPr>
          <w:p>
            <w:pPr>
              <w:jc w:val="center"/>
              <w:ind w:right="2170"/>
              <w:spacing w:after="0"/>
              <w:rPr>
                <w:sz w:val="20"/>
                <w:szCs w:val="20"/>
                <w:color w:val="auto"/>
              </w:rPr>
            </w:pPr>
            <w:r>
              <w:rPr>
                <w:rFonts w:ascii="Arial" w:cs="Arial" w:eastAsia="Arial" w:hAnsi="Arial"/>
                <w:sz w:val="22"/>
                <w:szCs w:val="22"/>
                <w:b w:val="1"/>
                <w:bCs w:val="1"/>
                <w:color w:val="auto"/>
                <w:w w:val="90"/>
              </w:rPr>
              <w:t>Fluidigm Corporation 2011 Equity Incentive Plan</w:t>
            </w:r>
          </w:p>
        </w:tc>
      </w:tr>
      <w:tr>
        <w:trPr>
          <w:trHeight w:val="234"/>
        </w:trPr>
        <w:tc>
          <w:tcPr>
            <w:tcW w:w="2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160" w:type="dxa"/>
            <w:vAlign w:val="bottom"/>
            <w:gridSpan w:val="2"/>
          </w:tcPr>
          <w:p>
            <w:pPr>
              <w:jc w:val="center"/>
              <w:ind w:right="3190"/>
              <w:spacing w:after="0"/>
              <w:rPr>
                <w:sz w:val="20"/>
                <w:szCs w:val="20"/>
                <w:color w:val="auto"/>
              </w:rPr>
            </w:pPr>
            <w:r>
              <w:rPr>
                <w:rFonts w:ascii="Arial" w:cs="Arial" w:eastAsia="Arial" w:hAnsi="Arial"/>
                <w:sz w:val="18"/>
                <w:szCs w:val="18"/>
                <w:b w:val="1"/>
                <w:bCs w:val="1"/>
                <w:color w:val="auto"/>
                <w:w w:val="92"/>
              </w:rPr>
              <w:t>(Full title of the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Stephen Christopher Linthwaite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42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6500" w:type="dxa"/>
            <w:vAlign w:val="bottom"/>
          </w:tcPr>
          <w:p>
            <w:pPr>
              <w:ind w:left="980"/>
              <w:spacing w:after="0"/>
              <w:rPr>
                <w:sz w:val="20"/>
                <w:szCs w:val="20"/>
                <w:color w:val="auto"/>
              </w:rPr>
            </w:pPr>
            <w:r>
              <w:rPr>
                <w:rFonts w:ascii="Arial" w:cs="Arial" w:eastAsia="Arial" w:hAnsi="Arial"/>
                <w:sz w:val="18"/>
                <w:szCs w:val="18"/>
                <w:i w:val="1"/>
                <w:iCs w:val="1"/>
                <w:color w:val="auto"/>
              </w:rPr>
              <w:t>Copies to:</w:t>
            </w:r>
          </w:p>
        </w:tc>
      </w:tr>
      <w:tr>
        <w:trPr>
          <w:trHeight w:val="216"/>
        </w:trPr>
        <w:tc>
          <w:tcPr>
            <w:tcW w:w="394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Nicholas Khadder</w:t>
            </w:r>
          </w:p>
        </w:tc>
        <w:tc>
          <w:tcPr>
            <w:tcW w:w="6500" w:type="dxa"/>
            <w:vAlign w:val="bottom"/>
          </w:tcPr>
          <w:p>
            <w:pPr>
              <w:jc w:val="center"/>
              <w:ind w:left="3770"/>
              <w:spacing w:after="0"/>
              <w:rPr>
                <w:sz w:val="20"/>
                <w:szCs w:val="20"/>
                <w:color w:val="auto"/>
              </w:rPr>
            </w:pPr>
            <w:r>
              <w:rPr>
                <w:rFonts w:ascii="Arial" w:cs="Arial" w:eastAsia="Arial" w:hAnsi="Arial"/>
                <w:sz w:val="18"/>
                <w:szCs w:val="18"/>
                <w:b w:val="1"/>
                <w:bCs w:val="1"/>
                <w:color w:val="auto"/>
                <w:w w:val="90"/>
              </w:rPr>
              <w:t>Robert F. Kornegay</w:t>
            </w:r>
          </w:p>
        </w:tc>
      </w:tr>
      <w:tr>
        <w:trPr>
          <w:trHeight w:val="216"/>
        </w:trPr>
        <w:tc>
          <w:tcPr>
            <w:tcW w:w="394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General Counsel</w:t>
            </w:r>
          </w:p>
        </w:tc>
        <w:tc>
          <w:tcPr>
            <w:tcW w:w="6500" w:type="dxa"/>
            <w:vAlign w:val="bottom"/>
          </w:tcPr>
          <w:p>
            <w:pPr>
              <w:jc w:val="center"/>
              <w:ind w:left="3770"/>
              <w:spacing w:after="0"/>
              <w:rPr>
                <w:sz w:val="20"/>
                <w:szCs w:val="20"/>
                <w:color w:val="auto"/>
              </w:rPr>
            </w:pPr>
            <w:r>
              <w:rPr>
                <w:rFonts w:ascii="Arial" w:cs="Arial" w:eastAsia="Arial" w:hAnsi="Arial"/>
                <w:sz w:val="18"/>
                <w:szCs w:val="18"/>
                <w:b w:val="1"/>
                <w:bCs w:val="1"/>
                <w:color w:val="auto"/>
                <w:w w:val="90"/>
              </w:rPr>
              <w:t>Wilson Sonsini Goodrich &amp; Rosati</w:t>
            </w:r>
          </w:p>
        </w:tc>
      </w:tr>
      <w:tr>
        <w:trPr>
          <w:trHeight w:val="216"/>
        </w:trPr>
        <w:tc>
          <w:tcPr>
            <w:tcW w:w="394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7000 Shoreline Court, Suite 100</w:t>
            </w:r>
          </w:p>
        </w:tc>
        <w:tc>
          <w:tcPr>
            <w:tcW w:w="6500" w:type="dxa"/>
            <w:vAlign w:val="bottom"/>
          </w:tcPr>
          <w:p>
            <w:pPr>
              <w:jc w:val="center"/>
              <w:ind w:left="3790"/>
              <w:spacing w:after="0"/>
              <w:rPr>
                <w:sz w:val="20"/>
                <w:szCs w:val="20"/>
                <w:color w:val="auto"/>
              </w:rPr>
            </w:pPr>
            <w:r>
              <w:rPr>
                <w:rFonts w:ascii="Arial" w:cs="Arial" w:eastAsia="Arial" w:hAnsi="Arial"/>
                <w:sz w:val="18"/>
                <w:szCs w:val="18"/>
                <w:b w:val="1"/>
                <w:bCs w:val="1"/>
                <w:color w:val="auto"/>
                <w:w w:val="89"/>
              </w:rPr>
              <w:t>Professional Corporation</w:t>
            </w:r>
          </w:p>
        </w:tc>
      </w:tr>
      <w:tr>
        <w:trPr>
          <w:trHeight w:val="216"/>
        </w:trPr>
        <w:tc>
          <w:tcPr>
            <w:tcW w:w="3940" w:type="dxa"/>
            <w:vAlign w:val="bottom"/>
          </w:tcPr>
          <w:p>
            <w:pPr>
              <w:jc w:val="center"/>
              <w:ind w:right="910"/>
              <w:spacing w:after="0"/>
              <w:rPr>
                <w:sz w:val="20"/>
                <w:szCs w:val="20"/>
                <w:color w:val="auto"/>
              </w:rPr>
            </w:pPr>
            <w:r>
              <w:rPr>
                <w:rFonts w:ascii="Arial" w:cs="Arial" w:eastAsia="Arial" w:hAnsi="Arial"/>
                <w:sz w:val="18"/>
                <w:szCs w:val="18"/>
                <w:b w:val="1"/>
                <w:bCs w:val="1"/>
                <w:color w:val="auto"/>
                <w:w w:val="89"/>
              </w:rPr>
              <w:t>South San Francisco, California 94080</w:t>
            </w:r>
          </w:p>
        </w:tc>
        <w:tc>
          <w:tcPr>
            <w:tcW w:w="6500" w:type="dxa"/>
            <w:vAlign w:val="bottom"/>
          </w:tcPr>
          <w:p>
            <w:pPr>
              <w:jc w:val="center"/>
              <w:ind w:left="3790"/>
              <w:spacing w:after="0"/>
              <w:rPr>
                <w:sz w:val="20"/>
                <w:szCs w:val="20"/>
                <w:color w:val="auto"/>
              </w:rPr>
            </w:pPr>
            <w:r>
              <w:rPr>
                <w:rFonts w:ascii="Arial" w:cs="Arial" w:eastAsia="Arial" w:hAnsi="Arial"/>
                <w:sz w:val="18"/>
                <w:szCs w:val="18"/>
                <w:b w:val="1"/>
                <w:bCs w:val="1"/>
                <w:color w:val="auto"/>
                <w:w w:val="91"/>
              </w:rPr>
              <w:t>650 Page Mill Road</w:t>
            </w:r>
          </w:p>
        </w:tc>
      </w:tr>
      <w:tr>
        <w:trPr>
          <w:trHeight w:val="216"/>
        </w:trPr>
        <w:tc>
          <w:tcPr>
            <w:tcW w:w="3940" w:type="dxa"/>
            <w:vAlign w:val="bottom"/>
          </w:tcPr>
          <w:p>
            <w:pPr>
              <w:jc w:val="center"/>
              <w:ind w:right="910"/>
              <w:spacing w:after="0"/>
              <w:rPr>
                <w:sz w:val="20"/>
                <w:szCs w:val="20"/>
                <w:color w:val="auto"/>
              </w:rPr>
            </w:pPr>
            <w:r>
              <w:rPr>
                <w:rFonts w:ascii="Arial" w:cs="Arial" w:eastAsia="Arial" w:hAnsi="Arial"/>
                <w:sz w:val="18"/>
                <w:szCs w:val="18"/>
                <w:b w:val="1"/>
                <w:bCs w:val="1"/>
                <w:color w:val="auto"/>
                <w:w w:val="90"/>
              </w:rPr>
              <w:t>Telephone: (650) 266-6000</w:t>
            </w:r>
          </w:p>
        </w:tc>
        <w:tc>
          <w:tcPr>
            <w:tcW w:w="6500" w:type="dxa"/>
            <w:vAlign w:val="bottom"/>
          </w:tcPr>
          <w:p>
            <w:pPr>
              <w:jc w:val="center"/>
              <w:ind w:left="3770"/>
              <w:spacing w:after="0"/>
              <w:rPr>
                <w:sz w:val="20"/>
                <w:szCs w:val="20"/>
                <w:color w:val="auto"/>
              </w:rPr>
            </w:pPr>
            <w:r>
              <w:rPr>
                <w:rFonts w:ascii="Arial" w:cs="Arial" w:eastAsia="Arial" w:hAnsi="Arial"/>
                <w:sz w:val="18"/>
                <w:szCs w:val="18"/>
                <w:b w:val="1"/>
                <w:bCs w:val="1"/>
                <w:color w:val="auto"/>
                <w:w w:val="91"/>
              </w:rPr>
              <w:t>Palo Alto, California 94304</w:t>
            </w:r>
          </w:p>
        </w:tc>
      </w:tr>
      <w:tr>
        <w:trPr>
          <w:trHeight w:val="234"/>
        </w:trPr>
        <w:tc>
          <w:tcPr>
            <w:tcW w:w="3940" w:type="dxa"/>
            <w:vAlign w:val="bottom"/>
          </w:tcPr>
          <w:p>
            <w:pPr>
              <w:spacing w:after="0"/>
              <w:rPr>
                <w:sz w:val="20"/>
                <w:szCs w:val="20"/>
                <w:color w:val="auto"/>
              </w:rPr>
            </w:pPr>
          </w:p>
        </w:tc>
        <w:tc>
          <w:tcPr>
            <w:tcW w:w="6500" w:type="dxa"/>
            <w:vAlign w:val="bottom"/>
          </w:tcPr>
          <w:p>
            <w:pPr>
              <w:jc w:val="center"/>
              <w:ind w:left="3770"/>
              <w:spacing w:after="0"/>
              <w:rPr>
                <w:sz w:val="20"/>
                <w:szCs w:val="20"/>
                <w:color w:val="auto"/>
              </w:rPr>
            </w:pPr>
            <w:r>
              <w:rPr>
                <w:rFonts w:ascii="Arial" w:cs="Arial" w:eastAsia="Arial" w:hAnsi="Arial"/>
                <w:sz w:val="18"/>
                <w:szCs w:val="18"/>
                <w:b w:val="1"/>
                <w:bCs w:val="1"/>
                <w:color w:val="auto"/>
                <w:w w:val="89"/>
              </w:rPr>
              <w:t>Telephone: (650) 493-9300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90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159385</wp:posOffset>
            </wp:positionV>
            <wp:extent cx="1809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66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Proposed Maximum</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Proposed Maximum</w:t>
            </w:r>
          </w:p>
        </w:tc>
        <w:tc>
          <w:tcPr>
            <w:tcW w:w="19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Title of Securities</w:t>
            </w:r>
          </w:p>
        </w:tc>
        <w:tc>
          <w:tcPr>
            <w:tcW w:w="196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Amount to be</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34"/>
        </w:trPr>
        <w:tc>
          <w:tcPr>
            <w:tcW w:w="20" w:type="dxa"/>
            <w:vAlign w:val="bottom"/>
          </w:tcPr>
          <w:p>
            <w:pPr>
              <w:spacing w:after="0"/>
              <w:rPr>
                <w:sz w:val="20"/>
                <w:szCs w:val="20"/>
                <w:color w:val="auto"/>
              </w:rPr>
            </w:pPr>
          </w:p>
        </w:tc>
        <w:tc>
          <w:tcPr>
            <w:tcW w:w="3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w:t>
            </w:r>
          </w:p>
        </w:tc>
      </w:tr>
      <w:tr>
        <w:trPr>
          <w:trHeight w:val="195"/>
        </w:trPr>
        <w:tc>
          <w:tcPr>
            <w:tcW w:w="20" w:type="dxa"/>
            <w:vAlign w:val="bottom"/>
          </w:tcPr>
          <w:p>
            <w:pPr>
              <w:spacing w:after="0"/>
              <w:rPr>
                <w:sz w:val="16"/>
                <w:szCs w:val="16"/>
                <w:color w:val="auto"/>
              </w:rPr>
            </w:pPr>
          </w:p>
        </w:tc>
        <w:tc>
          <w:tcPr>
            <w:tcW w:w="36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$0.001 par value per share,</w:t>
            </w:r>
          </w:p>
        </w:tc>
        <w:tc>
          <w:tcPr>
            <w:tcW w:w="1960" w:type="dxa"/>
            <w:vAlign w:val="bottom"/>
            <w:tcBorders>
              <w:right w:val="single" w:sz="8" w:color="auto"/>
            </w:tcBorders>
          </w:tcPr>
          <w:p>
            <w:pPr>
              <w:jc w:val="right"/>
              <w:ind w:right="430"/>
              <w:spacing w:after="0" w:line="195" w:lineRule="exact"/>
              <w:rPr>
                <w:sz w:val="20"/>
                <w:szCs w:val="20"/>
                <w:color w:val="auto"/>
              </w:rPr>
            </w:pPr>
            <w:r>
              <w:rPr>
                <w:rFonts w:ascii="Arial" w:cs="Arial" w:eastAsia="Arial" w:hAnsi="Arial"/>
                <w:sz w:val="18"/>
                <w:szCs w:val="18"/>
                <w:color w:val="auto"/>
              </w:rPr>
              <w:t>1,000,000(2)</w:t>
            </w: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$9.10(3)</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$9,100,000.00</w:t>
            </w:r>
          </w:p>
        </w:tc>
        <w:tc>
          <w:tcPr>
            <w:tcW w:w="1920" w:type="dxa"/>
            <w:vAlign w:val="bottom"/>
          </w:tcPr>
          <w:p>
            <w:pPr>
              <w:jc w:val="center"/>
              <w:spacing w:after="0" w:line="195" w:lineRule="exact"/>
              <w:rPr>
                <w:sz w:val="20"/>
                <w:szCs w:val="20"/>
                <w:color w:val="auto"/>
              </w:rPr>
            </w:pPr>
            <w:r>
              <w:rPr>
                <w:rFonts w:ascii="Arial" w:cs="Arial" w:eastAsia="Arial" w:hAnsi="Arial"/>
                <w:sz w:val="18"/>
                <w:szCs w:val="18"/>
                <w:color w:val="auto"/>
                <w:w w:val="89"/>
              </w:rPr>
              <w:t>$1,102.92</w:t>
            </w:r>
          </w:p>
        </w:tc>
      </w:tr>
      <w:tr>
        <w:trPr>
          <w:trHeight w:val="230"/>
        </w:trPr>
        <w:tc>
          <w:tcPr>
            <w:tcW w:w="20" w:type="dxa"/>
            <w:vAlign w:val="bottom"/>
          </w:tcPr>
          <w:p>
            <w:pPr>
              <w:spacing w:after="0"/>
              <w:rPr>
                <w:sz w:val="20"/>
                <w:szCs w:val="20"/>
                <w:color w:val="auto"/>
              </w:rPr>
            </w:pPr>
          </w:p>
        </w:tc>
        <w:tc>
          <w:tcPr>
            <w:tcW w:w="36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reserved for issuance pursuant to the Fluidigm</w:t>
            </w:r>
          </w:p>
        </w:tc>
        <w:tc>
          <w:tcPr>
            <w:tcW w:w="19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366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20" w:type="dxa"/>
            <w:vAlign w:val="bottom"/>
          </w:tcPr>
          <w:p>
            <w:pPr>
              <w:spacing w:after="0"/>
              <w:rPr>
                <w:sz w:val="10"/>
                <w:szCs w:val="10"/>
                <w:color w:val="auto"/>
              </w:rPr>
            </w:pPr>
          </w:p>
        </w:tc>
      </w:tr>
    </w:tbl>
    <w:p>
      <w:pPr>
        <w:sectPr>
          <w:pgSz w:w="11900" w:h="16900" w:orient="portrait"/>
          <w:cols w:equalWidth="0" w:num="1">
            <w:col w:w="11420"/>
          </w:cols>
          <w:pgMar w:left="240" w:top="702"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Corporation 2011 Equity Incentive Plan</w:t>
            </w:r>
          </w:p>
        </w:tc>
        <w:tc>
          <w:tcPr>
            <w:tcW w:w="28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2860" w:type="dxa"/>
            <w:vAlign w:val="bottom"/>
          </w:tcPr>
          <w:p>
            <w:pPr>
              <w:jc w:val="right"/>
              <w:ind w:right="1410"/>
              <w:spacing w:after="0"/>
              <w:rPr>
                <w:sz w:val="20"/>
                <w:szCs w:val="20"/>
                <w:color w:val="auto"/>
              </w:rPr>
            </w:pPr>
            <w:r>
              <w:rPr>
                <w:rFonts w:ascii="Arial" w:cs="Arial" w:eastAsia="Arial" w:hAnsi="Arial"/>
                <w:sz w:val="18"/>
                <w:szCs w:val="18"/>
                <w:color w:val="auto"/>
              </w:rPr>
              <w:t>1,000,000</w:t>
            </w:r>
          </w:p>
        </w:tc>
        <w:tc>
          <w:tcPr>
            <w:tcW w:w="3080" w:type="dxa"/>
            <w:vAlign w:val="bottom"/>
          </w:tcPr>
          <w:p>
            <w:pPr>
              <w:jc w:val="right"/>
              <w:ind w:right="450"/>
              <w:spacing w:after="0"/>
              <w:rPr>
                <w:sz w:val="20"/>
                <w:szCs w:val="20"/>
                <w:color w:val="auto"/>
              </w:rPr>
            </w:pPr>
            <w:r>
              <w:rPr>
                <w:rFonts w:ascii="Arial" w:cs="Arial" w:eastAsia="Arial" w:hAnsi="Arial"/>
                <w:sz w:val="18"/>
                <w:szCs w:val="18"/>
                <w:color w:val="auto"/>
              </w:rPr>
              <w:t>$9,100,000.00</w:t>
            </w:r>
          </w:p>
        </w:tc>
        <w:tc>
          <w:tcPr>
            <w:tcW w:w="1240" w:type="dxa"/>
            <w:vAlign w:val="bottom"/>
          </w:tcPr>
          <w:p>
            <w:pPr>
              <w:jc w:val="right"/>
              <w:spacing w:after="0"/>
              <w:rPr>
                <w:sz w:val="20"/>
                <w:szCs w:val="20"/>
                <w:color w:val="auto"/>
              </w:rPr>
            </w:pPr>
            <w:r>
              <w:rPr>
                <w:rFonts w:ascii="Arial" w:cs="Arial" w:eastAsia="Arial" w:hAnsi="Arial"/>
                <w:sz w:val="18"/>
                <w:szCs w:val="18"/>
                <w:color w:val="auto"/>
              </w:rPr>
              <w:t>$1,102.92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22" w:lineRule="exact"/>
        <w:rPr>
          <w:sz w:val="20"/>
          <w:szCs w:val="20"/>
          <w:color w:val="auto"/>
        </w:rPr>
      </w:pPr>
    </w:p>
    <w:p>
      <w:pPr>
        <w:ind w:left="34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this Registration Statement shall also cover any additional shares of the Registrant’s common stock that become issuable under the Fluidigm Corporation 2011 Equity Incentive Plan (“2011 Plan”) by reason of any stock dividend, stock split, recapitalization or other similar transaction effected without receipt of consideration that increases the number of the Registrant’s outstanding shares of common stock.</w:t>
      </w:r>
    </w:p>
    <w:p>
      <w:pPr>
        <w:spacing w:after="0" w:line="2"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1,000,000 shares of the Registrant’s common stock that were automatically added to the shares authorized for issuance under the 2011 Plan on January 1, 2019 pursuant to an “evergreen” provision contained in the 2011 Plan. Pursuant to such provision, on January 1st of each fiscal year beginning with the 2012 fiscal year, the number of shares available for issuance under the 2011 Plan is automatically increased in an amount equal to the least of (i) 1,000,000 shares of the Registrant’s common stock, (ii) four percent (4%) of the number of shares of the Registrant’s common stock outstanding on December 31st of the preceding fiscal year, or (iii) such number of shares of the Registrant’s common stock determined by the Registrant’s board of directors.</w:t>
      </w:r>
    </w:p>
    <w:p>
      <w:pPr>
        <w:spacing w:after="0" w:line="2" w:lineRule="exact"/>
        <w:rPr>
          <w:rFonts w:ascii="Arial" w:cs="Arial" w:eastAsia="Arial" w:hAnsi="Arial"/>
          <w:sz w:val="18"/>
          <w:szCs w:val="18"/>
          <w:color w:val="auto"/>
        </w:rPr>
      </w:pPr>
    </w:p>
    <w:p>
      <w:pPr>
        <w:ind w:left="340" w:right="60" w:hanging="332"/>
        <w:spacing w:after="0" w:line="323"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paragraphs (c) and (h) of Rule 457 solely for the purpose of calculating the total registration fee. Computation based on the average of the high and low prices of the Registrant’s common stock as reported on the NASDAQ Global Select Market on January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OF ADDITIONAL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GENERAL INSTRUCTION E</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This Registration Statement registers additional shares of the common stock of Fluidigm Corporation (the “Registrant”) to be issued pursuant to the Registrant’s 2011 Equity Incentive Plan (the “2011 Plan”). Accordingly, the contents of (i) the previous Registration Statement on Form S-8 filed by the Registrant with the Securities and Exchange Commission (the “Commission”) on February 11, 2011 (Registration No. 333-172206); (ii) the previous Registration Statement on Form S-8 filed by the Registrant with the Commission on March 26, 2012 (Registration No. 333-180363); (iii) the previous Registration Statement on Form S-8 filed by the Registrant with the Commission on March 12, 2013 (Registration No. 333-187204); (iv) the previous Registration Statement on Form S-8 filed by the Registrant with the Commission on February 21, 2014 (Registration No. 333-194084); (v) the previous Registration Statement on Form S-8 filed by the Registrant with the Commission on February 26, 2015 (Registration No. 333-202325); (vi) the previous Registration Statement on Form S-8 filed by the Registrant with the Commission on March 3, 2016 (Registration No. 333-209904), as amended on March 15, 2016; (vii) the previous Registration Statement on Form S-8 filed by the Registrant with the Commission on January 13, 2017 (Registration No. 333-215555); and (viii) the previous Registration Statement on Form S-8 filed by the Registrant with the Commission on January 16, 2018 (Registration No. 333-222561) (together, the “Previous Forms S-8”) are incorporated by reference into this Registration Statement pursuant to General Instruction E of Form S-8.</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Registrant hereby incorporates by reference into this Registration Statement the following documents previously filed with the Commission:</w:t>
      </w:r>
    </w:p>
    <w:p>
      <w:pPr>
        <w:spacing w:after="0" w:line="248" w:lineRule="exact"/>
        <w:rPr>
          <w:sz w:val="20"/>
          <w:szCs w:val="20"/>
          <w:color w:val="auto"/>
        </w:rPr>
      </w:pPr>
    </w:p>
    <w:p>
      <w:pPr>
        <w:ind w:left="1300" w:right="120" w:hanging="644"/>
        <w:spacing w:after="0" w:line="286" w:lineRule="auto"/>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10-K for the fiscal year ended December 31, 2017, filed with the Commission on March 8, 2018, including portions of the Registrant’s definitive Proxy Statement on Schedule 14A, as filed with the SEC on April 27, 2018 in connection with the Registrant’s 2018 annual meeting of stockholders, to the extent specifically incorporated by reference therein;</w:t>
      </w:r>
    </w:p>
    <w:p>
      <w:pPr>
        <w:spacing w:after="0" w:line="192" w:lineRule="exact"/>
        <w:rPr>
          <w:rFonts w:ascii="Arial" w:cs="Arial" w:eastAsia="Arial" w:hAnsi="Arial"/>
          <w:sz w:val="17"/>
          <w:szCs w:val="17"/>
          <w:color w:val="auto"/>
        </w:rPr>
      </w:pPr>
    </w:p>
    <w:p>
      <w:pPr>
        <w:ind w:left="1300" w:right="4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Reports on Form 10-Q for the three months ended March 31, 2018, June 30, 2018, and September 30, 2018 filed with the Commission on May 8, 2018, August 8, 2018, and November 6, 2018, respectively;</w:t>
      </w:r>
    </w:p>
    <w:p>
      <w:pPr>
        <w:spacing w:after="0" w:line="197" w:lineRule="exact"/>
        <w:rPr>
          <w:rFonts w:ascii="Arial" w:cs="Arial" w:eastAsia="Arial" w:hAnsi="Arial"/>
          <w:sz w:val="18"/>
          <w:szCs w:val="18"/>
          <w:color w:val="auto"/>
        </w:rPr>
      </w:pPr>
    </w:p>
    <w:p>
      <w:pPr>
        <w:ind w:left="1300" w:right="160" w:hanging="644"/>
        <w:spacing w:after="0" w:line="25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February 7, 2018, March 2, 2018, March 6, 2018, March 13, 2018, March 19, 2018, June 1, 2018, August 2, 2018 (only with respect to information filed under Item 1.01, 2.03, 5.02, and Item 9.01 related thereto), September 20, 2018, October 31, 2018 and December 12, 2018, only to the extent that the items therein are specifically stated to be “filed” rather than “furnished” for the purposes of Section 18 of the Securities Exchange Act of 1934, as amended (the “Exchange Act”); and</w:t>
      </w:r>
    </w:p>
    <w:p>
      <w:pPr>
        <w:spacing w:after="0" w:line="21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Company’s Registration Statements on Form 8-A (File No. 001-34180) filed with the Commission on February 7, 2011, pursuant to Section 12(b) of the Exchange Act, including any amendment or report filed for the purpose of updating such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right="80" w:firstLine="648"/>
        <w:spacing w:after="0" w:line="270" w:lineRule="auto"/>
        <w:rPr>
          <w:sz w:val="20"/>
          <w:szCs w:val="20"/>
          <w:color w:val="auto"/>
        </w:rPr>
      </w:pPr>
      <w:r>
        <w:rPr>
          <w:rFonts w:ascii="Arial" w:cs="Arial" w:eastAsia="Arial" w:hAnsi="Arial"/>
          <w:sz w:val="17"/>
          <w:szCs w:val="17"/>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Incorporated</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by Reference</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2"/>
              </w:rPr>
              <w:t>Incorporated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From</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11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8"/>
              </w:rPr>
              <w:t>by Reference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4"/>
        </w:trPr>
        <w:tc>
          <w:tcPr>
            <w:tcW w:w="11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20"/>
          </w:tcPr>
          <w:p>
            <w:pPr>
              <w:ind w:left="10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From Form</w:t>
            </w:r>
          </w:p>
        </w:tc>
        <w:tc>
          <w:tcPr>
            <w:tcW w:w="220" w:type="dxa"/>
            <w:vAlign w:val="bottom"/>
          </w:tcPr>
          <w:p>
            <w:pPr>
              <w:spacing w:after="0"/>
              <w:rPr>
                <w:sz w:val="20"/>
                <w:szCs w:val="20"/>
                <w:color w:val="auto"/>
              </w:rPr>
            </w:pPr>
          </w:p>
        </w:tc>
        <w:tc>
          <w:tcPr>
            <w:tcW w:w="10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220" w:type="dxa"/>
            <w:vAlign w:val="bottom"/>
          </w:tcPr>
          <w:p>
            <w:pPr>
              <w:spacing w:after="0"/>
              <w:rPr>
                <w:sz w:val="20"/>
                <w:szCs w:val="20"/>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Date Filed</w:t>
            </w:r>
          </w:p>
        </w:tc>
      </w:tr>
      <w:tr>
        <w:trPr>
          <w:trHeight w:val="169"/>
        </w:trPr>
        <w:tc>
          <w:tcPr>
            <w:tcW w:w="460" w:type="dxa"/>
            <w:vAlign w:val="bottom"/>
          </w:tcPr>
          <w:p>
            <w:pPr>
              <w:spacing w:after="0"/>
              <w:rPr>
                <w:sz w:val="14"/>
                <w:szCs w:val="14"/>
                <w:color w:val="auto"/>
              </w:rPr>
            </w:pPr>
          </w:p>
        </w:tc>
        <w:tc>
          <w:tcPr>
            <w:tcW w:w="240" w:type="dxa"/>
            <w:vAlign w:val="bottom"/>
          </w:tcPr>
          <w:p>
            <w:pPr>
              <w:jc w:val="center"/>
              <w:spacing w:after="0" w:line="170" w:lineRule="exact"/>
              <w:rPr>
                <w:rFonts w:ascii="Arial" w:cs="Arial" w:eastAsia="Arial" w:hAnsi="Arial"/>
                <w:sz w:val="18"/>
                <w:szCs w:val="18"/>
                <w:color w:val="0000EE"/>
                <w:w w:val="95"/>
              </w:rPr>
            </w:pPr>
            <w:hyperlink r:id="rId20">
              <w:r>
                <w:rPr>
                  <w:rFonts w:ascii="Arial" w:cs="Arial" w:eastAsia="Arial" w:hAnsi="Arial"/>
                  <w:sz w:val="18"/>
                  <w:szCs w:val="18"/>
                  <w:color w:val="0000EE"/>
                  <w:w w:val="95"/>
                </w:rPr>
                <w:t>4.</w:t>
              </w:r>
              <w:r>
                <w:rPr>
                  <w:rFonts w:ascii="Arial" w:cs="Arial" w:eastAsia="Arial" w:hAnsi="Arial"/>
                  <w:sz w:val="18"/>
                  <w:szCs w:val="18"/>
                  <w:u w:val="single" w:color="auto"/>
                  <w:color w:val="0000EE"/>
                  <w:w w:val="95"/>
                </w:rPr>
                <w:t>1</w:t>
              </w:r>
            </w:hyperlink>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80" w:type="dxa"/>
            <w:vAlign w:val="bottom"/>
            <w:gridSpan w:val="13"/>
          </w:tcPr>
          <w:p>
            <w:pPr>
              <w:spacing w:after="0" w:line="170"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Specimen Common Stock Certificate of the Registrant.</w:t>
              </w:r>
            </w:hyperlink>
          </w:p>
        </w:tc>
        <w:tc>
          <w:tcPr>
            <w:tcW w:w="1960" w:type="dxa"/>
            <w:vAlign w:val="bottom"/>
            <w:gridSpan w:val="14"/>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5"/>
          </w:tcPr>
          <w:p>
            <w:pPr>
              <w:spacing w:after="0" w:line="170" w:lineRule="exact"/>
              <w:rPr>
                <w:rFonts w:ascii="Arial" w:cs="Arial" w:eastAsia="Arial" w:hAnsi="Arial"/>
                <w:sz w:val="18"/>
                <w:szCs w:val="18"/>
                <w:color w:val="0000EE"/>
              </w:rPr>
            </w:pPr>
            <w:hyperlink r:id="rId20">
              <w:r>
                <w:rPr>
                  <w:rFonts w:ascii="Arial" w:cs="Arial" w:eastAsia="Arial" w:hAnsi="Arial"/>
                  <w:sz w:val="18"/>
                  <w:szCs w:val="18"/>
                  <w:color w:val="0000EE"/>
                </w:rPr>
                <w:t>S-8</w:t>
              </w:r>
            </w:hyperlink>
          </w:p>
        </w:tc>
        <w:tc>
          <w:tcPr>
            <w:tcW w:w="220" w:type="dxa"/>
            <w:vAlign w:val="bottom"/>
          </w:tcPr>
          <w:p>
            <w:pPr>
              <w:spacing w:after="0"/>
              <w:rPr>
                <w:sz w:val="14"/>
                <w:szCs w:val="14"/>
                <w:color w:val="auto"/>
              </w:rPr>
            </w:pPr>
          </w:p>
        </w:tc>
        <w:tc>
          <w:tcPr>
            <w:tcW w:w="220" w:type="dxa"/>
            <w:vAlign w:val="bottom"/>
          </w:tcPr>
          <w:p>
            <w:pPr>
              <w:jc w:val="right"/>
              <w:spacing w:after="0" w:line="170" w:lineRule="exact"/>
              <w:rPr>
                <w:rFonts w:ascii="Arial" w:cs="Arial" w:eastAsia="Arial" w:hAnsi="Arial"/>
                <w:sz w:val="18"/>
                <w:szCs w:val="18"/>
                <w:color w:val="0000EE"/>
                <w:w w:val="79"/>
              </w:rPr>
            </w:pPr>
            <w:hyperlink r:id="rId2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spacing w:after="0" w:line="170" w:lineRule="exact"/>
              <w:rPr>
                <w:rFonts w:ascii="Arial" w:cs="Arial" w:eastAsia="Arial" w:hAnsi="Arial"/>
                <w:sz w:val="18"/>
                <w:szCs w:val="18"/>
                <w:color w:val="0000EE"/>
                <w:w w:val="99"/>
              </w:rPr>
            </w:pPr>
            <w:hyperlink r:id="rId20">
              <w:r>
                <w:rPr>
                  <w:rFonts w:ascii="Arial" w:cs="Arial" w:eastAsia="Arial" w:hAnsi="Arial"/>
                  <w:sz w:val="18"/>
                  <w:szCs w:val="18"/>
                  <w:color w:val="0000EE"/>
                  <w:w w:val="99"/>
                </w:rPr>
                <w:t>8/3/2017</w:t>
              </w:r>
            </w:hyperlink>
          </w:p>
        </w:tc>
        <w:tc>
          <w:tcPr>
            <w:tcW w:w="300" w:type="dxa"/>
            <w:vAlign w:val="bottom"/>
          </w:tcPr>
          <w:p>
            <w:pPr>
              <w:spacing w:after="0"/>
              <w:rPr>
                <w:sz w:val="14"/>
                <w:szCs w:val="14"/>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1">
              <w:r>
                <w:rPr>
                  <w:rFonts w:ascii="Arial" w:cs="Arial" w:eastAsia="Arial" w:hAnsi="Arial"/>
                  <w:sz w:val="18"/>
                  <w:szCs w:val="18"/>
                  <w:color w:val="0000EE"/>
                  <w:w w:val="89"/>
                </w:rPr>
                <w:t>4.</w:t>
              </w:r>
              <w:r>
                <w:rPr>
                  <w:rFonts w:ascii="Arial" w:cs="Arial" w:eastAsia="Arial" w:hAnsi="Arial"/>
                  <w:sz w:val="18"/>
                  <w:szCs w:val="18"/>
                  <w:u w:val="single" w:color="auto"/>
                  <w:color w:val="0000EE"/>
                  <w:w w:val="89"/>
                </w:rPr>
                <w:t>2+</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r:id="rId21">
              <w:r>
                <w:rPr>
                  <w:rFonts w:ascii="Arial" w:cs="Arial" w:eastAsia="Arial" w:hAnsi="Arial"/>
                  <w:sz w:val="18"/>
                  <w:szCs w:val="18"/>
                  <w:color w:val="0000EE"/>
                </w:rPr>
                <w:t>2011 Equity Incentive Plan of Fluidigm Corporation.</w:t>
              </w:r>
            </w:hyperlink>
          </w:p>
        </w:tc>
        <w:tc>
          <w:tcPr>
            <w:tcW w:w="1620" w:type="dxa"/>
            <w:vAlign w:val="bottom"/>
            <w:gridSpan w:val="6"/>
          </w:tcPr>
          <w:p>
            <w:pPr>
              <w:ind w:left="240"/>
              <w:spacing w:after="0"/>
              <w:rPr>
                <w:rFonts w:ascii="Arial" w:cs="Arial" w:eastAsia="Arial" w:hAnsi="Arial"/>
                <w:sz w:val="18"/>
                <w:szCs w:val="18"/>
                <w:color w:val="0000EE"/>
              </w:rPr>
            </w:pPr>
            <w:hyperlink r:id="rId21">
              <w:r>
                <w:rPr>
                  <w:rFonts w:ascii="Arial" w:cs="Arial" w:eastAsia="Arial" w:hAnsi="Arial"/>
                  <w:sz w:val="18"/>
                  <w:szCs w:val="18"/>
                  <w:color w:val="0000EE"/>
                </w:rPr>
                <w:t>S-1/A</w:t>
              </w:r>
            </w:hyperlink>
          </w:p>
        </w:tc>
        <w:tc>
          <w:tcPr>
            <w:tcW w:w="640" w:type="dxa"/>
            <w:vAlign w:val="bottom"/>
            <w:gridSpan w:val="4"/>
          </w:tcPr>
          <w:p>
            <w:pPr>
              <w:ind w:left="220"/>
              <w:spacing w:after="0"/>
              <w:rPr>
                <w:rFonts w:ascii="Arial" w:cs="Arial" w:eastAsia="Arial" w:hAnsi="Arial"/>
                <w:sz w:val="18"/>
                <w:szCs w:val="18"/>
                <w:color w:val="0000EE"/>
              </w:rPr>
            </w:pPr>
            <w:hyperlink r:id="rId2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87"/>
              </w:rPr>
            </w:pPr>
            <w:hyperlink r:id="rId21">
              <w:r>
                <w:rPr>
                  <w:rFonts w:ascii="Arial" w:cs="Arial" w:eastAsia="Arial" w:hAnsi="Arial"/>
                  <w:sz w:val="18"/>
                  <w:szCs w:val="18"/>
                  <w:color w:val="0000EE"/>
                  <w:w w:val="87"/>
                </w:rPr>
                <w:t>1/28/2011</w:t>
              </w:r>
            </w:hyperlink>
          </w:p>
        </w:tc>
        <w:tc>
          <w:tcPr>
            <w:tcW w:w="300" w:type="dxa"/>
            <w:vAlign w:val="bottom"/>
          </w:tcPr>
          <w:p>
            <w:pPr>
              <w:spacing w:after="0"/>
              <w:rPr>
                <w:sz w:val="21"/>
                <w:szCs w:val="2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2">
              <w:r>
                <w:rPr>
                  <w:rFonts w:ascii="Arial" w:cs="Arial" w:eastAsia="Arial" w:hAnsi="Arial"/>
                  <w:sz w:val="18"/>
                  <w:szCs w:val="18"/>
                  <w:color w:val="0000EE"/>
                  <w:w w:val="89"/>
                </w:rPr>
                <w:t>4.</w:t>
              </w:r>
              <w:r>
                <w:rPr>
                  <w:rFonts w:ascii="Arial" w:cs="Arial" w:eastAsia="Arial" w:hAnsi="Arial"/>
                  <w:sz w:val="18"/>
                  <w:szCs w:val="18"/>
                  <w:u w:val="single" w:color="auto"/>
                  <w:color w:val="0000EE"/>
                  <w:w w:val="89"/>
                </w:rPr>
                <w:t>3+</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r:id="rId22">
              <w:r>
                <w:rPr>
                  <w:rFonts w:ascii="Arial" w:cs="Arial" w:eastAsia="Arial" w:hAnsi="Arial"/>
                  <w:sz w:val="18"/>
                  <w:szCs w:val="18"/>
                  <w:color w:val="0000EE"/>
                </w:rPr>
                <w:t>Forms of U.S. agreements under the 2011 Equity Incentive Plan.</w:t>
              </w:r>
            </w:hyperlink>
          </w:p>
        </w:tc>
        <w:tc>
          <w:tcPr>
            <w:tcW w:w="1620" w:type="dxa"/>
            <w:vAlign w:val="bottom"/>
            <w:gridSpan w:val="6"/>
          </w:tcPr>
          <w:p>
            <w:pPr>
              <w:ind w:left="240"/>
              <w:spacing w:after="0"/>
              <w:rPr>
                <w:rFonts w:ascii="Arial" w:cs="Arial" w:eastAsia="Arial" w:hAnsi="Arial"/>
                <w:sz w:val="18"/>
                <w:szCs w:val="18"/>
                <w:color w:val="0000EE"/>
              </w:rPr>
            </w:pPr>
            <w:hyperlink r:id="rId22">
              <w:r>
                <w:rPr>
                  <w:rFonts w:ascii="Arial" w:cs="Arial" w:eastAsia="Arial" w:hAnsi="Arial"/>
                  <w:sz w:val="18"/>
                  <w:szCs w:val="18"/>
                  <w:color w:val="0000EE"/>
                </w:rPr>
                <w:t>SC TO-I</w:t>
              </w:r>
            </w:hyperlink>
          </w:p>
        </w:tc>
        <w:tc>
          <w:tcPr>
            <w:tcW w:w="1240" w:type="dxa"/>
            <w:vAlign w:val="bottom"/>
            <w:gridSpan w:val="5"/>
          </w:tcPr>
          <w:p>
            <w:pPr>
              <w:ind w:left="220"/>
              <w:spacing w:after="0"/>
              <w:rPr>
                <w:rFonts w:ascii="Arial" w:cs="Arial" w:eastAsia="Arial" w:hAnsi="Arial"/>
                <w:sz w:val="18"/>
                <w:szCs w:val="18"/>
                <w:color w:val="0000EE"/>
              </w:rPr>
            </w:pPr>
            <w:hyperlink r:id="rId22">
              <w:r>
                <w:rPr>
                  <w:rFonts w:ascii="Arial" w:cs="Arial" w:eastAsia="Arial" w:hAnsi="Arial"/>
                  <w:sz w:val="18"/>
                  <w:szCs w:val="18"/>
                  <w:color w:val="0000EE"/>
                </w:rPr>
                <w:t>(d)(2)</w:t>
              </w:r>
            </w:hyperlink>
          </w:p>
        </w:tc>
        <w:tc>
          <w:tcPr>
            <w:tcW w:w="1240" w:type="dxa"/>
            <w:vAlign w:val="bottom"/>
            <w:gridSpan w:val="4"/>
          </w:tcPr>
          <w:p>
            <w:pPr>
              <w:ind w:left="220"/>
              <w:spacing w:after="0"/>
              <w:rPr>
                <w:rFonts w:ascii="Arial" w:cs="Arial" w:eastAsia="Arial" w:hAnsi="Arial"/>
                <w:sz w:val="18"/>
                <w:szCs w:val="18"/>
                <w:color w:val="0000EE"/>
              </w:rPr>
            </w:pPr>
            <w:hyperlink r:id="rId22">
              <w:r>
                <w:rPr>
                  <w:rFonts w:ascii="Arial" w:cs="Arial" w:eastAsia="Arial" w:hAnsi="Arial"/>
                  <w:sz w:val="18"/>
                  <w:szCs w:val="18"/>
                  <w:color w:val="0000EE"/>
                </w:rPr>
                <w:t>8/23/2017</w:t>
              </w:r>
            </w:hyperlink>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4.</w:t>
              </w:r>
              <w:r>
                <w:rPr>
                  <w:rFonts w:ascii="Arial" w:cs="Arial" w:eastAsia="Arial" w:hAnsi="Arial"/>
                  <w:sz w:val="18"/>
                  <w:szCs w:val="18"/>
                  <w:u w:val="single" w:color="auto"/>
                  <w:color w:val="0000EE"/>
                  <w:w w:val="89"/>
                </w:rPr>
                <w:t>4+</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w w:val="98"/>
              </w:rPr>
            </w:pPr>
            <w:hyperlink r:id="rId23">
              <w:r>
                <w:rPr>
                  <w:rFonts w:ascii="Arial" w:cs="Arial" w:eastAsia="Arial" w:hAnsi="Arial"/>
                  <w:sz w:val="18"/>
                  <w:szCs w:val="18"/>
                  <w:color w:val="0000EE"/>
                  <w:w w:val="98"/>
                </w:rPr>
                <w:t>Rules of the Fluidigm Corporation 2011 Equity Incentive Plan for Restricted</w:t>
              </w:r>
            </w:hyperlink>
          </w:p>
        </w:tc>
        <w:tc>
          <w:tcPr>
            <w:tcW w:w="1620" w:type="dxa"/>
            <w:vAlign w:val="bottom"/>
            <w:gridSpan w:val="6"/>
          </w:tcPr>
          <w:p>
            <w:pPr>
              <w:ind w:left="240"/>
              <w:spacing w:after="0"/>
              <w:rPr>
                <w:rFonts w:ascii="Arial" w:cs="Arial" w:eastAsia="Arial" w:hAnsi="Arial"/>
                <w:sz w:val="18"/>
                <w:szCs w:val="18"/>
                <w:color w:val="0000EE"/>
              </w:rPr>
            </w:pPr>
            <w:hyperlink r:id="rId23">
              <w:r>
                <w:rPr>
                  <w:rFonts w:ascii="Arial" w:cs="Arial" w:eastAsia="Arial" w:hAnsi="Arial"/>
                  <w:sz w:val="18"/>
                  <w:szCs w:val="18"/>
                  <w:color w:val="0000EE"/>
                </w:rPr>
                <w:t>SC TO-I</w:t>
              </w:r>
            </w:hyperlink>
          </w:p>
        </w:tc>
        <w:tc>
          <w:tcPr>
            <w:tcW w:w="1240" w:type="dxa"/>
            <w:vAlign w:val="bottom"/>
            <w:gridSpan w:val="5"/>
          </w:tcPr>
          <w:p>
            <w:pPr>
              <w:ind w:left="220"/>
              <w:spacing w:after="0"/>
              <w:rPr>
                <w:rFonts w:ascii="Arial" w:cs="Arial" w:eastAsia="Arial" w:hAnsi="Arial"/>
                <w:sz w:val="18"/>
                <w:szCs w:val="18"/>
                <w:color w:val="0000EE"/>
              </w:rPr>
            </w:pPr>
            <w:hyperlink r:id="rId23">
              <w:r>
                <w:rPr>
                  <w:rFonts w:ascii="Arial" w:cs="Arial" w:eastAsia="Arial" w:hAnsi="Arial"/>
                  <w:sz w:val="18"/>
                  <w:szCs w:val="18"/>
                  <w:color w:val="0000EE"/>
                </w:rPr>
                <w:t>(d)(3)</w:t>
              </w:r>
            </w:hyperlink>
          </w:p>
        </w:tc>
        <w:tc>
          <w:tcPr>
            <w:tcW w:w="1240" w:type="dxa"/>
            <w:vAlign w:val="bottom"/>
            <w:gridSpan w:val="4"/>
          </w:tcPr>
          <w:p>
            <w:pPr>
              <w:ind w:left="220"/>
              <w:spacing w:after="0"/>
              <w:rPr>
                <w:rFonts w:ascii="Arial" w:cs="Arial" w:eastAsia="Arial" w:hAnsi="Arial"/>
                <w:sz w:val="18"/>
                <w:szCs w:val="18"/>
                <w:color w:val="0000EE"/>
              </w:rPr>
            </w:pPr>
            <w:hyperlink r:id="rId23">
              <w:r>
                <w:rPr>
                  <w:rFonts w:ascii="Arial" w:cs="Arial" w:eastAsia="Arial" w:hAnsi="Arial"/>
                  <w:sz w:val="18"/>
                  <w:szCs w:val="18"/>
                  <w:color w:val="0000EE"/>
                </w:rPr>
                <w:t>8/23/2017</w:t>
              </w:r>
            </w:hyperlink>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Stock Unit Awards Granted to French Participants.</w:t>
              </w:r>
            </w:hyperlink>
          </w:p>
        </w:tc>
        <w:tc>
          <w:tcPr>
            <w:tcW w:w="4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4.</w:t>
              </w:r>
              <w:r>
                <w:rPr>
                  <w:rFonts w:ascii="Arial" w:cs="Arial" w:eastAsia="Arial" w:hAnsi="Arial"/>
                  <w:sz w:val="18"/>
                  <w:szCs w:val="18"/>
                  <w:u w:val="single" w:color="auto"/>
                  <w:color w:val="0000EE"/>
                  <w:w w:val="89"/>
                </w:rPr>
                <w:t>5+</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r:id="rId24">
              <w:r>
                <w:rPr>
                  <w:rFonts w:ascii="Arial" w:cs="Arial" w:eastAsia="Arial" w:hAnsi="Arial"/>
                  <w:sz w:val="18"/>
                  <w:szCs w:val="18"/>
                  <w:color w:val="0000EE"/>
                </w:rPr>
                <w:t>Rules of the Fluidigm Corporation 2011 Equity Incentive Plan for Options</w:t>
              </w:r>
            </w:hyperlink>
          </w:p>
        </w:tc>
        <w:tc>
          <w:tcPr>
            <w:tcW w:w="1620" w:type="dxa"/>
            <w:vAlign w:val="bottom"/>
            <w:gridSpan w:val="6"/>
          </w:tcPr>
          <w:p>
            <w:pPr>
              <w:ind w:left="240"/>
              <w:spacing w:after="0"/>
              <w:rPr>
                <w:rFonts w:ascii="Arial" w:cs="Arial" w:eastAsia="Arial" w:hAnsi="Arial"/>
                <w:sz w:val="18"/>
                <w:szCs w:val="18"/>
                <w:color w:val="0000EE"/>
              </w:rPr>
            </w:pPr>
            <w:hyperlink r:id="rId24">
              <w:r>
                <w:rPr>
                  <w:rFonts w:ascii="Arial" w:cs="Arial" w:eastAsia="Arial" w:hAnsi="Arial"/>
                  <w:sz w:val="18"/>
                  <w:szCs w:val="18"/>
                  <w:color w:val="0000EE"/>
                </w:rPr>
                <w:t>SC TO-I</w:t>
              </w:r>
            </w:hyperlink>
          </w:p>
        </w:tc>
        <w:tc>
          <w:tcPr>
            <w:tcW w:w="1240" w:type="dxa"/>
            <w:vAlign w:val="bottom"/>
            <w:gridSpan w:val="5"/>
          </w:tcPr>
          <w:p>
            <w:pPr>
              <w:ind w:left="220"/>
              <w:spacing w:after="0"/>
              <w:rPr>
                <w:rFonts w:ascii="Arial" w:cs="Arial" w:eastAsia="Arial" w:hAnsi="Arial"/>
                <w:sz w:val="18"/>
                <w:szCs w:val="18"/>
                <w:color w:val="0000EE"/>
              </w:rPr>
            </w:pPr>
            <w:hyperlink r:id="rId24">
              <w:r>
                <w:rPr>
                  <w:rFonts w:ascii="Arial" w:cs="Arial" w:eastAsia="Arial" w:hAnsi="Arial"/>
                  <w:sz w:val="18"/>
                  <w:szCs w:val="18"/>
                  <w:color w:val="0000EE"/>
                </w:rPr>
                <w:t>(d)(4)</w:t>
              </w:r>
            </w:hyperlink>
          </w:p>
        </w:tc>
        <w:tc>
          <w:tcPr>
            <w:tcW w:w="1240" w:type="dxa"/>
            <w:vAlign w:val="bottom"/>
            <w:gridSpan w:val="4"/>
          </w:tcPr>
          <w:p>
            <w:pPr>
              <w:ind w:left="220"/>
              <w:spacing w:after="0"/>
              <w:rPr>
                <w:rFonts w:ascii="Arial" w:cs="Arial" w:eastAsia="Arial" w:hAnsi="Arial"/>
                <w:sz w:val="18"/>
                <w:szCs w:val="18"/>
                <w:color w:val="0000EE"/>
              </w:rPr>
            </w:pPr>
            <w:hyperlink r:id="rId24">
              <w:r>
                <w:rPr>
                  <w:rFonts w:ascii="Arial" w:cs="Arial" w:eastAsia="Arial" w:hAnsi="Arial"/>
                  <w:sz w:val="18"/>
                  <w:szCs w:val="18"/>
                  <w:color w:val="0000EE"/>
                </w:rPr>
                <w:t>8/23/2017</w:t>
              </w:r>
            </w:hyperlink>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4">
              <w:r>
                <w:rPr>
                  <w:rFonts w:ascii="Arial" w:cs="Arial" w:eastAsia="Arial" w:hAnsi="Arial"/>
                  <w:sz w:val="18"/>
                  <w:szCs w:val="18"/>
                  <w:color w:val="0000EE"/>
                  <w:w w:val="89"/>
                </w:rPr>
                <w:t>Granted to French Participants.</w:t>
              </w:r>
            </w:hyperlink>
          </w:p>
        </w:tc>
        <w:tc>
          <w:tcPr>
            <w:tcW w:w="3100" w:type="dxa"/>
            <w:vAlign w:val="bottom"/>
            <w:tcBorders>
              <w:top w:val="single" w:sz="8" w:color="0000EE"/>
            </w:tcBorders>
            <w:gridSpan w:val="14"/>
          </w:tcPr>
          <w:p>
            <w:pPr>
              <w:spacing w:after="0"/>
              <w:rPr>
                <w:sz w:val="17"/>
                <w:szCs w:val="17"/>
                <w:color w:val="auto"/>
              </w:rPr>
            </w:pPr>
          </w:p>
        </w:tc>
        <w:tc>
          <w:tcPr>
            <w:tcW w:w="58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5">
              <w:r>
                <w:rPr>
                  <w:rFonts w:ascii="Arial" w:cs="Arial" w:eastAsia="Arial" w:hAnsi="Arial"/>
                  <w:sz w:val="18"/>
                  <w:szCs w:val="18"/>
                  <w:color w:val="0000EE"/>
                  <w:w w:val="89"/>
                </w:rPr>
                <w:t>4.</w:t>
              </w:r>
              <w:r>
                <w:rPr>
                  <w:rFonts w:ascii="Arial" w:cs="Arial" w:eastAsia="Arial" w:hAnsi="Arial"/>
                  <w:sz w:val="18"/>
                  <w:szCs w:val="18"/>
                  <w:u w:val="single" w:color="auto"/>
                  <w:color w:val="0000EE"/>
                  <w:w w:val="89"/>
                </w:rPr>
                <w:t>6+</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r:id="rId25">
              <w:r>
                <w:rPr>
                  <w:rFonts w:ascii="Arial" w:cs="Arial" w:eastAsia="Arial" w:hAnsi="Arial"/>
                  <w:sz w:val="18"/>
                  <w:szCs w:val="18"/>
                  <w:color w:val="0000EE"/>
                </w:rPr>
                <w:t>UK Sub-plan to the Fluidigm Corporation 2011 Equity Incentive Plan.</w:t>
              </w:r>
            </w:hyperlink>
          </w:p>
        </w:tc>
        <w:tc>
          <w:tcPr>
            <w:tcW w:w="1620" w:type="dxa"/>
            <w:vAlign w:val="bottom"/>
            <w:gridSpan w:val="6"/>
          </w:tcPr>
          <w:p>
            <w:pPr>
              <w:ind w:left="240"/>
              <w:spacing w:after="0"/>
              <w:rPr>
                <w:rFonts w:ascii="Arial" w:cs="Arial" w:eastAsia="Arial" w:hAnsi="Arial"/>
                <w:sz w:val="18"/>
                <w:szCs w:val="18"/>
                <w:color w:val="0000EE"/>
              </w:rPr>
            </w:pPr>
            <w:hyperlink r:id="rId25">
              <w:r>
                <w:rPr>
                  <w:rFonts w:ascii="Arial" w:cs="Arial" w:eastAsia="Arial" w:hAnsi="Arial"/>
                  <w:sz w:val="18"/>
                  <w:szCs w:val="18"/>
                  <w:color w:val="0000EE"/>
                </w:rPr>
                <w:t>SC TO-I</w:t>
              </w:r>
            </w:hyperlink>
          </w:p>
        </w:tc>
        <w:tc>
          <w:tcPr>
            <w:tcW w:w="1240" w:type="dxa"/>
            <w:vAlign w:val="bottom"/>
            <w:gridSpan w:val="5"/>
          </w:tcPr>
          <w:p>
            <w:pPr>
              <w:ind w:left="220"/>
              <w:spacing w:after="0"/>
              <w:rPr>
                <w:rFonts w:ascii="Arial" w:cs="Arial" w:eastAsia="Arial" w:hAnsi="Arial"/>
                <w:sz w:val="18"/>
                <w:szCs w:val="18"/>
                <w:color w:val="0000EE"/>
              </w:rPr>
            </w:pPr>
            <w:hyperlink r:id="rId25">
              <w:r>
                <w:rPr>
                  <w:rFonts w:ascii="Arial" w:cs="Arial" w:eastAsia="Arial" w:hAnsi="Arial"/>
                  <w:sz w:val="18"/>
                  <w:szCs w:val="18"/>
                  <w:color w:val="0000EE"/>
                </w:rPr>
                <w:t>(d)(5)</w:t>
              </w:r>
            </w:hyperlink>
          </w:p>
        </w:tc>
        <w:tc>
          <w:tcPr>
            <w:tcW w:w="1240" w:type="dxa"/>
            <w:vAlign w:val="bottom"/>
            <w:gridSpan w:val="4"/>
          </w:tcPr>
          <w:p>
            <w:pPr>
              <w:ind w:left="220"/>
              <w:spacing w:after="0"/>
              <w:rPr>
                <w:rFonts w:ascii="Arial" w:cs="Arial" w:eastAsia="Arial" w:hAnsi="Arial"/>
                <w:sz w:val="18"/>
                <w:szCs w:val="18"/>
                <w:color w:val="0000EE"/>
              </w:rPr>
            </w:pPr>
            <w:hyperlink r:id="rId25">
              <w:r>
                <w:rPr>
                  <w:rFonts w:ascii="Arial" w:cs="Arial" w:eastAsia="Arial" w:hAnsi="Arial"/>
                  <w:sz w:val="18"/>
                  <w:szCs w:val="18"/>
                  <w:color w:val="0000EE"/>
                </w:rPr>
                <w:t>8/23/2017</w:t>
              </w:r>
            </w:hyperlink>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6">
              <w:r>
                <w:rPr>
                  <w:rFonts w:ascii="Arial" w:cs="Arial" w:eastAsia="Arial" w:hAnsi="Arial"/>
                  <w:sz w:val="18"/>
                  <w:szCs w:val="18"/>
                  <w:color w:val="0000EE"/>
                  <w:w w:val="89"/>
                </w:rPr>
                <w:t>4.</w:t>
              </w:r>
              <w:r>
                <w:rPr>
                  <w:rFonts w:ascii="Arial" w:cs="Arial" w:eastAsia="Arial" w:hAnsi="Arial"/>
                  <w:sz w:val="18"/>
                  <w:szCs w:val="18"/>
                  <w:u w:val="single" w:color="auto"/>
                  <w:color w:val="0000EE"/>
                  <w:w w:val="89"/>
                </w:rPr>
                <w:t>7+</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w w:val="97"/>
              </w:rPr>
            </w:pPr>
            <w:hyperlink r:id="rId26">
              <w:r>
                <w:rPr>
                  <w:rFonts w:ascii="Arial" w:cs="Arial" w:eastAsia="Arial" w:hAnsi="Arial"/>
                  <w:sz w:val="18"/>
                  <w:szCs w:val="18"/>
                  <w:color w:val="0000EE"/>
                  <w:w w:val="97"/>
                </w:rPr>
                <w:t>Form of Restricted Stock Unit Agreement—Non–U.S. under the 2011 Equity</w:t>
              </w:r>
            </w:hyperlink>
          </w:p>
        </w:tc>
        <w:tc>
          <w:tcPr>
            <w:tcW w:w="1620" w:type="dxa"/>
            <w:vAlign w:val="bottom"/>
            <w:gridSpan w:val="6"/>
          </w:tcPr>
          <w:p>
            <w:pPr>
              <w:ind w:left="240"/>
              <w:spacing w:after="0"/>
              <w:rPr>
                <w:rFonts w:ascii="Arial" w:cs="Arial" w:eastAsia="Arial" w:hAnsi="Arial"/>
                <w:sz w:val="18"/>
                <w:szCs w:val="18"/>
                <w:color w:val="0000EE"/>
              </w:rPr>
            </w:pPr>
            <w:hyperlink r:id="rId26">
              <w:r>
                <w:rPr>
                  <w:rFonts w:ascii="Arial" w:cs="Arial" w:eastAsia="Arial" w:hAnsi="Arial"/>
                  <w:sz w:val="18"/>
                  <w:szCs w:val="18"/>
                  <w:color w:val="0000EE"/>
                </w:rPr>
                <w:t>SC TO-I</w:t>
              </w:r>
            </w:hyperlink>
          </w:p>
        </w:tc>
        <w:tc>
          <w:tcPr>
            <w:tcW w:w="1240" w:type="dxa"/>
            <w:vAlign w:val="bottom"/>
            <w:gridSpan w:val="5"/>
          </w:tcPr>
          <w:p>
            <w:pPr>
              <w:ind w:left="220"/>
              <w:spacing w:after="0"/>
              <w:rPr>
                <w:rFonts w:ascii="Arial" w:cs="Arial" w:eastAsia="Arial" w:hAnsi="Arial"/>
                <w:sz w:val="18"/>
                <w:szCs w:val="18"/>
                <w:color w:val="0000EE"/>
              </w:rPr>
            </w:pPr>
            <w:hyperlink r:id="rId26">
              <w:r>
                <w:rPr>
                  <w:rFonts w:ascii="Arial" w:cs="Arial" w:eastAsia="Arial" w:hAnsi="Arial"/>
                  <w:sz w:val="18"/>
                  <w:szCs w:val="18"/>
                  <w:color w:val="0000EE"/>
                </w:rPr>
                <w:t>(d)(6)</w:t>
              </w:r>
            </w:hyperlink>
          </w:p>
        </w:tc>
        <w:tc>
          <w:tcPr>
            <w:tcW w:w="1240" w:type="dxa"/>
            <w:vAlign w:val="bottom"/>
            <w:gridSpan w:val="4"/>
          </w:tcPr>
          <w:p>
            <w:pPr>
              <w:ind w:left="220"/>
              <w:spacing w:after="0"/>
              <w:rPr>
                <w:rFonts w:ascii="Arial" w:cs="Arial" w:eastAsia="Arial" w:hAnsi="Arial"/>
                <w:sz w:val="18"/>
                <w:szCs w:val="18"/>
                <w:color w:val="0000EE"/>
              </w:rPr>
            </w:pPr>
            <w:hyperlink r:id="rId26">
              <w:r>
                <w:rPr>
                  <w:rFonts w:ascii="Arial" w:cs="Arial" w:eastAsia="Arial" w:hAnsi="Arial"/>
                  <w:sz w:val="18"/>
                  <w:szCs w:val="18"/>
                  <w:color w:val="0000EE"/>
                </w:rPr>
                <w:t>8/23/2017</w:t>
              </w:r>
            </w:hyperlink>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Incentive Plan.</w:t>
              </w:r>
            </w:hyperlink>
          </w:p>
        </w:tc>
        <w:tc>
          <w:tcPr>
            <w:tcW w:w="36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7">
              <w:r>
                <w:rPr>
                  <w:rFonts w:ascii="Arial" w:cs="Arial" w:eastAsia="Arial" w:hAnsi="Arial"/>
                  <w:sz w:val="18"/>
                  <w:szCs w:val="18"/>
                  <w:color w:val="0000EE"/>
                  <w:w w:val="89"/>
                </w:rPr>
                <w:t>4.</w:t>
              </w:r>
              <w:r>
                <w:rPr>
                  <w:rFonts w:ascii="Arial" w:cs="Arial" w:eastAsia="Arial" w:hAnsi="Arial"/>
                  <w:sz w:val="18"/>
                  <w:szCs w:val="18"/>
                  <w:u w:val="single" w:color="auto"/>
                  <w:color w:val="0000EE"/>
                  <w:w w:val="89"/>
                </w:rPr>
                <w:t>8+</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w w:val="95"/>
              </w:rPr>
            </w:pPr>
            <w:hyperlink r:id="rId27">
              <w:r>
                <w:rPr>
                  <w:rFonts w:ascii="Arial" w:cs="Arial" w:eastAsia="Arial" w:hAnsi="Arial"/>
                  <w:sz w:val="18"/>
                  <w:szCs w:val="18"/>
                  <w:color w:val="0000EE"/>
                  <w:w w:val="95"/>
                </w:rPr>
                <w:t>Form of Stock Option Agreement—Non–U.S. under the 2011 Equity Incentive</w:t>
              </w:r>
            </w:hyperlink>
          </w:p>
        </w:tc>
        <w:tc>
          <w:tcPr>
            <w:tcW w:w="1620" w:type="dxa"/>
            <w:vAlign w:val="bottom"/>
            <w:gridSpan w:val="6"/>
          </w:tcPr>
          <w:p>
            <w:pPr>
              <w:ind w:left="240"/>
              <w:spacing w:after="0"/>
              <w:rPr>
                <w:rFonts w:ascii="Arial" w:cs="Arial" w:eastAsia="Arial" w:hAnsi="Arial"/>
                <w:sz w:val="18"/>
                <w:szCs w:val="18"/>
                <w:color w:val="0000EE"/>
              </w:rPr>
            </w:pPr>
            <w:hyperlink r:id="rId27">
              <w:r>
                <w:rPr>
                  <w:rFonts w:ascii="Arial" w:cs="Arial" w:eastAsia="Arial" w:hAnsi="Arial"/>
                  <w:sz w:val="18"/>
                  <w:szCs w:val="18"/>
                  <w:color w:val="0000EE"/>
                </w:rPr>
                <w:t>SC TO-I</w:t>
              </w:r>
            </w:hyperlink>
          </w:p>
        </w:tc>
        <w:tc>
          <w:tcPr>
            <w:tcW w:w="1240" w:type="dxa"/>
            <w:vAlign w:val="bottom"/>
            <w:gridSpan w:val="5"/>
          </w:tcPr>
          <w:p>
            <w:pPr>
              <w:ind w:left="220"/>
              <w:spacing w:after="0"/>
              <w:rPr>
                <w:rFonts w:ascii="Arial" w:cs="Arial" w:eastAsia="Arial" w:hAnsi="Arial"/>
                <w:sz w:val="18"/>
                <w:szCs w:val="18"/>
                <w:color w:val="0000EE"/>
              </w:rPr>
            </w:pPr>
            <w:hyperlink r:id="rId27">
              <w:r>
                <w:rPr>
                  <w:rFonts w:ascii="Arial" w:cs="Arial" w:eastAsia="Arial" w:hAnsi="Arial"/>
                  <w:sz w:val="18"/>
                  <w:szCs w:val="18"/>
                  <w:color w:val="0000EE"/>
                </w:rPr>
                <w:t>(d)(7)</w:t>
              </w:r>
            </w:hyperlink>
          </w:p>
        </w:tc>
        <w:tc>
          <w:tcPr>
            <w:tcW w:w="1240" w:type="dxa"/>
            <w:vAlign w:val="bottom"/>
            <w:gridSpan w:val="4"/>
          </w:tcPr>
          <w:p>
            <w:pPr>
              <w:ind w:left="220"/>
              <w:spacing w:after="0"/>
              <w:rPr>
                <w:rFonts w:ascii="Arial" w:cs="Arial" w:eastAsia="Arial" w:hAnsi="Arial"/>
                <w:sz w:val="18"/>
                <w:szCs w:val="18"/>
                <w:color w:val="0000EE"/>
              </w:rPr>
            </w:pPr>
            <w:hyperlink r:id="rId27">
              <w:r>
                <w:rPr>
                  <w:rFonts w:ascii="Arial" w:cs="Arial" w:eastAsia="Arial" w:hAnsi="Arial"/>
                  <w:sz w:val="18"/>
                  <w:szCs w:val="18"/>
                  <w:color w:val="0000EE"/>
                </w:rPr>
                <w:t>8/23/2017</w:t>
              </w:r>
            </w:hyperlink>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27">
              <w:r>
                <w:rPr>
                  <w:rFonts w:ascii="Arial" w:cs="Arial" w:eastAsia="Arial" w:hAnsi="Arial"/>
                  <w:sz w:val="18"/>
                  <w:szCs w:val="18"/>
                  <w:color w:val="0000EE"/>
                  <w:w w:val="87"/>
                </w:rPr>
                <w:t>Plan.</w:t>
              </w:r>
            </w:hyperlink>
          </w:p>
        </w:tc>
        <w:tc>
          <w:tcPr>
            <w:tcW w:w="5320" w:type="dxa"/>
            <w:vAlign w:val="bottom"/>
            <w:tcBorders>
              <w:top w:val="single" w:sz="8" w:color="0000EE"/>
            </w:tcBorders>
            <w:gridSpan w:val="24"/>
          </w:tcPr>
          <w:p>
            <w:pPr>
              <w:spacing w:after="0"/>
              <w:rPr>
                <w:sz w:val="17"/>
                <w:szCs w:val="17"/>
                <w:color w:val="auto"/>
              </w:rPr>
            </w:pPr>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89"/>
              </w:rPr>
            </w:pPr>
            <w:hyperlink r:id="rId28">
              <w:r>
                <w:rPr>
                  <w:rFonts w:ascii="Arial" w:cs="Arial" w:eastAsia="Arial" w:hAnsi="Arial"/>
                  <w:sz w:val="18"/>
                  <w:szCs w:val="18"/>
                  <w:color w:val="0000EE"/>
                  <w:w w:val="89"/>
                </w:rPr>
                <w:t>4.</w:t>
              </w:r>
              <w:r>
                <w:rPr>
                  <w:rFonts w:ascii="Arial" w:cs="Arial" w:eastAsia="Arial" w:hAnsi="Arial"/>
                  <w:sz w:val="18"/>
                  <w:szCs w:val="18"/>
                  <w:u w:val="single" w:color="auto"/>
                  <w:color w:val="0000EE"/>
                  <w:w w:val="89"/>
                </w:rPr>
                <w:t>9+</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Amendments to the Fluidigm Corporation 2011 Equity Incentive Plan, 2009</w:t>
              </w:r>
            </w:hyperlink>
          </w:p>
        </w:tc>
        <w:tc>
          <w:tcPr>
            <w:tcW w:w="1620" w:type="dxa"/>
            <w:vAlign w:val="bottom"/>
            <w:gridSpan w:val="6"/>
          </w:tcPr>
          <w:p>
            <w:pPr>
              <w:ind w:left="240"/>
              <w:spacing w:after="0"/>
              <w:rPr>
                <w:rFonts w:ascii="Arial" w:cs="Arial" w:eastAsia="Arial" w:hAnsi="Arial"/>
                <w:sz w:val="18"/>
                <w:szCs w:val="18"/>
                <w:color w:val="0000EE"/>
              </w:rPr>
            </w:pPr>
            <w:hyperlink r:id="rId28">
              <w:r>
                <w:rPr>
                  <w:rFonts w:ascii="Arial" w:cs="Arial" w:eastAsia="Arial" w:hAnsi="Arial"/>
                  <w:sz w:val="18"/>
                  <w:szCs w:val="18"/>
                  <w:color w:val="0000EE"/>
                </w:rPr>
                <w:t>8-K</w:t>
              </w:r>
            </w:hyperlink>
          </w:p>
        </w:tc>
        <w:tc>
          <w:tcPr>
            <w:tcW w:w="640" w:type="dxa"/>
            <w:vAlign w:val="bottom"/>
            <w:gridSpan w:val="4"/>
          </w:tcPr>
          <w:p>
            <w:pPr>
              <w:ind w:left="220"/>
              <w:spacing w:after="0"/>
              <w:rPr>
                <w:rFonts w:ascii="Arial" w:cs="Arial" w:eastAsia="Arial" w:hAnsi="Arial"/>
                <w:sz w:val="18"/>
                <w:szCs w:val="18"/>
                <w:color w:val="0000EE"/>
              </w:rPr>
            </w:pPr>
            <w:hyperlink r:id="rId2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8/2/2017</w:t>
              </w:r>
            </w:hyperlink>
          </w:p>
        </w:tc>
        <w:tc>
          <w:tcPr>
            <w:tcW w:w="300" w:type="dxa"/>
            <w:vAlign w:val="bottom"/>
          </w:tcPr>
          <w:p>
            <w:pPr>
              <w:spacing w:after="0"/>
              <w:rPr>
                <w:sz w:val="21"/>
                <w:szCs w:val="2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7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8">
              <w:r>
                <w:rPr>
                  <w:rFonts w:ascii="Arial" w:cs="Arial" w:eastAsia="Arial" w:hAnsi="Arial"/>
                  <w:sz w:val="18"/>
                  <w:szCs w:val="18"/>
                  <w:color w:val="0000EE"/>
                  <w:w w:val="90"/>
                </w:rPr>
                <w:t>Equity Incentive Plan, and 1999 Stock Option Plan and the DVS Sciences, Inc.</w:t>
              </w:r>
            </w:hyperlink>
          </w:p>
        </w:tc>
        <w:tc>
          <w:tcPr>
            <w:tcW w:w="2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2010 Equity Incentive Plan.</w:t>
              </w:r>
            </w:hyperlink>
          </w:p>
        </w:tc>
        <w:tc>
          <w:tcPr>
            <w:tcW w:w="3920" w:type="dxa"/>
            <w:vAlign w:val="bottom"/>
            <w:gridSpan w:val="23"/>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10</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w w:val="95"/>
              </w:rPr>
            </w:pPr>
            <w:hyperlink r:id="rId29">
              <w:r>
                <w:rPr>
                  <w:rFonts w:ascii="Arial" w:cs="Arial" w:eastAsia="Arial" w:hAnsi="Arial"/>
                  <w:sz w:val="18"/>
                  <w:szCs w:val="18"/>
                  <w:color w:val="0000EE"/>
                  <w:w w:val="95"/>
                </w:rPr>
                <w:t>Indenture, dated February 4, 2014, by and between Fluidigm Corporation and</w:t>
              </w:r>
            </w:hyperlink>
          </w:p>
        </w:tc>
        <w:tc>
          <w:tcPr>
            <w:tcW w:w="1620" w:type="dxa"/>
            <w:vAlign w:val="bottom"/>
            <w:gridSpan w:val="6"/>
          </w:tcPr>
          <w:p>
            <w:pPr>
              <w:ind w:left="240"/>
              <w:spacing w:after="0"/>
              <w:rPr>
                <w:rFonts w:ascii="Arial" w:cs="Arial" w:eastAsia="Arial" w:hAnsi="Arial"/>
                <w:sz w:val="18"/>
                <w:szCs w:val="18"/>
                <w:color w:val="0000EE"/>
              </w:rPr>
            </w:pPr>
            <w:hyperlink r:id="rId29">
              <w:r>
                <w:rPr>
                  <w:rFonts w:ascii="Arial" w:cs="Arial" w:eastAsia="Arial" w:hAnsi="Arial"/>
                  <w:sz w:val="18"/>
                  <w:szCs w:val="18"/>
                  <w:color w:val="0000EE"/>
                </w:rPr>
                <w:t>8-K</w:t>
              </w:r>
            </w:hyperlink>
          </w:p>
        </w:tc>
        <w:tc>
          <w:tcPr>
            <w:tcW w:w="440" w:type="dxa"/>
            <w:vAlign w:val="bottom"/>
            <w:gridSpan w:val="2"/>
          </w:tcPr>
          <w:p>
            <w:pPr>
              <w:ind w:left="220"/>
              <w:spacing w:after="0"/>
              <w:rPr>
                <w:rFonts w:ascii="Arial" w:cs="Arial" w:eastAsia="Arial" w:hAnsi="Arial"/>
                <w:sz w:val="18"/>
                <w:szCs w:val="18"/>
                <w:color w:val="0000EE"/>
                <w:w w:val="79"/>
              </w:rPr>
            </w:pPr>
            <w:hyperlink r:id="rId29">
              <w:r>
                <w:rPr>
                  <w:rFonts w:ascii="Arial" w:cs="Arial" w:eastAsia="Arial" w:hAnsi="Arial"/>
                  <w:sz w:val="18"/>
                  <w:szCs w:val="18"/>
                  <w:color w:val="0000EE"/>
                  <w:w w:val="79"/>
                </w:rPr>
                <w:t>4.</w:t>
              </w:r>
              <w:r>
                <w:rPr>
                  <w:rFonts w:ascii="Arial" w:cs="Arial" w:eastAsia="Arial" w:hAnsi="Arial"/>
                  <w:sz w:val="18"/>
                  <w:szCs w:val="18"/>
                  <w:u w:val="single" w:color="auto"/>
                  <w:color w:val="0000EE"/>
                  <w:w w:val="79"/>
                </w:rPr>
                <w:t>1</w:t>
              </w:r>
            </w:hyperlink>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99"/>
              </w:rPr>
            </w:pPr>
            <w:hyperlink r:id="rId29">
              <w:r>
                <w:rPr>
                  <w:rFonts w:ascii="Arial" w:cs="Arial" w:eastAsia="Arial" w:hAnsi="Arial"/>
                  <w:sz w:val="18"/>
                  <w:szCs w:val="18"/>
                  <w:color w:val="0000EE"/>
                  <w:w w:val="99"/>
                </w:rPr>
                <w:t>2/4/2014</w:t>
              </w:r>
            </w:hyperlink>
          </w:p>
        </w:tc>
        <w:tc>
          <w:tcPr>
            <w:tcW w:w="30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U.S. Bank National Association.</w:t>
              </w:r>
            </w:hyperlink>
          </w:p>
        </w:tc>
        <w:tc>
          <w:tcPr>
            <w:tcW w:w="3240" w:type="dxa"/>
            <w:vAlign w:val="bottom"/>
            <w:tcBorders>
              <w:top w:val="single" w:sz="8" w:color="0000EE"/>
            </w:tcBorders>
            <w:gridSpan w:val="17"/>
          </w:tcPr>
          <w:p>
            <w:pPr>
              <w:spacing w:after="0"/>
              <w:rPr>
                <w:sz w:val="17"/>
                <w:szCs w:val="17"/>
                <w:color w:val="auto"/>
              </w:rPr>
            </w:pPr>
          </w:p>
        </w:tc>
        <w:tc>
          <w:tcPr>
            <w:tcW w:w="34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11</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w w:val="94"/>
              </w:rPr>
            </w:pPr>
            <w:hyperlink r:id="rId30">
              <w:r>
                <w:rPr>
                  <w:rFonts w:ascii="Arial" w:cs="Arial" w:eastAsia="Arial" w:hAnsi="Arial"/>
                  <w:sz w:val="18"/>
                  <w:szCs w:val="18"/>
                  <w:color w:val="0000EE"/>
                  <w:w w:val="94"/>
                </w:rPr>
                <w:t>First Supplement Indenture, dated February 4, 2014, by and between Fluidigm</w:t>
              </w:r>
            </w:hyperlink>
          </w:p>
        </w:tc>
        <w:tc>
          <w:tcPr>
            <w:tcW w:w="1620" w:type="dxa"/>
            <w:vAlign w:val="bottom"/>
            <w:gridSpan w:val="6"/>
          </w:tcPr>
          <w:p>
            <w:pPr>
              <w:ind w:left="240"/>
              <w:spacing w:after="0"/>
              <w:rPr>
                <w:rFonts w:ascii="Arial" w:cs="Arial" w:eastAsia="Arial" w:hAnsi="Arial"/>
                <w:sz w:val="18"/>
                <w:szCs w:val="18"/>
                <w:color w:val="0000EE"/>
              </w:rPr>
            </w:pPr>
            <w:hyperlink r:id="rId30">
              <w:r>
                <w:rPr>
                  <w:rFonts w:ascii="Arial" w:cs="Arial" w:eastAsia="Arial" w:hAnsi="Arial"/>
                  <w:sz w:val="18"/>
                  <w:szCs w:val="18"/>
                  <w:color w:val="0000EE"/>
                </w:rPr>
                <w:t>8-K</w:t>
              </w:r>
            </w:hyperlink>
          </w:p>
        </w:tc>
        <w:tc>
          <w:tcPr>
            <w:tcW w:w="440" w:type="dxa"/>
            <w:vAlign w:val="bottom"/>
            <w:gridSpan w:val="2"/>
          </w:tcPr>
          <w:p>
            <w:pPr>
              <w:ind w:left="220"/>
              <w:spacing w:after="0"/>
              <w:rPr>
                <w:rFonts w:ascii="Arial" w:cs="Arial" w:eastAsia="Arial" w:hAnsi="Arial"/>
                <w:sz w:val="18"/>
                <w:szCs w:val="18"/>
                <w:color w:val="0000EE"/>
                <w:w w:val="79"/>
              </w:rPr>
            </w:pPr>
            <w:hyperlink r:id="rId3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99"/>
              </w:rPr>
            </w:pPr>
            <w:hyperlink r:id="rId30">
              <w:r>
                <w:rPr>
                  <w:rFonts w:ascii="Arial" w:cs="Arial" w:eastAsia="Arial" w:hAnsi="Arial"/>
                  <w:sz w:val="18"/>
                  <w:szCs w:val="18"/>
                  <w:color w:val="0000EE"/>
                  <w:w w:val="99"/>
                </w:rPr>
                <w:t>2/4/2014</w:t>
              </w:r>
            </w:hyperlink>
          </w:p>
        </w:tc>
        <w:tc>
          <w:tcPr>
            <w:tcW w:w="30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Corporation and U.S. Bank National Association.</w:t>
              </w:r>
            </w:hyperlink>
          </w:p>
        </w:tc>
        <w:tc>
          <w:tcPr>
            <w:tcW w:w="2080" w:type="dxa"/>
            <w:vAlign w:val="bottom"/>
            <w:tcBorders>
              <w:top w:val="single" w:sz="8" w:color="0000EE"/>
            </w:tcBorders>
            <w:gridSpan w:val="15"/>
          </w:tcPr>
          <w:p>
            <w:pPr>
              <w:spacing w:after="0"/>
              <w:rPr>
                <w:sz w:val="17"/>
                <w:szCs w:val="17"/>
                <w:color w:val="auto"/>
              </w:rPr>
            </w:pPr>
          </w:p>
        </w:tc>
        <w:tc>
          <w:tcPr>
            <w:tcW w:w="28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r:id="rId30">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12</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r:id="rId30">
              <w:r>
                <w:rPr>
                  <w:rFonts w:ascii="Arial" w:cs="Arial" w:eastAsia="Arial" w:hAnsi="Arial"/>
                  <w:sz w:val="18"/>
                  <w:szCs w:val="18"/>
                  <w:color w:val="0000EE"/>
                </w:rPr>
                <w:t>Form of Global Note (included in Exhibit 4.11).</w:t>
              </w:r>
            </w:hyperlink>
          </w:p>
        </w:tc>
        <w:tc>
          <w:tcPr>
            <w:tcW w:w="1620" w:type="dxa"/>
            <w:vAlign w:val="bottom"/>
            <w:gridSpan w:val="6"/>
          </w:tcPr>
          <w:p>
            <w:pPr>
              <w:ind w:left="240"/>
              <w:spacing w:after="0"/>
              <w:rPr>
                <w:rFonts w:ascii="Arial" w:cs="Arial" w:eastAsia="Arial" w:hAnsi="Arial"/>
                <w:sz w:val="18"/>
                <w:szCs w:val="18"/>
                <w:color w:val="0000EE"/>
              </w:rPr>
            </w:pPr>
            <w:hyperlink r:id="rId30">
              <w:r>
                <w:rPr>
                  <w:rFonts w:ascii="Arial" w:cs="Arial" w:eastAsia="Arial" w:hAnsi="Arial"/>
                  <w:sz w:val="18"/>
                  <w:szCs w:val="18"/>
                  <w:color w:val="0000EE"/>
                </w:rPr>
                <w:t>8-K</w:t>
              </w:r>
            </w:hyperlink>
          </w:p>
        </w:tc>
        <w:tc>
          <w:tcPr>
            <w:tcW w:w="440" w:type="dxa"/>
            <w:vAlign w:val="bottom"/>
            <w:gridSpan w:val="2"/>
          </w:tcPr>
          <w:p>
            <w:pPr>
              <w:ind w:left="220"/>
              <w:spacing w:after="0"/>
              <w:rPr>
                <w:rFonts w:ascii="Arial" w:cs="Arial" w:eastAsia="Arial" w:hAnsi="Arial"/>
                <w:sz w:val="18"/>
                <w:szCs w:val="18"/>
                <w:color w:val="0000EE"/>
                <w:w w:val="79"/>
              </w:rPr>
            </w:pPr>
            <w:hyperlink r:id="rId30">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99"/>
              </w:rPr>
            </w:pPr>
            <w:hyperlink r:id="rId30">
              <w:r>
                <w:rPr>
                  <w:rFonts w:ascii="Arial" w:cs="Arial" w:eastAsia="Arial" w:hAnsi="Arial"/>
                  <w:sz w:val="18"/>
                  <w:szCs w:val="18"/>
                  <w:color w:val="0000EE"/>
                  <w:w w:val="99"/>
                </w:rPr>
                <w:t>2/4/2014</w:t>
              </w:r>
            </w:hyperlink>
          </w:p>
        </w:tc>
        <w:tc>
          <w:tcPr>
            <w:tcW w:w="300" w:type="dxa"/>
            <w:vAlign w:val="bottom"/>
          </w:tcPr>
          <w:p>
            <w:pPr>
              <w:spacing w:after="0"/>
              <w:rPr>
                <w:sz w:val="21"/>
                <w:szCs w:val="2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13</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r:id="rId31">
              <w:r>
                <w:rPr>
                  <w:rFonts w:ascii="Arial" w:cs="Arial" w:eastAsia="Arial" w:hAnsi="Arial"/>
                  <w:sz w:val="18"/>
                  <w:szCs w:val="18"/>
                  <w:color w:val="0000EE"/>
                </w:rPr>
                <w:t>Second Supplemental Indenture, dated March 6, 2018, between Fluidigm</w:t>
              </w:r>
            </w:hyperlink>
          </w:p>
        </w:tc>
        <w:tc>
          <w:tcPr>
            <w:tcW w:w="1620" w:type="dxa"/>
            <w:vAlign w:val="bottom"/>
            <w:gridSpan w:val="6"/>
          </w:tcPr>
          <w:p>
            <w:pPr>
              <w:ind w:left="240"/>
              <w:spacing w:after="0"/>
              <w:rPr>
                <w:rFonts w:ascii="Arial" w:cs="Arial" w:eastAsia="Arial" w:hAnsi="Arial"/>
                <w:sz w:val="18"/>
                <w:szCs w:val="18"/>
                <w:color w:val="0000EE"/>
              </w:rPr>
            </w:pPr>
            <w:hyperlink r:id="rId31">
              <w:r>
                <w:rPr>
                  <w:rFonts w:ascii="Arial" w:cs="Arial" w:eastAsia="Arial" w:hAnsi="Arial"/>
                  <w:sz w:val="18"/>
                  <w:szCs w:val="18"/>
                  <w:color w:val="0000EE"/>
                </w:rPr>
                <w:t>8-K</w:t>
              </w:r>
            </w:hyperlink>
          </w:p>
        </w:tc>
        <w:tc>
          <w:tcPr>
            <w:tcW w:w="440" w:type="dxa"/>
            <w:vAlign w:val="bottom"/>
            <w:gridSpan w:val="2"/>
          </w:tcPr>
          <w:p>
            <w:pPr>
              <w:ind w:left="220"/>
              <w:spacing w:after="0"/>
              <w:rPr>
                <w:rFonts w:ascii="Arial" w:cs="Arial" w:eastAsia="Arial" w:hAnsi="Arial"/>
                <w:sz w:val="18"/>
                <w:szCs w:val="18"/>
                <w:color w:val="0000EE"/>
                <w:w w:val="79"/>
              </w:rPr>
            </w:pPr>
            <w:hyperlink r:id="rId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2</w:t>
              </w:r>
            </w:hyperlink>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99"/>
              </w:rPr>
            </w:pPr>
            <w:hyperlink r:id="rId31">
              <w:r>
                <w:rPr>
                  <w:rFonts w:ascii="Arial" w:cs="Arial" w:eastAsia="Arial" w:hAnsi="Arial"/>
                  <w:sz w:val="18"/>
                  <w:szCs w:val="18"/>
                  <w:color w:val="0000EE"/>
                  <w:w w:val="99"/>
                </w:rPr>
                <w:t>3/6/2018</w:t>
              </w:r>
            </w:hyperlink>
          </w:p>
        </w:tc>
        <w:tc>
          <w:tcPr>
            <w:tcW w:w="30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31">
              <w:r>
                <w:rPr>
                  <w:rFonts w:ascii="Arial" w:cs="Arial" w:eastAsia="Arial" w:hAnsi="Arial"/>
                  <w:sz w:val="18"/>
                  <w:szCs w:val="18"/>
                  <w:color w:val="0000EE"/>
                  <w:w w:val="91"/>
                </w:rPr>
                <w:t>Corporation and U.S. Bank National Association.</w:t>
              </w:r>
            </w:hyperlink>
          </w:p>
        </w:tc>
        <w:tc>
          <w:tcPr>
            <w:tcW w:w="1700" w:type="dxa"/>
            <w:vAlign w:val="bottom"/>
            <w:tcBorders>
              <w:top w:val="single" w:sz="8" w:color="0000EE"/>
            </w:tcBorders>
            <w:gridSpan w:val="9"/>
          </w:tcPr>
          <w:p>
            <w:pPr>
              <w:spacing w:after="0"/>
              <w:rPr>
                <w:sz w:val="17"/>
                <w:szCs w:val="17"/>
                <w:color w:val="auto"/>
              </w:rPr>
            </w:pPr>
          </w:p>
        </w:tc>
        <w:tc>
          <w:tcPr>
            <w:tcW w:w="66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14</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r:id="rId31">
              <w:r>
                <w:rPr>
                  <w:rFonts w:ascii="Arial" w:cs="Arial" w:eastAsia="Arial" w:hAnsi="Arial"/>
                  <w:sz w:val="18"/>
                  <w:szCs w:val="18"/>
                  <w:color w:val="0000EE"/>
                </w:rPr>
                <w:t>Form of Exchange Note (included in Exhibit 4.13).</w:t>
              </w:r>
            </w:hyperlink>
          </w:p>
        </w:tc>
        <w:tc>
          <w:tcPr>
            <w:tcW w:w="1620" w:type="dxa"/>
            <w:vAlign w:val="bottom"/>
            <w:gridSpan w:val="6"/>
          </w:tcPr>
          <w:p>
            <w:pPr>
              <w:ind w:left="240"/>
              <w:spacing w:after="0"/>
              <w:rPr>
                <w:rFonts w:ascii="Arial" w:cs="Arial" w:eastAsia="Arial" w:hAnsi="Arial"/>
                <w:sz w:val="18"/>
                <w:szCs w:val="18"/>
                <w:color w:val="0000EE"/>
              </w:rPr>
            </w:pPr>
            <w:hyperlink r:id="rId31">
              <w:r>
                <w:rPr>
                  <w:rFonts w:ascii="Arial" w:cs="Arial" w:eastAsia="Arial" w:hAnsi="Arial"/>
                  <w:sz w:val="18"/>
                  <w:szCs w:val="18"/>
                  <w:color w:val="0000EE"/>
                </w:rPr>
                <w:t>8-K</w:t>
              </w:r>
            </w:hyperlink>
          </w:p>
        </w:tc>
        <w:tc>
          <w:tcPr>
            <w:tcW w:w="440" w:type="dxa"/>
            <w:vAlign w:val="bottom"/>
            <w:gridSpan w:val="2"/>
          </w:tcPr>
          <w:p>
            <w:pPr>
              <w:ind w:left="220"/>
              <w:spacing w:after="0"/>
              <w:rPr>
                <w:rFonts w:ascii="Arial" w:cs="Arial" w:eastAsia="Arial" w:hAnsi="Arial"/>
                <w:sz w:val="18"/>
                <w:szCs w:val="18"/>
                <w:color w:val="0000EE"/>
                <w:w w:val="79"/>
              </w:rPr>
            </w:pPr>
            <w:hyperlink r:id="rId31">
              <w:r>
                <w:rPr>
                  <w:rFonts w:ascii="Arial" w:cs="Arial" w:eastAsia="Arial" w:hAnsi="Arial"/>
                  <w:sz w:val="18"/>
                  <w:szCs w:val="18"/>
                  <w:color w:val="0000EE"/>
                  <w:w w:val="79"/>
                </w:rPr>
                <w:t>4.</w:t>
              </w:r>
              <w:r>
                <w:rPr>
                  <w:rFonts w:ascii="Arial" w:cs="Arial" w:eastAsia="Arial" w:hAnsi="Arial"/>
                  <w:sz w:val="18"/>
                  <w:szCs w:val="18"/>
                  <w:u w:val="single" w:color="auto"/>
                  <w:color w:val="0000EE"/>
                  <w:w w:val="79"/>
                </w:rPr>
                <w:t>3</w:t>
              </w:r>
            </w:hyperlink>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99"/>
              </w:rPr>
            </w:pPr>
            <w:hyperlink r:id="rId31">
              <w:r>
                <w:rPr>
                  <w:rFonts w:ascii="Arial" w:cs="Arial" w:eastAsia="Arial" w:hAnsi="Arial"/>
                  <w:sz w:val="18"/>
                  <w:szCs w:val="18"/>
                  <w:color w:val="0000EE"/>
                  <w:w w:val="99"/>
                </w:rPr>
                <w:t>3/6/2018</w:t>
              </w:r>
            </w:hyperlink>
          </w:p>
        </w:tc>
        <w:tc>
          <w:tcPr>
            <w:tcW w:w="300" w:type="dxa"/>
            <w:vAlign w:val="bottom"/>
          </w:tcPr>
          <w:p>
            <w:pPr>
              <w:spacing w:after="0"/>
              <w:rPr>
                <w:sz w:val="21"/>
                <w:szCs w:val="2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15</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Loan and Security Agreement, dated and effective as of August 2, 2018, between</w:t>
              </w:r>
            </w:hyperlink>
          </w:p>
        </w:tc>
        <w:tc>
          <w:tcPr>
            <w:tcW w:w="1620" w:type="dxa"/>
            <w:vAlign w:val="bottom"/>
            <w:gridSpan w:val="6"/>
          </w:tcPr>
          <w:p>
            <w:pPr>
              <w:ind w:left="240"/>
              <w:spacing w:after="0"/>
              <w:rPr>
                <w:rFonts w:ascii="Arial" w:cs="Arial" w:eastAsia="Arial" w:hAnsi="Arial"/>
                <w:sz w:val="18"/>
                <w:szCs w:val="18"/>
                <w:color w:val="0000EE"/>
              </w:rPr>
            </w:pPr>
            <w:hyperlink r:id="rId32">
              <w:r>
                <w:rPr>
                  <w:rFonts w:ascii="Arial" w:cs="Arial" w:eastAsia="Arial" w:hAnsi="Arial"/>
                  <w:sz w:val="18"/>
                  <w:szCs w:val="18"/>
                  <w:color w:val="0000EE"/>
                </w:rPr>
                <w:t>8-K</w:t>
              </w:r>
            </w:hyperlink>
          </w:p>
        </w:tc>
        <w:tc>
          <w:tcPr>
            <w:tcW w:w="640" w:type="dxa"/>
            <w:vAlign w:val="bottom"/>
            <w:gridSpan w:val="4"/>
          </w:tcPr>
          <w:p>
            <w:pPr>
              <w:ind w:left="220"/>
              <w:spacing w:after="0"/>
              <w:rPr>
                <w:rFonts w:ascii="Arial" w:cs="Arial" w:eastAsia="Arial" w:hAnsi="Arial"/>
                <w:sz w:val="18"/>
                <w:szCs w:val="18"/>
                <w:color w:val="0000EE"/>
              </w:rPr>
            </w:pPr>
            <w:hyperlink r:id="rId3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600" w:type="dxa"/>
            <w:vAlign w:val="bottom"/>
          </w:tcPr>
          <w:p>
            <w:pPr>
              <w:spacing w:after="0"/>
              <w:rPr>
                <w:sz w:val="21"/>
                <w:szCs w:val="21"/>
                <w:color w:val="auto"/>
              </w:rPr>
            </w:pPr>
          </w:p>
        </w:tc>
        <w:tc>
          <w:tcPr>
            <w:tcW w:w="940" w:type="dxa"/>
            <w:vAlign w:val="bottom"/>
            <w:gridSpan w:val="3"/>
          </w:tcPr>
          <w:p>
            <w:pPr>
              <w:ind w:left="220"/>
              <w:spacing w:after="0"/>
              <w:rPr>
                <w:rFonts w:ascii="Arial" w:cs="Arial" w:eastAsia="Arial" w:hAnsi="Arial"/>
                <w:sz w:val="18"/>
                <w:szCs w:val="18"/>
                <w:color w:val="0000EE"/>
                <w:w w:val="99"/>
              </w:rPr>
            </w:pPr>
            <w:hyperlink r:id="rId32">
              <w:r>
                <w:rPr>
                  <w:rFonts w:ascii="Arial" w:cs="Arial" w:eastAsia="Arial" w:hAnsi="Arial"/>
                  <w:sz w:val="18"/>
                  <w:szCs w:val="18"/>
                  <w:color w:val="0000EE"/>
                  <w:w w:val="99"/>
                </w:rPr>
                <w:t>8/2/2018</w:t>
              </w:r>
            </w:hyperlink>
          </w:p>
        </w:tc>
        <w:tc>
          <w:tcPr>
            <w:tcW w:w="30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Silicon Valley Bank and Fluidigm Corporation.</w:t>
              </w:r>
            </w:hyperlink>
          </w:p>
        </w:tc>
        <w:tc>
          <w:tcPr>
            <w:tcW w:w="2400" w:type="dxa"/>
            <w:vAlign w:val="bottom"/>
            <w:tcBorders>
              <w:top w:val="single" w:sz="8" w:color="0000EE"/>
            </w:tcBorders>
            <w:gridSpan w:val="18"/>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460" w:type="dxa"/>
            <w:vAlign w:val="bottom"/>
          </w:tcPr>
          <w:p>
            <w:pPr>
              <w:spacing w:after="0"/>
              <w:rPr>
                <w:sz w:val="21"/>
                <w:szCs w:val="21"/>
                <w:color w:val="auto"/>
              </w:rPr>
            </w:pPr>
          </w:p>
        </w:tc>
        <w:tc>
          <w:tcPr>
            <w:tcW w:w="240" w:type="dxa"/>
            <w:vAlign w:val="bottom"/>
          </w:tcPr>
          <w:p>
            <w:pPr>
              <w:jc w:val="cente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5.</w:t>
              </w:r>
              <w:r>
                <w:rPr>
                  <w:rFonts w:ascii="Arial" w:cs="Arial" w:eastAsia="Arial" w:hAnsi="Arial"/>
                  <w:sz w:val="18"/>
                  <w:szCs w:val="18"/>
                  <w:u w:val="single" w:color="auto"/>
                  <w:color w:val="0000EE"/>
                  <w:w w:val="95"/>
                </w:rPr>
                <w:t>1</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Opinion of Wilson Sonsini Goodrich &amp; Rosati, Professional Corporation.</w:t>
              </w:r>
            </w:hyperlink>
          </w:p>
        </w:tc>
        <w:tc>
          <w:tcPr>
            <w:tcW w:w="1620" w:type="dxa"/>
            <w:vAlign w:val="bottom"/>
            <w:gridSpan w:val="6"/>
          </w:tcPr>
          <w:p>
            <w:pPr>
              <w:ind w:left="240"/>
              <w:spacing w:after="0"/>
              <w:rPr>
                <w:rFonts w:ascii="Arial" w:cs="Arial" w:eastAsia="Arial" w:hAnsi="Arial"/>
                <w:sz w:val="18"/>
                <w:szCs w:val="18"/>
                <w:color w:val="0000EE"/>
              </w:rPr>
            </w:pPr>
            <w:hyperlink w:anchor="page6">
              <w:r>
                <w:rPr>
                  <w:rFonts w:ascii="Arial" w:cs="Arial" w:eastAsia="Arial" w:hAnsi="Arial"/>
                  <w:sz w:val="18"/>
                  <w:szCs w:val="18"/>
                  <w:color w:val="0000EE"/>
                </w:rPr>
                <w:t>Filed herewith.</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Consent of PricewaterhouseCoopers LLP, Independent Registered Public</w:t>
              </w:r>
            </w:hyperlink>
          </w:p>
        </w:tc>
        <w:tc>
          <w:tcPr>
            <w:tcW w:w="1620" w:type="dxa"/>
            <w:vAlign w:val="bottom"/>
            <w:gridSpan w:val="6"/>
          </w:tcPr>
          <w:p>
            <w:pPr>
              <w:ind w:left="240"/>
              <w:spacing w:after="0"/>
              <w:rPr>
                <w:rFonts w:ascii="Arial" w:cs="Arial" w:eastAsia="Arial" w:hAnsi="Arial"/>
                <w:sz w:val="18"/>
                <w:szCs w:val="18"/>
                <w:color w:val="0000EE"/>
              </w:rPr>
            </w:pPr>
            <w:hyperlink w:anchor="page7">
              <w:r>
                <w:rPr>
                  <w:rFonts w:ascii="Arial" w:cs="Arial" w:eastAsia="Arial" w:hAnsi="Arial"/>
                  <w:sz w:val="18"/>
                  <w:szCs w:val="18"/>
                  <w:color w:val="0000EE"/>
                </w:rPr>
                <w:t>Filed herewith.</w:t>
              </w:r>
            </w:hyperlink>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Accounting Firm.</w:t>
              </w:r>
            </w:hyperlink>
          </w:p>
        </w:tc>
        <w:tc>
          <w:tcPr>
            <w:tcW w:w="66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2</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Consent of Wilson Sonsini Goodrich &amp; Rosati, Professional Corporation</w:t>
              </w:r>
            </w:hyperlink>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196"/>
        </w:trPr>
        <w:tc>
          <w:tcPr>
            <w:tcW w:w="4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(contained in Exhibit 5.1 hereto).</w:t>
              </w:r>
            </w:hyperlink>
          </w:p>
        </w:tc>
        <w:tc>
          <w:tcPr>
            <w:tcW w:w="2840" w:type="dxa"/>
            <w:vAlign w:val="bottom"/>
            <w:tcBorders>
              <w:top w:val="single" w:sz="8" w:color="0000EE"/>
            </w:tcBorders>
            <w:gridSpan w:val="10"/>
          </w:tcPr>
          <w:p>
            <w:pPr>
              <w:spacing w:after="0"/>
              <w:rPr>
                <w:sz w:val="17"/>
                <w:szCs w:val="17"/>
                <w:color w:val="auto"/>
              </w:rPr>
            </w:pPr>
          </w:p>
        </w:tc>
        <w:tc>
          <w:tcPr>
            <w:tcW w:w="70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700" w:type="dxa"/>
            <w:vAlign w:val="bottom"/>
            <w:gridSpan w:val="2"/>
          </w:tcPr>
          <w:p>
            <w:pPr>
              <w:jc w:val="center"/>
              <w:ind w:left="290"/>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24.</w:t>
              </w:r>
              <w:r>
                <w:rPr>
                  <w:rFonts w:ascii="Arial" w:cs="Arial" w:eastAsia="Arial" w:hAnsi="Arial"/>
                  <w:sz w:val="18"/>
                  <w:szCs w:val="18"/>
                  <w:u w:val="single" w:color="auto"/>
                  <w:color w:val="0000EE"/>
                  <w:w w:val="91"/>
                </w:rPr>
                <w:t>1</w:t>
              </w:r>
            </w:hyperlink>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940" w:type="dxa"/>
            <w:vAlign w:val="bottom"/>
            <w:gridSpan w:val="2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 of Attorney (contained on signature page hereto).</w:t>
              </w:r>
            </w:hyperlink>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contract or arrangement.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January 11, 2019.</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Christopher Linthwaite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Stephen Christopher Linthwaite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Stephen Christopher Linthwaite and Vikram Jog, and each of them, as his or her true and lawful attorneys-in-fact and agents, with full power of substitution and resubstitution, for him or her and in his or her name, place and stead, in any and all capacities (including his or her capacity as a director and/or officer of Fluidigm Corporation), to sign the Registration Statement on Form S-8 of Fluidigm Corporation, and any or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they or he might or could do in person, hereby and about the premises hereby ratifying and confirming all that said attorneys-in-fact and agent, proxy and agent, or his, her or their substitute or substitutes, may lawfully do or cause to be done by virtue hereof.</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1"/>
        </w:trPr>
        <w:tc>
          <w:tcPr>
            <w:tcW w:w="3660" w:type="dxa"/>
            <w:vAlign w:val="bottom"/>
            <w:vMerge w:val="restart"/>
          </w:tcPr>
          <w:p>
            <w:pPr>
              <w:spacing w:after="0"/>
              <w:rPr>
                <w:sz w:val="20"/>
                <w:szCs w:val="20"/>
                <w:color w:val="auto"/>
              </w:rPr>
            </w:pPr>
            <w:r>
              <w:rPr>
                <w:rFonts w:ascii="Arial" w:cs="Arial" w:eastAsia="Arial" w:hAnsi="Arial"/>
                <w:sz w:val="18"/>
                <w:szCs w:val="18"/>
                <w:color w:val="auto"/>
              </w:rPr>
              <w:t>/s/ Stephen Christopher Linthwaite</w:t>
            </w:r>
          </w:p>
        </w:tc>
        <w:tc>
          <w:tcPr>
            <w:tcW w:w="240" w:type="dxa"/>
            <w:vAlign w:val="bottom"/>
          </w:tcPr>
          <w:p>
            <w:pPr>
              <w:spacing w:after="0"/>
              <w:rPr>
                <w:sz w:val="24"/>
                <w:szCs w:val="24"/>
                <w:color w:val="auto"/>
              </w:rPr>
            </w:pPr>
          </w:p>
        </w:tc>
        <w:tc>
          <w:tcPr>
            <w:tcW w:w="3660" w:type="dxa"/>
            <w:vAlign w:val="bottom"/>
          </w:tcPr>
          <w:p>
            <w:pPr>
              <w:ind w:left="540"/>
              <w:spacing w:after="0"/>
              <w:rPr>
                <w:sz w:val="20"/>
                <w:szCs w:val="20"/>
                <w:color w:val="auto"/>
              </w:rPr>
            </w:pPr>
            <w:r>
              <w:rPr>
                <w:rFonts w:ascii="Arial" w:cs="Arial" w:eastAsia="Arial" w:hAnsi="Arial"/>
                <w:sz w:val="18"/>
                <w:szCs w:val="18"/>
                <w:color w:val="auto"/>
              </w:rPr>
              <w:t>President, Chief Executive Officer,</w:t>
            </w: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and Director</w:t>
            </w: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1"/>
              </w:rPr>
              <w:t>Stephen Christopher Linthwaite</w:t>
            </w:r>
          </w:p>
        </w:tc>
        <w:tc>
          <w:tcPr>
            <w:tcW w:w="2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Jog</w:t>
            </w:r>
          </w:p>
        </w:tc>
        <w:tc>
          <w:tcPr>
            <w:tcW w:w="24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3"/>
              </w:rPr>
              <w:t>Vikram Jog</w:t>
            </w:r>
          </w:p>
        </w:tc>
        <w:tc>
          <w:tcPr>
            <w:tcW w:w="240" w:type="dxa"/>
            <w:vAlign w:val="bottom"/>
          </w:tcPr>
          <w:p>
            <w:pPr>
              <w:spacing w:after="0"/>
              <w:rPr>
                <w:sz w:val="7"/>
                <w:szCs w:val="7"/>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Colella</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Samuel D. Colella</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Barthelemy</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Nicolas Barthelemy</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Paya</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Carlos Paya</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Gerhard F. Burbach</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Gerhard F. Burbach</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S. Jones</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Patrick S. Jones</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Clague</w:t>
            </w:r>
          </w:p>
        </w:tc>
        <w:tc>
          <w:tcPr>
            <w:tcW w:w="240" w:type="dxa"/>
            <w:vAlign w:val="bottom"/>
          </w:tcPr>
          <w:p>
            <w:pPr>
              <w:spacing w:after="0"/>
              <w:rPr>
                <w:sz w:val="24"/>
                <w:szCs w:val="24"/>
                <w:color w:val="auto"/>
              </w:rPr>
            </w:pPr>
          </w:p>
        </w:tc>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11, 2019</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8"/>
              </w:rPr>
              <w:t>Laura Clague</w:t>
            </w:r>
          </w:p>
        </w:tc>
        <w:tc>
          <w:tcPr>
            <w:tcW w:w="24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have examined the Registration Statement on Form S-8 (the “Registration Statement”) to be filed by Fluidigm Corporation, a Delaware corporation, with the Securities and Exchange Commission on or about the date hereof, in connection with the registration under the Securities Act of 1933, as amended, of 1,000,000 shares of your common stock, par value $0.001 per share (the “Shares”), reserved for future issuance pursuant to the 2011 Equity Incentive Plan (the “Plan”). As your legal counsel, we have reviewed the actions proposed to be taken by you in connection with the issuance and sale of the Shares to be issued under the Plan.</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It is our opinion that the Shares, when issued and sold in the manner referred to in the Plan and pursuant to the agreements that accompany the Plan, will be legally and validly issued, fully paid and nonassessable.</w:t>
      </w:r>
    </w:p>
    <w:p>
      <w:pPr>
        <w:spacing w:after="0" w:line="170"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Fluidigm Corporation of our report dated March 8, 2018 relating to the financial statements, financial statement schedule and the effectiveness of internal control over financial reporting, which appears in Fluidigm Corporation's Annual Report on Form 10-K for the year ended December 31,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20" Type="http://schemas.openxmlformats.org/officeDocument/2006/relationships/hyperlink" Target="http://www.sec.gov/Archives/edgar/data/1162194/000157104917007218/t1702250_ex4-1.htm" TargetMode="External"/><Relationship Id="rId21" Type="http://schemas.openxmlformats.org/officeDocument/2006/relationships/hyperlink" Target="http://www.sec.gov/Archives/edgar/data/1162194/000119312511016501/dex104.htm" TargetMode="External"/><Relationship Id="rId22" Type="http://schemas.openxmlformats.org/officeDocument/2006/relationships/hyperlink" Target="http://www.sec.gov/Archives/edgar/data/1162194/000157104917007659/t1702415_ex-d2.htm" TargetMode="External"/><Relationship Id="rId23" Type="http://schemas.openxmlformats.org/officeDocument/2006/relationships/hyperlink" Target="http://www.sec.gov/Archives/edgar/data/1162194/000157104917007659/t1702415_ex-d3.htm" TargetMode="External"/><Relationship Id="rId24" Type="http://schemas.openxmlformats.org/officeDocument/2006/relationships/hyperlink" Target="http://www.sec.gov/Archives/edgar/data/1162194/000157104917007659/t1702415_ex-d4.htm" TargetMode="External"/><Relationship Id="rId25" Type="http://schemas.openxmlformats.org/officeDocument/2006/relationships/hyperlink" Target="http://www.sec.gov/Archives/edgar/data/1162194/000157104917007659/t1702415_ex-d5.htm" TargetMode="External"/><Relationship Id="rId26" Type="http://schemas.openxmlformats.org/officeDocument/2006/relationships/hyperlink" Target="http://www.sec.gov/Archives/edgar/data/1162194/000157104917007659/t1702415_ex-d6.htm" TargetMode="External"/><Relationship Id="rId27" Type="http://schemas.openxmlformats.org/officeDocument/2006/relationships/hyperlink" Target="http://www.sec.gov/Archives/edgar/data/1162194/000157104917007659/t1702415_ex-d7.htm" TargetMode="External"/><Relationship Id="rId28" Type="http://schemas.openxmlformats.org/officeDocument/2006/relationships/hyperlink" Target="http://www.sec.gov/Archives/edgar/data/1162194/000114420417039703/v471897_ex10-2.htm" TargetMode="External"/><Relationship Id="rId29" Type="http://schemas.openxmlformats.org/officeDocument/2006/relationships/hyperlink" Target="http://www.sec.gov/Archives/edgar/data/1162194/000119312514034901/d669277dex41.htm" TargetMode="External"/><Relationship Id="rId30" Type="http://schemas.openxmlformats.org/officeDocument/2006/relationships/hyperlink" Target="http://www.sec.gov/Archives/edgar/data/1162194/000119312514034901/d669277dex42.htm" TargetMode="External"/><Relationship Id="rId31" Type="http://schemas.openxmlformats.org/officeDocument/2006/relationships/hyperlink" Target="http://www.sec.gov/Archives/edgar/data/1162194/000117184318001740/exh_42.htm" TargetMode="External"/><Relationship Id="rId32" Type="http://schemas.openxmlformats.org/officeDocument/2006/relationships/hyperlink" Target="http://www.sec.gov/Archives/edgar/data/1162194/000117184318005695/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2019-12-20T16:16:51Z</dcterms:created>
  <dcterms:modified xsi:type="dcterms:W3CDTF">2019-12-20T16:16:51Z</dcterms:modified>
</cp:coreProperties>
</file>