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460" w:right="420" w:hanging="452"/>
        <w:spacing w:after="0" w:line="313"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right="460" w:hanging="452"/>
        <w:spacing w:after="0" w:line="249"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033" w:gutter="0" w:footer="0" w:header="0"/>
        </w:sectPr>
      </w:pPr>
    </w:p>
    <w:p>
      <w:pPr>
        <w:spacing w:after="0" w:line="2" w:lineRule="exact"/>
        <w:rPr>
          <w:sz w:val="24"/>
          <w:szCs w:val="24"/>
          <w:color w:val="auto"/>
        </w:rPr>
      </w:pPr>
    </w:p>
    <w:p>
      <w:pPr>
        <w:ind w:left="460"/>
        <w:spacing w:after="0"/>
        <w:tabs>
          <w:tab w:leader="none" w:pos="38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31" w:lineRule="exact"/>
        <w:rPr>
          <w:sz w:val="24"/>
          <w:szCs w:val="24"/>
          <w:color w:val="auto"/>
        </w:rPr>
      </w:pPr>
    </w:p>
    <w:p>
      <w:pPr>
        <w:ind w:left="4040"/>
        <w:spacing w:after="0"/>
        <w:rPr>
          <w:sz w:val="20"/>
          <w:szCs w:val="20"/>
          <w:color w:val="auto"/>
        </w:rPr>
      </w:pPr>
      <w:r>
        <w:rPr>
          <w:rFonts w:ascii="Arial" w:cs="Arial" w:eastAsia="Arial" w:hAnsi="Arial"/>
          <w:sz w:val="19"/>
          <w:szCs w:val="19"/>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033" w:gutter="0" w:footer="0" w:header="0"/>
          <w:type w:val="continuous"/>
        </w:sectPr>
      </w:pPr>
    </w:p>
    <w:p>
      <w:pPr>
        <w:spacing w:after="0" w:line="1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tbl>
      <w:tblPr>
        <w:tblLayout w:type="fixed"/>
        <w:tblInd w:w="134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540" w:type="dxa"/>
            <w:vAlign w:val="bottom"/>
            <w:gridSpan w:val="2"/>
          </w:tcPr>
          <w:p>
            <w:pPr>
              <w:jc w:val="center"/>
              <w:ind w:right="1904"/>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239"/>
        </w:trPr>
        <w:tc>
          <w:tcPr>
            <w:tcW w:w="1020" w:type="dxa"/>
            <w:vAlign w:val="bottom"/>
          </w:tcPr>
          <w:p>
            <w:pPr>
              <w:spacing w:after="0"/>
              <w:rPr>
                <w:sz w:val="20"/>
                <w:szCs w:val="20"/>
                <w:color w:val="auto"/>
              </w:rPr>
            </w:pPr>
          </w:p>
        </w:tc>
        <w:tc>
          <w:tcPr>
            <w:tcW w:w="4960" w:type="dxa"/>
            <w:vAlign w:val="bottom"/>
            <w:gridSpan w:val="2"/>
          </w:tcPr>
          <w:p>
            <w:pPr>
              <w:jc w:val="center"/>
              <w:ind w:right="3816"/>
              <w:spacing w:after="0"/>
              <w:rPr>
                <w:sz w:val="20"/>
                <w:szCs w:val="20"/>
                <w:color w:val="auto"/>
              </w:rPr>
            </w:pPr>
            <w:r>
              <w:rPr>
                <w:rFonts w:ascii="Arial" w:cs="Arial" w:eastAsia="Arial" w:hAnsi="Arial"/>
                <w:sz w:val="18"/>
                <w:szCs w:val="18"/>
                <w:b w:val="1"/>
                <w:bCs w:val="1"/>
                <w:color w:val="auto"/>
                <w:w w:val="88"/>
              </w:rPr>
              <w:t>Delaware</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89"/>
              </w:rPr>
              <w:t>77-0513190</w:t>
            </w:r>
          </w:p>
        </w:tc>
      </w:tr>
      <w:tr>
        <w:trPr>
          <w:trHeight w:val="149"/>
        </w:trPr>
        <w:tc>
          <w:tcPr>
            <w:tcW w:w="5980" w:type="dxa"/>
            <w:vAlign w:val="bottom"/>
            <w:gridSpan w:val="3"/>
          </w:tcPr>
          <w:p>
            <w:pPr>
              <w:jc w:val="center"/>
              <w:ind w:right="279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980" w:type="dxa"/>
            <w:vAlign w:val="bottom"/>
            <w:gridSpan w:val="3"/>
          </w:tcPr>
          <w:p>
            <w:pPr>
              <w:jc w:val="center"/>
              <w:ind w:right="2776"/>
              <w:spacing w:after="0"/>
              <w:rPr>
                <w:sz w:val="20"/>
                <w:szCs w:val="20"/>
                <w:color w:val="auto"/>
              </w:rPr>
            </w:pPr>
            <w:r>
              <w:rPr>
                <w:rFonts w:ascii="Arial" w:cs="Arial" w:eastAsia="Arial" w:hAnsi="Arial"/>
                <w:sz w:val="14"/>
                <w:szCs w:val="14"/>
                <w:b w:val="1"/>
                <w:bCs w:val="1"/>
                <w:color w:val="auto"/>
                <w:w w:val="88"/>
              </w:rPr>
              <w:t>incorporation or organization)</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Number)</w:t>
            </w:r>
          </w:p>
        </w:tc>
      </w:tr>
      <w:tr>
        <w:trPr>
          <w:trHeight w:val="243"/>
        </w:trPr>
        <w:tc>
          <w:tcPr>
            <w:tcW w:w="10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80" w:type="dxa"/>
            <w:vAlign w:val="bottom"/>
          </w:tcPr>
          <w:p>
            <w:pPr>
              <w:jc w:val="center"/>
              <w:ind w:left="576"/>
              <w:spacing w:after="0"/>
              <w:rPr>
                <w:sz w:val="20"/>
                <w:szCs w:val="20"/>
                <w:color w:val="auto"/>
              </w:rPr>
            </w:pPr>
            <w:r>
              <w:rPr>
                <w:rFonts w:ascii="Arial" w:cs="Arial" w:eastAsia="Arial" w:hAnsi="Arial"/>
                <w:sz w:val="18"/>
                <w:szCs w:val="18"/>
                <w:b w:val="1"/>
                <w:bCs w:val="1"/>
                <w:color w:val="auto"/>
                <w:w w:val="88"/>
              </w:rPr>
              <w:t>7000 Shoreline Court, Suite 100</w:t>
            </w:r>
          </w:p>
        </w:tc>
        <w:tc>
          <w:tcPr>
            <w:tcW w:w="2660" w:type="dxa"/>
            <w:vAlign w:val="bottom"/>
          </w:tcPr>
          <w:p>
            <w:pPr>
              <w:spacing w:after="0"/>
              <w:rPr>
                <w:sz w:val="21"/>
                <w:szCs w:val="21"/>
                <w:color w:val="auto"/>
              </w:rPr>
            </w:pPr>
          </w:p>
        </w:tc>
      </w:tr>
      <w:tr>
        <w:trPr>
          <w:trHeight w:val="218"/>
        </w:trPr>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80" w:type="dxa"/>
            <w:vAlign w:val="bottom"/>
          </w:tcPr>
          <w:p>
            <w:pPr>
              <w:jc w:val="center"/>
              <w:ind w:left="596"/>
              <w:spacing w:after="0"/>
              <w:rPr>
                <w:sz w:val="20"/>
                <w:szCs w:val="20"/>
                <w:color w:val="auto"/>
              </w:rPr>
            </w:pPr>
            <w:r>
              <w:rPr>
                <w:rFonts w:ascii="Arial" w:cs="Arial" w:eastAsia="Arial" w:hAnsi="Arial"/>
                <w:sz w:val="18"/>
                <w:szCs w:val="18"/>
                <w:b w:val="1"/>
                <w:bCs w:val="1"/>
                <w:color w:val="auto"/>
                <w:w w:val="88"/>
              </w:rPr>
              <w:t>South San Francisco, California 94080</w:t>
            </w:r>
          </w:p>
        </w:tc>
        <w:tc>
          <w:tcPr>
            <w:tcW w:w="2660" w:type="dxa"/>
            <w:vAlign w:val="bottom"/>
          </w:tcPr>
          <w:p>
            <w:pPr>
              <w:spacing w:after="0"/>
              <w:rPr>
                <w:sz w:val="18"/>
                <w:szCs w:val="18"/>
                <w:color w:val="auto"/>
              </w:rPr>
            </w:pPr>
          </w:p>
        </w:tc>
      </w:tr>
      <w:tr>
        <w:trPr>
          <w:trHeight w:val="174"/>
        </w:trPr>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tcPr>
          <w:p>
            <w:pPr>
              <w:jc w:val="center"/>
              <w:ind w:left="576"/>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2660" w:type="dxa"/>
            <w:vAlign w:val="bottom"/>
          </w:tcPr>
          <w:p>
            <w:pPr>
              <w:spacing w:after="0"/>
              <w:rPr>
                <w:sz w:val="15"/>
                <w:szCs w:val="15"/>
                <w:color w:val="auto"/>
              </w:rPr>
            </w:pPr>
          </w:p>
        </w:tc>
      </w:tr>
      <w:tr>
        <w:trPr>
          <w:trHeight w:val="229"/>
        </w:trPr>
        <w:tc>
          <w:tcPr>
            <w:tcW w:w="5980" w:type="dxa"/>
            <w:vAlign w:val="bottom"/>
            <w:gridSpan w:val="3"/>
          </w:tcPr>
          <w:p>
            <w:pPr>
              <w:jc w:val="center"/>
              <w:ind w:left="2682"/>
              <w:spacing w:after="0"/>
              <w:rPr>
                <w:sz w:val="20"/>
                <w:szCs w:val="20"/>
                <w:color w:val="auto"/>
              </w:rPr>
            </w:pPr>
            <w:r>
              <w:rPr>
                <w:rFonts w:ascii="Arial" w:cs="Arial" w:eastAsia="Arial" w:hAnsi="Arial"/>
                <w:sz w:val="18"/>
                <w:szCs w:val="18"/>
                <w:b w:val="1"/>
                <w:bCs w:val="1"/>
                <w:color w:val="auto"/>
                <w:w w:val="89"/>
              </w:rPr>
              <w:t>(650) 266-6000</w:t>
            </w:r>
          </w:p>
        </w:tc>
        <w:tc>
          <w:tcPr>
            <w:tcW w:w="266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40" w:type="dxa"/>
            <w:vAlign w:val="bottom"/>
            <w:gridSpan w:val="2"/>
          </w:tcPr>
          <w:p>
            <w:pPr>
              <w:jc w:val="center"/>
              <w:ind w:right="1904"/>
              <w:spacing w:after="0"/>
              <w:rPr>
                <w:sz w:val="20"/>
                <w:szCs w:val="20"/>
                <w:color w:val="auto"/>
              </w:rPr>
            </w:pPr>
            <w:r>
              <w:rPr>
                <w:rFonts w:ascii="Arial" w:cs="Arial" w:eastAsia="Arial" w:hAnsi="Arial"/>
                <w:sz w:val="18"/>
                <w:szCs w:val="18"/>
                <w:b w:val="1"/>
                <w:bCs w:val="1"/>
                <w:color w:val="auto"/>
                <w:w w:val="86"/>
              </w:rPr>
              <w:t>Registrant’s telephone number, including area code</w:t>
            </w:r>
          </w:p>
        </w:tc>
      </w:tr>
      <w:tr>
        <w:trPr>
          <w:trHeight w:val="228"/>
        </w:trPr>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540" w:type="dxa"/>
            <w:vAlign w:val="bottom"/>
            <w:gridSpan w:val="2"/>
          </w:tcPr>
          <w:p>
            <w:pPr>
              <w:jc w:val="center"/>
              <w:ind w:right="192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205"/>
        </w:trPr>
        <w:tc>
          <w:tcPr>
            <w:tcW w:w="1020" w:type="dxa"/>
            <w:vAlign w:val="bottom"/>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880" w:type="dxa"/>
            <w:vAlign w:val="bottom"/>
          </w:tcPr>
          <w:p>
            <w:pPr>
              <w:spacing w:after="0"/>
              <w:rPr>
                <w:sz w:val="17"/>
                <w:szCs w:val="17"/>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16"/>
        </w:trPr>
        <w:tc>
          <w:tcPr>
            <w:tcW w:w="5980" w:type="dxa"/>
            <w:vAlign w:val="bottom"/>
            <w:gridSpan w:val="3"/>
          </w:tcPr>
          <w:p>
            <w:pPr>
              <w:jc w:val="center"/>
              <w:ind w:right="2796"/>
              <w:spacing w:after="0"/>
              <w:rPr>
                <w:sz w:val="20"/>
                <w:szCs w:val="20"/>
                <w:color w:val="auto"/>
              </w:rPr>
            </w:pPr>
            <w:r>
              <w:rPr>
                <w:rFonts w:ascii="Arial" w:cs="Arial" w:eastAsia="Arial" w:hAnsi="Arial"/>
                <w:sz w:val="18"/>
                <w:szCs w:val="18"/>
                <w:color w:val="auto"/>
                <w:w w:val="87"/>
              </w:rPr>
              <w:t>Common Stock, $0.001 Par Value per Share</w:t>
            </w:r>
          </w:p>
        </w:tc>
        <w:tc>
          <w:tcPr>
            <w:tcW w:w="266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r>
    </w:tbl>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4"/>
          <w:szCs w:val="24"/>
          <w:color w:val="auto"/>
        </w:rPr>
      </w:pPr>
    </w:p>
    <w:p>
      <w:pPr>
        <w:ind w:left="360"/>
        <w:spacing w:after="0" w:line="207" w:lineRule="exact"/>
        <w:tabs>
          <w:tab w:leader="none" w:pos="10240" w:val="left"/>
          <w:tab w:leader="none" w:pos="1092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of 1933, as amended.</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420" w:firstLine="342"/>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as amended.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right="1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8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6" w:lineRule="exact"/>
        <w:rPr>
          <w:sz w:val="24"/>
          <w:szCs w:val="24"/>
          <w:color w:val="auto"/>
        </w:rPr>
      </w:pPr>
    </w:p>
    <w:p>
      <w:pPr>
        <w:ind w:right="60" w:firstLine="342"/>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033"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220"/>
            <w:col w:w="6580" w:space="720"/>
            <w:col w:w="1440" w:space="720"/>
            <w:col w:w="160"/>
          </w:cols>
          <w:pgMar w:left="240" w:top="230" w:right="239" w:bottom="1033"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00" w:space="300"/>
            <w:col w:w="160" w:space="100"/>
            <w:col w:w="6320" w:space="720"/>
            <w:col w:w="1920" w:space="240"/>
            <w:col w:w="160"/>
          </w:cols>
          <w:pgMar w:left="240" w:top="230" w:right="239" w:bottom="1033" w:gutter="0" w:footer="0" w:header="0"/>
          <w:type w:val="continuous"/>
        </w:sectPr>
      </w:pPr>
    </w:p>
    <w:p>
      <w:pPr>
        <w:spacing w:after="0" w:line="15"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4">
            <w:col w:w="8320" w:space="180"/>
            <w:col w:w="260" w:space="80"/>
            <w:col w:w="160" w:space="180"/>
            <w:col w:w="2240"/>
          </w:cols>
          <w:pgMar w:left="240" w:top="230" w:right="239" w:bottom="1033" w:gutter="0" w:footer="0" w:header="0"/>
          <w:type w:val="continuous"/>
        </w:sectPr>
      </w:pPr>
    </w:p>
    <w:p>
      <w:pPr>
        <w:ind w:right="80" w:firstLine="342"/>
        <w:spacing w:after="0" w:line="291" w:lineRule="auto"/>
        <w:rPr>
          <w:sz w:val="20"/>
          <w:szCs w:val="20"/>
          <w:color w:val="auto"/>
        </w:rPr>
      </w:pPr>
      <w:r>
        <w:rPr>
          <w:rFonts w:ascii="Arial" w:cs="Arial" w:eastAsia="Arial" w:hAnsi="Arial"/>
          <w:sz w:val="16"/>
          <w:szCs w:val="16"/>
          <w:color w:val="auto"/>
        </w:rPr>
        <w:t>As of June 29, 2012, the last business day of the registrant’s most recently completed second fiscal quarter, the aggregate market value of voting and non-voting common equity held by non-affiliates of the registrant was approximately $288,181,741 (based on a closing sale price of $15.04 per share as reported for the NASDAQ Global Market on June 29, 2012). For purposes of this calculation, shares of common stock beneficially owned by the registrant’s officers and directors as of June 29, 2012 and shares of common stock held by persons who held more than 10% of the outstanding common stock of the registrant as of June 29, 2012 (based solely upon Schedule 13G filings made with the SEC) have been excluded from this calculation because such persons may be deemed to be affiliates. This determination of executive officer or affiliate status is not necessarily a conclusive determination for other purposes.</w:t>
      </w:r>
    </w:p>
    <w:p>
      <w:pPr>
        <w:spacing w:after="0" w:line="3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number of shares of the registrant’s common stock, $0.001 par value per share, outstanding as of February 28, 2013 was 25,274,351.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120015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ind w:right="120" w:firstLine="342"/>
        <w:spacing w:after="0" w:line="261" w:lineRule="auto"/>
        <w:rPr>
          <w:sz w:val="20"/>
          <w:szCs w:val="20"/>
          <w:color w:val="auto"/>
        </w:rPr>
      </w:pPr>
      <w:r>
        <w:rPr>
          <w:rFonts w:ascii="Arial" w:cs="Arial" w:eastAsia="Arial" w:hAnsi="Arial"/>
          <w:sz w:val="18"/>
          <w:szCs w:val="18"/>
          <w:color w:val="auto"/>
        </w:rPr>
        <w:t>Portions of the registrant’s definitive Proxy Statement relating to its 2013 Annual Meeting of Stockholders are incorporated by reference into Part III of this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033"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20" w:type="dxa"/>
            <w:vAlign w:val="bottom"/>
            <w:gridSpan w:val="12"/>
          </w:tcPr>
          <w:p>
            <w:pPr>
              <w:jc w:val="center"/>
              <w:ind w:right="4240"/>
              <w:spacing w:after="0"/>
              <w:rPr>
                <w:sz w:val="20"/>
                <w:szCs w:val="20"/>
                <w:color w:val="auto"/>
              </w:rPr>
            </w:pPr>
            <w:r>
              <w:rPr>
                <w:rFonts w:ascii="Arial" w:cs="Arial" w:eastAsia="Arial" w:hAnsi="Arial"/>
                <w:sz w:val="18"/>
                <w:szCs w:val="18"/>
                <w:b w:val="1"/>
                <w:bCs w:val="1"/>
                <w:color w:val="auto"/>
                <w:w w:val="90"/>
              </w:rPr>
              <w:t>Fluidigm Corporation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20" w:type="dxa"/>
            <w:vAlign w:val="bottom"/>
            <w:gridSpan w:val="12"/>
          </w:tcPr>
          <w:p>
            <w:pPr>
              <w:jc w:val="center"/>
              <w:ind w:right="4240"/>
              <w:spacing w:after="0"/>
              <w:rPr>
                <w:sz w:val="20"/>
                <w:szCs w:val="20"/>
                <w:color w:val="auto"/>
              </w:rPr>
            </w:pPr>
            <w:r>
              <w:rPr>
                <w:rFonts w:ascii="Arial" w:cs="Arial" w:eastAsia="Arial" w:hAnsi="Arial"/>
                <w:sz w:val="18"/>
                <w:szCs w:val="18"/>
                <w:b w:val="1"/>
                <w:bCs w:val="1"/>
                <w:color w:val="auto"/>
                <w:w w:val="87"/>
              </w:rPr>
              <w:t>Fiscal Year 2012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20" w:type="dxa"/>
            <w:vAlign w:val="bottom"/>
            <w:gridSpan w:val="12"/>
          </w:tcPr>
          <w:p>
            <w:pPr>
              <w:jc w:val="center"/>
              <w:ind w:right="4220"/>
              <w:spacing w:after="0"/>
              <w:rPr>
                <w:sz w:val="20"/>
                <w:szCs w:val="20"/>
                <w:color w:val="auto"/>
              </w:rPr>
            </w:pPr>
            <w:r>
              <w:rPr>
                <w:rFonts w:ascii="Arial" w:cs="Arial" w:eastAsia="Arial" w:hAnsi="Arial"/>
                <w:sz w:val="18"/>
                <w:szCs w:val="18"/>
                <w:b w:val="1"/>
                <w:bCs w:val="1"/>
                <w:color w:val="auto"/>
                <w:w w:val="94"/>
              </w:rPr>
              <w:t>Form 10-K</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20" w:type="dxa"/>
            <w:vAlign w:val="bottom"/>
            <w:gridSpan w:val="12"/>
          </w:tcPr>
          <w:p>
            <w:pPr>
              <w:jc w:val="center"/>
              <w:ind w:right="4220"/>
              <w:spacing w:after="0"/>
              <w:rPr>
                <w:sz w:val="20"/>
                <w:szCs w:val="20"/>
                <w:color w:val="auto"/>
              </w:rPr>
            </w:pPr>
            <w:r>
              <w:rPr>
                <w:rFonts w:ascii="Arial" w:cs="Arial" w:eastAsia="Arial" w:hAnsi="Arial"/>
                <w:sz w:val="18"/>
                <w:szCs w:val="18"/>
                <w:b w:val="1"/>
                <w:bCs w:val="1"/>
                <w:color w:val="auto"/>
                <w:w w:val="90"/>
              </w:rPr>
              <w:t>Annual Report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20" w:type="dxa"/>
            <w:vAlign w:val="bottom"/>
            <w:gridSpan w:val="12"/>
          </w:tcPr>
          <w:p>
            <w:pPr>
              <w:jc w:val="center"/>
              <w:ind w:right="422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68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680" w:type="dxa"/>
            <w:vAlign w:val="bottom"/>
          </w:tcPr>
          <w:p>
            <w:pPr>
              <w:ind w:left="440"/>
              <w:spacing w:after="0" w:line="184" w:lineRule="exact"/>
              <w:rPr>
                <w:sz w:val="20"/>
                <w:szCs w:val="20"/>
                <w:color w:val="auto"/>
              </w:rPr>
            </w:pPr>
            <w:r>
              <w:rPr>
                <w:rFonts w:ascii="Arial" w:cs="Arial" w:eastAsia="Arial" w:hAnsi="Arial"/>
                <w:sz w:val="18"/>
                <w:szCs w:val="18"/>
                <w:color w:val="auto"/>
              </w:rPr>
              <w:t>ITEM 1.</w:t>
            </w:r>
          </w:p>
        </w:tc>
        <w:tc>
          <w:tcPr>
            <w:tcW w:w="840" w:type="dxa"/>
            <w:vAlign w:val="bottom"/>
            <w:tcBorders>
              <w:bottom w:val="single" w:sz="8" w:color="0000EE"/>
            </w:tcBorders>
            <w:gridSpan w:val="2"/>
          </w:tcPr>
          <w:p>
            <w:pPr>
              <w:spacing w:after="0" w:line="184"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BUSINESS</w:t>
              </w:r>
            </w:hyperlink>
          </w:p>
        </w:tc>
        <w:tc>
          <w:tcPr>
            <w:tcW w:w="8620" w:type="dxa"/>
            <w:vAlign w:val="bottom"/>
            <w:gridSpan w:val="23"/>
          </w:tcPr>
          <w:p>
            <w:pPr>
              <w:spacing w:after="0"/>
              <w:rPr>
                <w:sz w:val="15"/>
                <w:szCs w:val="15"/>
                <w:color w:val="auto"/>
              </w:rPr>
            </w:pPr>
          </w:p>
        </w:tc>
        <w:tc>
          <w:tcPr>
            <w:tcW w:w="280" w:type="dxa"/>
            <w:vAlign w:val="bottom"/>
          </w:tcPr>
          <w:p>
            <w:pPr>
              <w:jc w:val="right"/>
              <w:ind w:right="13"/>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1A.</w:t>
            </w:r>
          </w:p>
        </w:tc>
        <w:tc>
          <w:tcPr>
            <w:tcW w:w="9460" w:type="dxa"/>
            <w:vAlign w:val="bottom"/>
            <w:gridSpan w:val="2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21</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1B.</w:t>
            </w:r>
          </w:p>
        </w:tc>
        <w:tc>
          <w:tcPr>
            <w:tcW w:w="27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UNRESOLVED STAFF COMMENTS</w:t>
              </w:r>
            </w:hyperlink>
          </w:p>
        </w:tc>
        <w:tc>
          <w:tcPr>
            <w:tcW w:w="6700" w:type="dxa"/>
            <w:vAlign w:val="bottom"/>
            <w:gridSpan w:val="13"/>
          </w:tcPr>
          <w:p>
            <w:pPr>
              <w:spacing w:after="0"/>
              <w:rPr>
                <w:sz w:val="17"/>
                <w:szCs w:val="17"/>
                <w:color w:val="auto"/>
              </w:rPr>
            </w:pPr>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39</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2.</w:t>
            </w:r>
          </w:p>
        </w:tc>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PROPERTIES</w:t>
              </w:r>
            </w:hyperlink>
          </w:p>
        </w:tc>
        <w:tc>
          <w:tcPr>
            <w:tcW w:w="8420" w:type="dxa"/>
            <w:vAlign w:val="bottom"/>
            <w:gridSpan w:val="21"/>
          </w:tcPr>
          <w:p>
            <w:pPr>
              <w:spacing w:after="0"/>
              <w:rPr>
                <w:sz w:val="17"/>
                <w:szCs w:val="17"/>
                <w:color w:val="auto"/>
              </w:rPr>
            </w:pPr>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39</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3.</w:t>
            </w:r>
          </w:p>
        </w:tc>
        <w:tc>
          <w:tcPr>
            <w:tcW w:w="18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LEGAL PROCEEDINGS</w:t>
              </w:r>
            </w:hyperlink>
          </w:p>
        </w:tc>
        <w:tc>
          <w:tcPr>
            <w:tcW w:w="7620" w:type="dxa"/>
            <w:vAlign w:val="bottom"/>
            <w:gridSpan w:val="19"/>
          </w:tcPr>
          <w:p>
            <w:pPr>
              <w:spacing w:after="0"/>
              <w:rPr>
                <w:sz w:val="17"/>
                <w:szCs w:val="17"/>
                <w:color w:val="auto"/>
              </w:rPr>
            </w:pPr>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39</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4.</w:t>
            </w:r>
          </w:p>
        </w:tc>
        <w:tc>
          <w:tcPr>
            <w:tcW w:w="9460" w:type="dxa"/>
            <w:vAlign w:val="bottom"/>
            <w:gridSpan w:val="2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MINE SAFETY DISCLOSURE</w:t>
              </w:r>
            </w:hyperlink>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39</w:t>
            </w:r>
          </w:p>
        </w:tc>
        <w:tc>
          <w:tcPr>
            <w:tcW w:w="0" w:type="dxa"/>
            <w:vAlign w:val="bottom"/>
          </w:tcPr>
          <w:p>
            <w:pPr>
              <w:spacing w:after="0"/>
              <w:rPr>
                <w:sz w:val="1"/>
                <w:szCs w:val="1"/>
                <w:color w:val="auto"/>
              </w:rPr>
            </w:pPr>
          </w:p>
        </w:tc>
      </w:tr>
      <w:tr>
        <w:trPr>
          <w:trHeight w:val="370"/>
        </w:trPr>
        <w:tc>
          <w:tcPr>
            <w:tcW w:w="1680" w:type="dxa"/>
            <w:vAlign w:val="bottom"/>
          </w:tcPr>
          <w:p>
            <w:pPr>
              <w:spacing w:after="0"/>
              <w:rPr>
                <w:sz w:val="20"/>
                <w:szCs w:val="20"/>
                <w:color w:val="auto"/>
              </w:rPr>
            </w:pPr>
            <w:r>
              <w:rPr>
                <w:rFonts w:ascii="Arial" w:cs="Arial" w:eastAsia="Arial" w:hAnsi="Arial"/>
                <w:sz w:val="18"/>
                <w:szCs w:val="18"/>
                <w:color w:val="auto"/>
              </w:rPr>
              <w:t>PART II</w:t>
            </w:r>
          </w:p>
        </w:tc>
        <w:tc>
          <w:tcPr>
            <w:tcW w:w="2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680" w:type="dxa"/>
            <w:vAlign w:val="bottom"/>
          </w:tcPr>
          <w:p>
            <w:pPr>
              <w:ind w:left="440"/>
              <w:spacing w:after="0"/>
              <w:rPr>
                <w:sz w:val="20"/>
                <w:szCs w:val="20"/>
                <w:color w:val="auto"/>
              </w:rPr>
            </w:pPr>
            <w:r>
              <w:rPr>
                <w:rFonts w:ascii="Arial" w:cs="Arial" w:eastAsia="Arial" w:hAnsi="Arial"/>
                <w:sz w:val="18"/>
                <w:szCs w:val="18"/>
                <w:color w:val="auto"/>
              </w:rPr>
              <w:t>ITEM 5.</w:t>
            </w:r>
          </w:p>
        </w:tc>
        <w:tc>
          <w:tcPr>
            <w:tcW w:w="9460" w:type="dxa"/>
            <w:vAlign w:val="bottom"/>
            <w:gridSpan w:val="25"/>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MARKET FOR REGISTRANT’S COMMON EQUITY, RELATED STOCKHOLDER MATTERS AND ISSUER PURCHASES</w:t>
              </w:r>
            </w:hyperlink>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OF EQUITY SECURITIES</w:t>
              </w:r>
            </w:hyperlink>
          </w:p>
        </w:tc>
        <w:tc>
          <w:tcPr>
            <w:tcW w:w="6940" w:type="dxa"/>
            <w:vAlign w:val="bottom"/>
            <w:tcBorders>
              <w:top w:val="single" w:sz="8" w:color="0000EE"/>
            </w:tcBorders>
            <w:gridSpan w:val="16"/>
          </w:tcPr>
          <w:p>
            <w:pPr>
              <w:spacing w:after="0"/>
              <w:rPr>
                <w:sz w:val="17"/>
                <w:szCs w:val="17"/>
                <w:color w:val="auto"/>
              </w:rPr>
            </w:pPr>
          </w:p>
        </w:tc>
        <w:tc>
          <w:tcPr>
            <w:tcW w:w="340" w:type="dxa"/>
            <w:vAlign w:val="bottom"/>
            <w:gridSpan w:val="2"/>
          </w:tcPr>
          <w:p>
            <w:pPr>
              <w:spacing w:after="0"/>
              <w:rPr>
                <w:sz w:val="17"/>
                <w:szCs w:val="17"/>
                <w:color w:val="auto"/>
              </w:rPr>
            </w:pPr>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40</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6.</w:t>
            </w:r>
          </w:p>
        </w:tc>
        <w:tc>
          <w:tcPr>
            <w:tcW w:w="9460" w:type="dxa"/>
            <w:vAlign w:val="bottom"/>
            <w:gridSpan w:val="2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SELECTED FINANCIAL DATA</w:t>
              </w:r>
            </w:hyperlink>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42</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7.</w:t>
            </w:r>
          </w:p>
        </w:tc>
        <w:tc>
          <w:tcPr>
            <w:tcW w:w="87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MANAGEMENT’S DISCUSSION AND ANALYSIS OF FINANCIAL CONDITION AND RESULTS OF OPERATIONS</w:t>
              </w:r>
            </w:hyperlink>
          </w:p>
        </w:tc>
        <w:tc>
          <w:tcPr>
            <w:tcW w:w="760" w:type="dxa"/>
            <w:vAlign w:val="bottom"/>
            <w:gridSpan w:val="4"/>
          </w:tcPr>
          <w:p>
            <w:pPr>
              <w:spacing w:after="0"/>
              <w:rPr>
                <w:sz w:val="17"/>
                <w:szCs w:val="17"/>
                <w:color w:val="auto"/>
              </w:rPr>
            </w:pPr>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43</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7A.</w:t>
            </w:r>
          </w:p>
        </w:tc>
        <w:tc>
          <w:tcPr>
            <w:tcW w:w="600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w:anchor="page63">
              <w:r>
                <w:rPr>
                  <w:rFonts w:ascii="Arial" w:cs="Arial" w:eastAsia="Arial" w:hAnsi="Arial"/>
                  <w:sz w:val="18"/>
                  <w:szCs w:val="18"/>
                  <w:color w:val="0000EE"/>
                  <w:w w:val="95"/>
                </w:rPr>
                <w:t>QUANTITATIVE AND QUALITATIVE DISCLOSURES ABOUT MARKET RISK</w:t>
              </w:r>
            </w:hyperlink>
          </w:p>
        </w:tc>
        <w:tc>
          <w:tcPr>
            <w:tcW w:w="3460" w:type="dxa"/>
            <w:vAlign w:val="bottom"/>
            <w:gridSpan w:val="6"/>
          </w:tcPr>
          <w:p>
            <w:pPr>
              <w:spacing w:after="0"/>
              <w:rPr>
                <w:sz w:val="17"/>
                <w:szCs w:val="17"/>
                <w:color w:val="auto"/>
              </w:rPr>
            </w:pPr>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60</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8.</w:t>
            </w:r>
          </w:p>
        </w:tc>
        <w:tc>
          <w:tcPr>
            <w:tcW w:w="9460" w:type="dxa"/>
            <w:vAlign w:val="bottom"/>
            <w:gridSpan w:val="2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62</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9.</w:t>
            </w:r>
          </w:p>
        </w:tc>
        <w:tc>
          <w:tcPr>
            <w:tcW w:w="888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98">
              <w:r>
                <w:rPr>
                  <w:rFonts w:ascii="Arial" w:cs="Arial" w:eastAsia="Arial" w:hAnsi="Arial"/>
                  <w:sz w:val="18"/>
                  <w:szCs w:val="18"/>
                  <w:color w:val="0000EE"/>
                  <w:w w:val="95"/>
                </w:rPr>
                <w:t>CHANGES IN AND DISAGREEMENTS WITH ACCOUNTANTS ON ACCOUNTING AND FINANCIAL DISCLOSURE</w:t>
              </w:r>
            </w:hyperlink>
          </w:p>
        </w:tc>
        <w:tc>
          <w:tcPr>
            <w:tcW w:w="580" w:type="dxa"/>
            <w:vAlign w:val="bottom"/>
            <w:gridSpan w:val="3"/>
          </w:tcPr>
          <w:p>
            <w:pPr>
              <w:spacing w:after="0"/>
              <w:rPr>
                <w:sz w:val="17"/>
                <w:szCs w:val="17"/>
                <w:color w:val="auto"/>
              </w:rPr>
            </w:pPr>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95</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9A.</w:t>
            </w:r>
          </w:p>
        </w:tc>
        <w:tc>
          <w:tcPr>
            <w:tcW w:w="25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98">
              <w:r>
                <w:rPr>
                  <w:rFonts w:ascii="Arial" w:cs="Arial" w:eastAsia="Arial" w:hAnsi="Arial"/>
                  <w:sz w:val="18"/>
                  <w:szCs w:val="18"/>
                  <w:color w:val="0000EE"/>
                  <w:w w:val="91"/>
                </w:rPr>
                <w:t>CONTROLS AND PROCEDURES</w:t>
              </w:r>
            </w:hyperlink>
          </w:p>
        </w:tc>
        <w:tc>
          <w:tcPr>
            <w:tcW w:w="6920" w:type="dxa"/>
            <w:vAlign w:val="bottom"/>
            <w:gridSpan w:val="14"/>
          </w:tcPr>
          <w:p>
            <w:pPr>
              <w:spacing w:after="0"/>
              <w:rPr>
                <w:sz w:val="17"/>
                <w:szCs w:val="17"/>
                <w:color w:val="auto"/>
              </w:rPr>
            </w:pPr>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95</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9B.</w:t>
            </w:r>
          </w:p>
        </w:tc>
        <w:tc>
          <w:tcPr>
            <w:tcW w:w="9460" w:type="dxa"/>
            <w:vAlign w:val="bottom"/>
            <w:gridSpan w:val="25"/>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OTHER INFORMATION</w:t>
              </w:r>
            </w:hyperlink>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96</w:t>
            </w:r>
          </w:p>
        </w:tc>
        <w:tc>
          <w:tcPr>
            <w:tcW w:w="0" w:type="dxa"/>
            <w:vAlign w:val="bottom"/>
          </w:tcPr>
          <w:p>
            <w:pPr>
              <w:spacing w:after="0"/>
              <w:rPr>
                <w:sz w:val="1"/>
                <w:szCs w:val="1"/>
                <w:color w:val="auto"/>
              </w:rPr>
            </w:pPr>
          </w:p>
        </w:tc>
      </w:tr>
      <w:tr>
        <w:trPr>
          <w:trHeight w:val="370"/>
        </w:trPr>
        <w:tc>
          <w:tcPr>
            <w:tcW w:w="1680" w:type="dxa"/>
            <w:vAlign w:val="bottom"/>
          </w:tcPr>
          <w:p>
            <w:pPr>
              <w:spacing w:after="0"/>
              <w:rPr>
                <w:sz w:val="20"/>
                <w:szCs w:val="20"/>
                <w:color w:val="auto"/>
              </w:rPr>
            </w:pPr>
            <w:r>
              <w:rPr>
                <w:rFonts w:ascii="Arial" w:cs="Arial" w:eastAsia="Arial" w:hAnsi="Arial"/>
                <w:sz w:val="18"/>
                <w:szCs w:val="18"/>
                <w:color w:val="auto"/>
              </w:rPr>
              <w:t>PART III</w:t>
            </w:r>
          </w:p>
        </w:tc>
        <w:tc>
          <w:tcPr>
            <w:tcW w:w="2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680" w:type="dxa"/>
            <w:vAlign w:val="bottom"/>
          </w:tcPr>
          <w:p>
            <w:pPr>
              <w:ind w:left="440"/>
              <w:spacing w:after="0"/>
              <w:rPr>
                <w:sz w:val="20"/>
                <w:szCs w:val="20"/>
                <w:color w:val="auto"/>
              </w:rPr>
            </w:pPr>
            <w:r>
              <w:rPr>
                <w:rFonts w:ascii="Arial" w:cs="Arial" w:eastAsia="Arial" w:hAnsi="Arial"/>
                <w:sz w:val="18"/>
                <w:szCs w:val="18"/>
                <w:color w:val="auto"/>
              </w:rPr>
              <w:t>ITEM 10.</w:t>
            </w:r>
          </w:p>
        </w:tc>
        <w:tc>
          <w:tcPr>
            <w:tcW w:w="566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DIRECTORS, EXECUTIVE OFFICERS AND CORPORATE GOVERNANCE</w:t>
              </w:r>
            </w:hyperlink>
          </w:p>
        </w:tc>
        <w:tc>
          <w:tcPr>
            <w:tcW w:w="3800" w:type="dxa"/>
            <w:vAlign w:val="bottom"/>
            <w:gridSpan w:val="7"/>
          </w:tcPr>
          <w:p>
            <w:pPr>
              <w:spacing w:after="0"/>
              <w:rPr>
                <w:sz w:val="21"/>
                <w:szCs w:val="21"/>
                <w:color w:val="auto"/>
              </w:rPr>
            </w:pPr>
          </w:p>
        </w:tc>
        <w:tc>
          <w:tcPr>
            <w:tcW w:w="280" w:type="dxa"/>
            <w:vAlign w:val="bottom"/>
          </w:tcPr>
          <w:p>
            <w:pPr>
              <w:jc w:val="right"/>
              <w:ind w:right="13"/>
              <w:spacing w:after="0"/>
              <w:rPr>
                <w:sz w:val="20"/>
                <w:szCs w:val="20"/>
                <w:color w:val="auto"/>
              </w:rPr>
            </w:pPr>
            <w:r>
              <w:rPr>
                <w:rFonts w:ascii="Arial" w:cs="Arial" w:eastAsia="Arial" w:hAnsi="Arial"/>
                <w:sz w:val="18"/>
                <w:szCs w:val="18"/>
                <w:color w:val="auto"/>
                <w:w w:val="79"/>
              </w:rPr>
              <w:t>97</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11.</w:t>
            </w:r>
          </w:p>
        </w:tc>
        <w:tc>
          <w:tcPr>
            <w:tcW w:w="9460" w:type="dxa"/>
            <w:vAlign w:val="bottom"/>
            <w:gridSpan w:val="25"/>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EXECUTIVE COMPENSATION</w:t>
              </w:r>
            </w:hyperlink>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97</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360" w:type="dxa"/>
            <w:vAlign w:val="bottom"/>
            <w:gridSpan w:val="7"/>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12.</w:t>
            </w:r>
          </w:p>
        </w:tc>
        <w:tc>
          <w:tcPr>
            <w:tcW w:w="9460" w:type="dxa"/>
            <w:vAlign w:val="bottom"/>
            <w:gridSpan w:val="25"/>
          </w:tcPr>
          <w:p>
            <w:pPr>
              <w:spacing w:after="0" w:line="196" w:lineRule="exact"/>
              <w:rPr>
                <w:rFonts w:ascii="Arial" w:cs="Arial" w:eastAsia="Arial" w:hAnsi="Arial"/>
                <w:sz w:val="18"/>
                <w:szCs w:val="18"/>
                <w:color w:val="0000EE"/>
                <w:w w:val="97"/>
              </w:rPr>
            </w:pPr>
            <w:hyperlink w:anchor="page100">
              <w:r>
                <w:rPr>
                  <w:rFonts w:ascii="Arial" w:cs="Arial" w:eastAsia="Arial" w:hAnsi="Arial"/>
                  <w:sz w:val="18"/>
                  <w:szCs w:val="18"/>
                  <w:color w:val="0000EE"/>
                  <w:w w:val="97"/>
                </w:rPr>
                <w:t>SECURITY OWNERSHIP OF CERTAIN BENEFICIAL OWNERS AND MANAGEMENT AND RELATED STOCKHOLDER</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MATTERS</w:t>
              </w:r>
            </w:hyperlink>
          </w:p>
        </w:tc>
        <w:tc>
          <w:tcPr>
            <w:tcW w:w="8120" w:type="dxa"/>
            <w:vAlign w:val="bottom"/>
            <w:tcBorders>
              <w:top w:val="single" w:sz="8" w:color="0000EE"/>
            </w:tcBorders>
            <w:gridSpan w:val="21"/>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97</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13.</w:t>
            </w:r>
          </w:p>
        </w:tc>
        <w:tc>
          <w:tcPr>
            <w:tcW w:w="752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CERTAIN RELATIONSHIPS AND RELATED TRANSACTIONS, AND DIRECTOR INDEPENDENCE</w:t>
              </w:r>
            </w:hyperlink>
          </w:p>
        </w:tc>
        <w:tc>
          <w:tcPr>
            <w:tcW w:w="1940" w:type="dxa"/>
            <w:vAlign w:val="bottom"/>
            <w:gridSpan w:val="5"/>
          </w:tcPr>
          <w:p>
            <w:pPr>
              <w:spacing w:after="0"/>
              <w:rPr>
                <w:sz w:val="17"/>
                <w:szCs w:val="17"/>
                <w:color w:val="auto"/>
              </w:rPr>
            </w:pPr>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97</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Arial" w:cs="Arial" w:eastAsia="Arial" w:hAnsi="Arial"/>
                <w:sz w:val="18"/>
                <w:szCs w:val="18"/>
                <w:color w:val="auto"/>
              </w:rPr>
              <w:t>ITEM 14.</w:t>
            </w:r>
          </w:p>
        </w:tc>
        <w:tc>
          <w:tcPr>
            <w:tcW w:w="9460" w:type="dxa"/>
            <w:vAlign w:val="bottom"/>
            <w:gridSpan w:val="25"/>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PRINCIPAL ACCOUNTING FEES AND SERVICES</w:t>
              </w:r>
            </w:hyperlink>
          </w:p>
        </w:tc>
        <w:tc>
          <w:tcPr>
            <w:tcW w:w="280" w:type="dxa"/>
            <w:vAlign w:val="bottom"/>
          </w:tcPr>
          <w:p>
            <w:pPr>
              <w:jc w:val="right"/>
              <w:ind w:right="13"/>
              <w:spacing w:after="0" w:line="196" w:lineRule="exact"/>
              <w:rPr>
                <w:sz w:val="20"/>
                <w:szCs w:val="20"/>
                <w:color w:val="auto"/>
              </w:rPr>
            </w:pPr>
            <w:r>
              <w:rPr>
                <w:rFonts w:ascii="Arial" w:cs="Arial" w:eastAsia="Arial" w:hAnsi="Arial"/>
                <w:sz w:val="18"/>
                <w:szCs w:val="18"/>
                <w:color w:val="auto"/>
                <w:w w:val="79"/>
              </w:rPr>
              <w:t>97</w:t>
            </w:r>
          </w:p>
        </w:tc>
        <w:tc>
          <w:tcPr>
            <w:tcW w:w="0" w:type="dxa"/>
            <w:vAlign w:val="bottom"/>
          </w:tcPr>
          <w:p>
            <w:pPr>
              <w:spacing w:after="0"/>
              <w:rPr>
                <w:sz w:val="1"/>
                <w:szCs w:val="1"/>
                <w:color w:val="auto"/>
              </w:rPr>
            </w:pPr>
          </w:p>
        </w:tc>
      </w:tr>
      <w:tr>
        <w:trPr>
          <w:trHeight w:val="370"/>
        </w:trPr>
        <w:tc>
          <w:tcPr>
            <w:tcW w:w="1680" w:type="dxa"/>
            <w:vAlign w:val="bottom"/>
          </w:tcPr>
          <w:p>
            <w:pPr>
              <w:spacing w:after="0"/>
              <w:rPr>
                <w:sz w:val="20"/>
                <w:szCs w:val="20"/>
                <w:color w:val="auto"/>
              </w:rPr>
            </w:pPr>
            <w:r>
              <w:rPr>
                <w:rFonts w:ascii="Arial" w:cs="Arial" w:eastAsia="Arial" w:hAnsi="Arial"/>
                <w:sz w:val="18"/>
                <w:szCs w:val="18"/>
                <w:color w:val="auto"/>
              </w:rPr>
              <w:t>PART IV</w:t>
            </w:r>
          </w:p>
        </w:tc>
        <w:tc>
          <w:tcPr>
            <w:tcW w:w="2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680" w:type="dxa"/>
            <w:vAlign w:val="bottom"/>
          </w:tcPr>
          <w:p>
            <w:pPr>
              <w:ind w:left="440"/>
              <w:spacing w:after="0"/>
              <w:rPr>
                <w:sz w:val="20"/>
                <w:szCs w:val="20"/>
                <w:color w:val="auto"/>
              </w:rPr>
            </w:pPr>
            <w:r>
              <w:rPr>
                <w:rFonts w:ascii="Arial" w:cs="Arial" w:eastAsia="Arial" w:hAnsi="Arial"/>
                <w:sz w:val="18"/>
                <w:szCs w:val="18"/>
                <w:color w:val="auto"/>
              </w:rPr>
              <w:t>ITEM 15.</w:t>
            </w:r>
          </w:p>
        </w:tc>
        <w:tc>
          <w:tcPr>
            <w:tcW w:w="9460" w:type="dxa"/>
            <w:vAlign w:val="bottom"/>
            <w:gridSpan w:val="2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EXHIBITS, FINANCIAL STATEMENT SCHEDULES</w:t>
              </w:r>
            </w:hyperlink>
          </w:p>
        </w:tc>
        <w:tc>
          <w:tcPr>
            <w:tcW w:w="280" w:type="dxa"/>
            <w:vAlign w:val="bottom"/>
          </w:tcPr>
          <w:p>
            <w:pPr>
              <w:jc w:val="right"/>
              <w:ind w:right="13"/>
              <w:spacing w:after="0"/>
              <w:rPr>
                <w:sz w:val="20"/>
                <w:szCs w:val="20"/>
                <w:color w:val="auto"/>
              </w:rPr>
            </w:pPr>
            <w:r>
              <w:rPr>
                <w:rFonts w:ascii="Arial" w:cs="Arial" w:eastAsia="Arial" w:hAnsi="Arial"/>
                <w:sz w:val="18"/>
                <w:szCs w:val="18"/>
                <w:color w:val="auto"/>
                <w:w w:val="79"/>
              </w:rPr>
              <w:t>98</w:t>
            </w:r>
          </w:p>
        </w:tc>
        <w:tc>
          <w:tcPr>
            <w:tcW w:w="0" w:type="dxa"/>
            <w:vAlign w:val="bottom"/>
          </w:tcPr>
          <w:p>
            <w:pPr>
              <w:spacing w:after="0"/>
              <w:rPr>
                <w:sz w:val="1"/>
                <w:szCs w:val="1"/>
                <w:color w:val="auto"/>
              </w:rPr>
            </w:pPr>
          </w:p>
        </w:tc>
      </w:tr>
      <w:tr>
        <w:trPr>
          <w:trHeight w:val="383"/>
        </w:trPr>
        <w:tc>
          <w:tcPr>
            <w:tcW w:w="16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520" w:type="dxa"/>
            <w:vAlign w:val="bottom"/>
            <w:gridSpan w:val="10"/>
          </w:tcPr>
          <w:p>
            <w:pPr>
              <w:jc w:val="center"/>
              <w:ind w:right="53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96" w:lineRule="exact"/>
        <w:rPr>
          <w:sz w:val="20"/>
          <w:szCs w:val="20"/>
          <w:color w:val="auto"/>
        </w:rPr>
      </w:pPr>
    </w:p>
    <w:p>
      <w:pPr>
        <w:jc w:val="both"/>
        <w:ind w:right="100" w:firstLine="456"/>
        <w:spacing w:after="0" w:line="283" w:lineRule="auto"/>
        <w:rPr>
          <w:sz w:val="20"/>
          <w:szCs w:val="20"/>
          <w:color w:val="auto"/>
        </w:rPr>
      </w:pPr>
      <w:r>
        <w:rPr>
          <w:rFonts w:ascii="Arial" w:cs="Arial" w:eastAsia="Arial" w:hAnsi="Arial"/>
          <w:sz w:val="16"/>
          <w:szCs w:val="16"/>
          <w:color w:val="auto"/>
        </w:rPr>
        <w:t>This Form 10-K contains forward-looking statements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results of operations, business strategies, financing plans, competitive position, industry environment, potential growth opportunities, and the effects of competition.</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4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Form 10-K. Given these uncertainties, you should not place undue reliance on these forward-looking statements.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Forward-looking statements represent our management’s beliefs and assumptions only as of the date of this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10-K completely and with the understanding that our actual future results may be materially different from what we expect.</w:t>
      </w:r>
    </w:p>
    <w:p>
      <w:pPr>
        <w:spacing w:after="0" w:line="80"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“Access Array,” “BioMark,” “C</w:t>
      </w:r>
      <w:r>
        <w:rPr>
          <w:rFonts w:ascii="Arial" w:cs="Arial" w:eastAsia="Arial" w:hAnsi="Arial"/>
          <w:sz w:val="22"/>
          <w:szCs w:val="22"/>
          <w:color w:val="auto"/>
          <w:vertAlign w:val="subscript"/>
        </w:rPr>
        <w:t>1</w:t>
      </w:r>
      <w:r>
        <w:rPr>
          <w:rFonts w:ascii="Arial" w:cs="Arial" w:eastAsia="Arial" w:hAnsi="Arial"/>
          <w:sz w:val="18"/>
          <w:szCs w:val="18"/>
          <w:color w:val="auto"/>
        </w:rPr>
        <w:t>,” “DELTAgene,” “Dynamic Array,” “Digital Array,” “EP1,” “FC1,” “FLEXsix,” “Fluidigm,” the Fluidigm logo, “MSL,” “NanoFlex,” “qdPCR,” “SINGuLAR,” and “SNPtype” are trademarks or registered trademarks of Fluidigm Corporation. Other service marks, trademarks and trade names referred to in this Form 10-K are the property of their respective owners.</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develop, manufacture, and market microfluidic systems for growth markets, such as single-cell genomics, applied genotyping, and sample preparation for targeted resequencing, in the life science and agricultural biotechnology, or Ag-Bio, industries. Our proprietary microfluidic systems consist of instruments and consumables, including integrated fluidic circuits, or IFCs, assays, and other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four microfluidic systems, including thirteen different commercial IFCs for nucleic acid analysis, as well as three families of assay chemistries, to leading academic institutions, clinical laboratories, and pharmaceutical, biotechnology, and Ag-Bio companies. We have sold approximately 685 systems to customers in over 30 countries worldwide.</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 achieve and exploit advances in life science research, Ag-Bio, pharmaceutical and biotechnology drug development, and clinical research, laboratories need robust systems that deliver high-throughput and simpler workflows at decreased costs. Our microfluidic systems are designed to overcome many of the limitations of conventional laboratory systems by integrating a vast number of fluidic components on a single microfabricated IFC. Our technology enables our customers to perform and measure thousands of sophisticated biochemical reactions on samples smaller than the content of a single cell, while utilizing minute volumes of reagents and samples. Our scalable systems enable rapid preparation of multiple samples in parallel for next-generation DNA sequencing, as well as the isolation, processing, and gene expression profiling of individual cells at low cost.</w:t>
      </w:r>
    </w:p>
    <w:p>
      <w:pPr>
        <w:spacing w:after="0" w:line="57" w:lineRule="exact"/>
        <w:rPr>
          <w:sz w:val="20"/>
          <w:szCs w:val="20"/>
          <w:color w:val="auto"/>
        </w:rPr>
      </w:pPr>
    </w:p>
    <w:p>
      <w:pPr>
        <w:ind w:firstLine="456"/>
        <w:spacing w:after="0" w:line="263" w:lineRule="auto"/>
        <w:rPr>
          <w:sz w:val="20"/>
          <w:szCs w:val="20"/>
          <w:color w:val="auto"/>
        </w:rPr>
      </w:pPr>
      <w:r>
        <w:rPr>
          <w:rFonts w:ascii="Arial" w:cs="Arial" w:eastAsia="Arial" w:hAnsi="Arial"/>
          <w:sz w:val="17"/>
          <w:szCs w:val="17"/>
          <w:color w:val="auto"/>
        </w:rPr>
        <w:t>We have successfully commercialized our BioMark, BioMark HD, and EP1 systems for genetic analysis, our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Single-Cell Auto Prep system for single-cell sample preparation for targeted gene expression and mRNA sequencing, and our Access Array system for sample preparation for targeted next-generation DNA sequencing. Researchers and clinicians have successfully employed our products to help achieve breakthroughs in a variety of fields, including single-cell gene expression, gene regulation, genetic variation, cellular function, and applied genetics. These include using our microfluidic systems to help detect life-threatening mutations in cancer cells, discover cancer associated biomarkers, analyze the genetic composition of individual stem cells, and assess the quality of agricultural products, such as seeds or livestock. We believe our Access Array system resolves a critical workflow bottleneck that exists in all commercial next-generation DNA sequencing platforms and provides fast, simple, low-cost preparation of samples for targeted resequencing. In addition, our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Single-Cell Auto Prep system provides an easy and highly reproducible sample preparation workflow, enabling rapid exploration of unique attributes of individual cells without the technical variability and costs of manual workflows. We expect that the versatility of our microfluidic technology will enable us to develop additional applications across a wide variety of markets.</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grown our total revenue from $33.6 million in 2010 to $52.3 million in 2012. Our product margin has increased from 62% in 2010 to 70% in 2012. We have incurred significant net losses since our inception, including net losses of $19.0 million in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markets for our products include life science research, clinical research, and Ag-Bio.</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primary area of focus within life science research is genetic analysis, the study of genes and their functions. The sum total of the hereditary material of an organism is known as its genome, which is commonly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organized into functional units known as genes. Analysis of variations in genomes, genes, and gene activity in and between organisms can provide tremendous insight into their health and functioning. There are several forms of genetic analysis in use today, including gene expression analysis, genotyping, and DNA sequencing.</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Gene expression and genotyping are studied through a combination of various technology platforms that characterize gene function and genetic variation. These platforms often rely on polymerase chain reaction, or PCR, amplification to generate exponential copies of a DNA sample to provide sufficient signal to facilitate detection. Real-time quantitative PCR, or real-time qPCR, is a more advanced form of PCR that makes it possible to identify the number of copies of DNA present in a sample.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scale of genetic research varies widely. At one end, researchers sometimes examine a limited number of genetic variations in a relatively small population. At the other end, researchers may perform genome-wide association studies where hundreds of thousands of possible genetic variations are examined across thousands or tens of thousands of samples. Researchers are rarely able to discover scientifically relevant information by examining just a few genetic variations because of the inherent complexity of biological systems. In contrast, the result of many genome-wide association studies is simply the identification of a more limited set of genetic variations that need to be examined in a larger population. As a result, some of the most productive life science research is done at a mid-multiplex scale, where tens or hundreds of genetic variations are examined in hundreds or thousands of samples.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target the following specific areas of life science research, and our products are used for mid-multiplex research or applications of a similar scale:</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Gene Expression Analysis and Genotyping</w:t>
      </w:r>
      <w:r>
        <w:rPr>
          <w:rFonts w:ascii="Arial" w:cs="Arial" w:eastAsia="Arial" w:hAnsi="Arial"/>
          <w:sz w:val="16"/>
          <w:szCs w:val="16"/>
          <w:color w:val="auto"/>
        </w:rPr>
        <w:t>. Typically, the process of gene expression involves the generation of ribonucleic acid copies, or RNA copies, of</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regions of the genome by a process known as transcription. Such RNA copies are known as messenger RNAs, or mRNAs. mRNAs may then be translated by the cell into a protein which may affect the activity of the cell or the larger organism. One prevalent form of gene expression analysis measures the levels of mRNA in an individual cell to determine how the activity of particular genes or sets of genes affect the cell or the organism.</w:t>
      </w:r>
    </w:p>
    <w:p>
      <w:pPr>
        <w:spacing w:after="0" w:line="11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Genotyping involves the analysis of DNA variations across individual genomes. There are multiple forms of variants, including single nucleotide polymorphism, or SNPs, insertion-deletions, and copy number variation. A common application of genotyping focuses on analyzing SNPs. In SNP genotyping studies, statistical analyses are performed to determine whether a SNP or group of SNPs are associated with a particular genetic trait, such as propensity for a disease. Haplotyping is an application of genotyping in which SNPs located at different loci on the same chromosome are studied simultaneously.</w:t>
      </w:r>
    </w:p>
    <w:p>
      <w:pPr>
        <w:spacing w:after="0" w:line="113"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Our BioMark HD system performs, among other functions, high-throughput gene expression analysis, including targeted single-cell gene expression analysis, and SNP genotyping, and our EP1 system performs, among other functions, SNP genotyping. Competing technologies, such as pre-formatted arrays, bead arrays, and microarrays, are limited and inflexible because they require nucleic acid sequences on the device to be pre-specified when the chip or other consumable is manufactured. In contrast, our microfluidic systems allow researchers to utilize and easily tailor their assays to meet their experimental needs, which can shorten the analytical cycle for a given study to hours instead of weeks. We believe our systems also offer meaningful cost savings because they operate on nanoliter volumes of reagents and samples, which represents a small percentage of the amount required by conventional systems.</w:t>
      </w:r>
    </w:p>
    <w:p>
      <w:pPr>
        <w:spacing w:after="0" w:line="10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Single-Cell Genomics</w:t>
      </w:r>
      <w:r>
        <w:rPr>
          <w:rFonts w:ascii="Arial" w:cs="Arial" w:eastAsia="Arial" w:hAnsi="Arial"/>
          <w:sz w:val="18"/>
          <w:szCs w:val="18"/>
          <w:color w:val="auto"/>
        </w:rPr>
        <w:t>. Single-cell genomics is a rapidly emerging area of genetic research that requires specialized tools and techniques to harvest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individual cells with sufficient sensitivity and reproducibility. Genetic research typically involves the analysis of samples containing thousands of cells and many different cell types. When such samples are studied using traditional gene expression analysis, the results obtained reflect a rough average of the activity of all of the cells in the sample. Recently, researchers have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demonstrated that this approach often masks critical differences in gene expression levels between different cell types and even between individual cells of the same type. In addition, in the fields of in-vitro fertilization and stem cell research, researchers are often required to examine single cells because the number of cells available for analysis is inherently limited. The scope of this research has often been constrained because the small amount of genetic material in a single cell prevents conventional methods from analyzing the activity of more than a few genes. Furthermore, large numbers of samples are required to confidently determine the heterogeneous signatures of sub-populations of cells and large research studies like these can be prohibitively expensive or impractical when performed on conventional platforms. Single-cell genomic researchers need to conduct a high number of tests on a large volume of individual cells, which in combination translates into thousands of experiments that must be accurate, fast, simple, and low cost.</w:t>
      </w:r>
    </w:p>
    <w:p>
      <w:pPr>
        <w:spacing w:after="0" w:line="118" w:lineRule="exact"/>
        <w:rPr>
          <w:sz w:val="20"/>
          <w:szCs w:val="20"/>
          <w:color w:val="auto"/>
        </w:rPr>
      </w:pPr>
    </w:p>
    <w:p>
      <w:pPr>
        <w:ind w:firstLine="456"/>
        <w:spacing w:after="0" w:line="234" w:lineRule="auto"/>
        <w:rPr>
          <w:sz w:val="20"/>
          <w:szCs w:val="20"/>
          <w:color w:val="auto"/>
        </w:rPr>
      </w:pPr>
      <w:r>
        <w:rPr>
          <w:rFonts w:ascii="Arial" w:cs="Arial" w:eastAsia="Arial" w:hAnsi="Arial"/>
          <w:sz w:val="18"/>
          <w:szCs w:val="18"/>
          <w:color w:val="auto"/>
        </w:rPr>
        <w:t>The integrated workflow and precision of our systems enable researchers to perform gene expression analysis on single cells on a scale that is impractical with conventional systems due to the cost, experimental variability, and the large amount of biological sample required to initiate the study. We launched our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Auto Prep system in June 2012, which applies our technology to, among other things, rapidly and reliably isolate, process, and profile individual cells for genomic analysis. Together, our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and BioMark HD systems improve single-cell analytic workflow for expression analysis by allowing researchers to extract, reverse transcribe, amplify, and ultimately detect and analyze cell activity using just one technology, reducing the variability caused by multi-platform technical errors.</w:t>
      </w:r>
    </w:p>
    <w:p>
      <w:pPr>
        <w:spacing w:after="0" w:line="15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our systems are able to precisely separate the limited amount of sample material extractable from a biological specimen into individual cells, and then accurately assay each such individual cell. The high-throughput of our systems allows researchers to analyze thousands of cells in this manner. For example, our BioMark HD system can deliver over 46,000 single cell data points in one day and high-throughput configurations of our system can generate over 110,000 data points per day. Providing the combination of high-throughput and data quality necessary for targeted single-cell gene expression analysis presents significant challenges that we believe most conventional systems are unable to address in a practical manner.</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Sample Preparation for Next-Generation DNA Sequencing</w:t>
      </w:r>
      <w:r>
        <w:rPr>
          <w:rFonts w:ascii="Arial" w:cs="Arial" w:eastAsia="Arial" w:hAnsi="Arial"/>
          <w:sz w:val="18"/>
          <w:szCs w:val="18"/>
          <w:color w:val="auto"/>
        </w:rPr>
        <w:t>. Through a process known as nucleic acid sequencing, researchers are able to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 order of nucleotide bases that comprise all or a portion of a particular genome. For example, in the last few years, researchers have begun to use next-generation DNA sequencers to rapidly and cost-effectively sequence portions of genomes and identify genetic variations that correlate with particular characteristics. Next-generation DNA sequencing technologies have dramatically reduced the cost and processing time for genetic sequencing, but to be utilized effectively, require large numbers of unique samples.</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Next-generation DNA sequencing requires new sample preparation methodologies, including adding identification tags to each segment of each individual sample that is to be sequenced. These sample preparation and tagging processes, known as target enrichment, are complex and require precise measurement and manipulation of minute quantities of DNA and reagents. Using conventional methods, this preparation and tagging must be done separately for each individual sample being processed, a laborious process that could take several days or more for a typical validation study. The streamlined workflow and flexibility of our Access Array system address this critical workflow bottleneck by allowing samples from up to 48 individuals to be prepared and tagged in approximately four hours.</w:t>
      </w:r>
    </w:p>
    <w:p>
      <w:pPr>
        <w:spacing w:after="0" w:line="144" w:lineRule="exact"/>
        <w:rPr>
          <w:sz w:val="20"/>
          <w:szCs w:val="20"/>
          <w:color w:val="auto"/>
        </w:rPr>
      </w:pPr>
    </w:p>
    <w:p>
      <w:pPr>
        <w:ind w:right="140" w:firstLine="456"/>
        <w:spacing w:after="0" w:line="243" w:lineRule="auto"/>
        <w:rPr>
          <w:sz w:val="20"/>
          <w:szCs w:val="20"/>
          <w:color w:val="auto"/>
        </w:rPr>
      </w:pPr>
      <w:r>
        <w:rPr>
          <w:rFonts w:ascii="Arial" w:cs="Arial" w:eastAsia="Arial" w:hAnsi="Arial"/>
          <w:sz w:val="18"/>
          <w:szCs w:val="18"/>
          <w:color w:val="auto"/>
        </w:rPr>
        <w:t>In addition, researchers are increasingly analyzing the transcriptome at greater depth to uncover new mechanisms of cell development, metabolism, and disease using a technique called mRNA sequencing. Most standard methods for analyzing the transcriptome, such as microarrays and next-generation DNA sequencing, are impractical for single-cell analysis because those technologies require large numbers of cells for analysis and are based on complex workflows that are low-throughput and variable. The mRNA sequencing workflow on our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Auto Prep system was specifically optimized for high-throughput single-cell analysis and provides an easy, end-to-end workflow for detailed transcriptome analysis of up to 96 single cells to rapidly study differential transcriptome profiles of diverse cell populations.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Digital PCR</w:t>
      </w:r>
      <w:r>
        <w:rPr>
          <w:rFonts w:ascii="Arial" w:cs="Arial" w:eastAsia="Arial" w:hAnsi="Arial"/>
          <w:sz w:val="18"/>
          <w:szCs w:val="18"/>
          <w:color w:val="auto"/>
        </w:rPr>
        <w:t>. Digital PCR allows researchers to detect nucleic acid sequences that are present in sample concentrations that are too small to be accurately</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by conventional methods. Digital PCR typically relies on standard PCR techniques, but increases their sensitivity by dividing a sample into hundreds or thousands of smaller samples and then performing a PCR assay on each such sample. The ability to count the presence or absence of amplification in this assay format allows for absolute quantitative measurement capabilities. As a result, digital PCR can perform more precise detection of rare mutations, or copy number measurements, as compared to real-time qPCR.</w:t>
      </w:r>
    </w:p>
    <w:p>
      <w:pPr>
        <w:spacing w:after="0" w:line="14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We were the first to introduce and successfully commercialize a digital PCR system. With our BioMark HD and EP1 systems, digital PCR has been used for a number of different applications, including absolute quantification, determination of genomic copy number variation, and detection of rare mutations. We were also the first to commercialize a qdPCR system that combines digital and quantitative real-time PCR to provide real-time analysis of digital PCR reactions with high levels of throughput and precision.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Agricultural Biotechnology</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Genetic analysis techniques, such as SNP genotyping, genotyping by sequencing, and genotyping by real-time PCR analysis, have become increasingly useful in Ag-Bio applications, including wildlife population studies, agricultural quality control, and commercial genetic engineering and identification. Ag-Bio customers require systems that can quickly and accurately analyze a large number of samples, such as tissue from livestock populations or seeds from a production lot, in a cost-efficient manner. Due to these demands, commercially viable genetic analysis tools in Ag-Bio must be inexpensive, easy to use, and able to provide extremely high-throughput.</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high-throughput, streamlined, and flexible workflow of our systems allows customers to genotype a set of samples in less time and cost than with traditional systems. Our platforms span the breadth of Ag-Bio applications, from low-to-mid SNP genotyping for parentage identification and marker-assisted selection on our EP1 and BioMark HD systems, to targeted resequencing for novel SNP discovery and validation of our Access Array system.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Clinical Research</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Recent advances in genetic analysis technology are increasingly being used for clinical applications. Techniques such as SNP genotyping, gene expression analysis, and other genetic correlation studies are used to identify disease susceptibility and to diagnose, classify, and monitor disease progression. Research relating to molecular diagnostic tests based on measuring these genetic markers have the potential to be much more accurate and robust than conventional diagnostics. Validating these research findings and translating them into clinically available tests often requires life science automation systems that are able to measure multiple biomarkers efficiently in a large number of patient samples.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existing microfluidic systems are able to measure certain nucleic acid biomarkers that are commonly used in these tests, and in the future, we expect to develop additional systems to measure other relevant biomarkers. We believe that the high-throughput, flexibility, and simplified workflow of our microfluidic systems could make them an attractive solution for validating and commercializing a wide range of molecular diagnostic tests being developed by researchers. Our microfluidic systems have not been cleared or approved by the U.S. Food and Drug Administration, or FDA, for use in any molecular diagnostic tests and we cannot currently market them for the purpose of performing molecular diagnostic tests.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actively market four microfluidic systems, including thirteen different commercial IFCs for nucleic acid analysis, as well as three families of assay chemistries. Our systems are based on one or more IFCs designed for particular applications and include specialized reagents, instrumentation, and software. All of our systems include IFC controllers (either stand-alone or embedded) that control the activation of valves and loading of reagents onto the IFC. Each IFC controller comes with software to control IFC and instrument operations for particular applications. We further provide an extensive set of protocols and application notes with all of our systems to support specific scientific applications. All of our systems are designed to be compatible with standard laboratory automation equipment.</w:t>
      </w:r>
    </w:p>
    <w:p>
      <w:pPr>
        <w:sectPr>
          <w:pgSz w:w="11900" w:h="16838" w:orient="portrait"/>
          <w:cols w:equalWidth="0" w:num="1">
            <w:col w:w="11360"/>
          </w:cols>
          <w:pgMar w:left="240" w:top="459" w:right="299" w:bottom="1440" w:gutter="0" w:footer="0" w:header="0"/>
        </w:sectPr>
      </w:pP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primary product offerings are summarized in the table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gridSpan w:val="2"/>
          </w:tcPr>
          <w:p>
            <w:pPr>
              <w:ind w:left="1740"/>
              <w:spacing w:after="0"/>
              <w:rPr>
                <w:sz w:val="20"/>
                <w:szCs w:val="20"/>
                <w:color w:val="auto"/>
              </w:rPr>
            </w:pPr>
            <w:r>
              <w:rPr>
                <w:rFonts w:ascii="Arial" w:cs="Arial" w:eastAsia="Arial" w:hAnsi="Arial"/>
                <w:sz w:val="14"/>
                <w:szCs w:val="14"/>
                <w:b w:val="1"/>
                <w:bCs w:val="1"/>
                <w:color w:val="auto"/>
              </w:rPr>
              <w:t>Product</w:t>
            </w:r>
          </w:p>
        </w:tc>
        <w:tc>
          <w:tcPr>
            <w:tcW w:w="3520" w:type="dxa"/>
            <w:vAlign w:val="bottom"/>
          </w:tcPr>
          <w:p>
            <w:pPr>
              <w:ind w:left="1180"/>
              <w:spacing w:after="0"/>
              <w:rPr>
                <w:sz w:val="20"/>
                <w:szCs w:val="20"/>
                <w:color w:val="auto"/>
              </w:rPr>
            </w:pPr>
            <w:r>
              <w:rPr>
                <w:rFonts w:ascii="Arial" w:cs="Arial" w:eastAsia="Arial" w:hAnsi="Arial"/>
                <w:sz w:val="14"/>
                <w:szCs w:val="14"/>
                <w:b w:val="1"/>
                <w:bCs w:val="1"/>
                <w:color w:val="auto"/>
              </w:rPr>
              <w:t>Product Description</w:t>
            </w:r>
          </w:p>
        </w:tc>
      </w:tr>
      <w:tr>
        <w:trPr>
          <w:trHeight w:val="222"/>
        </w:trPr>
        <w:tc>
          <w:tcPr>
            <w:tcW w:w="20" w:type="dxa"/>
            <w:vAlign w:val="bottom"/>
          </w:tcPr>
          <w:p>
            <w:pPr>
              <w:spacing w:after="0"/>
              <w:rPr>
                <w:sz w:val="19"/>
                <w:szCs w:val="19"/>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Instruments</w:t>
            </w:r>
          </w:p>
        </w:tc>
        <w:tc>
          <w:tcPr>
            <w:tcW w:w="1240" w:type="dxa"/>
            <w:vAlign w:val="bottom"/>
          </w:tcPr>
          <w:p>
            <w:pPr>
              <w:spacing w:after="0"/>
              <w:rPr>
                <w:sz w:val="19"/>
                <w:szCs w:val="19"/>
                <w:color w:val="auto"/>
              </w:rPr>
            </w:pPr>
          </w:p>
        </w:tc>
        <w:tc>
          <w:tcPr>
            <w:tcW w:w="3520" w:type="dxa"/>
            <w:vAlign w:val="bottom"/>
            <w:tcBorders>
              <w:top w:val="single" w:sz="8" w:color="auto"/>
            </w:tcBorders>
          </w:tcPr>
          <w:p>
            <w:pPr>
              <w:spacing w:after="0"/>
              <w:rPr>
                <w:sz w:val="19"/>
                <w:szCs w:val="19"/>
                <w:color w:val="auto"/>
              </w:rPr>
            </w:pPr>
          </w:p>
        </w:tc>
      </w:tr>
      <w:tr>
        <w:trPr>
          <w:trHeight w:val="263"/>
        </w:trPr>
        <w:tc>
          <w:tcPr>
            <w:tcW w:w="5240" w:type="dxa"/>
            <w:vAlign w:val="bottom"/>
            <w:gridSpan w:val="3"/>
          </w:tcPr>
          <w:p>
            <w:pPr>
              <w:spacing w:after="0"/>
              <w:rPr>
                <w:sz w:val="20"/>
                <w:szCs w:val="20"/>
                <w:color w:val="auto"/>
              </w:rPr>
            </w:pPr>
            <w:r>
              <w:rPr>
                <w:rFonts w:ascii="Arial" w:cs="Arial" w:eastAsia="Arial" w:hAnsi="Arial"/>
                <w:sz w:val="18"/>
                <w:szCs w:val="18"/>
                <w:color w:val="auto"/>
              </w:rPr>
              <w:t>BioMark HD System</w:t>
            </w:r>
          </w:p>
        </w:tc>
        <w:tc>
          <w:tcPr>
            <w:tcW w:w="3520" w:type="dxa"/>
            <w:vAlign w:val="bottom"/>
          </w:tcPr>
          <w:p>
            <w:pPr>
              <w:spacing w:after="0"/>
              <w:rPr>
                <w:sz w:val="20"/>
                <w:szCs w:val="20"/>
                <w:color w:val="auto"/>
              </w:rPr>
            </w:pPr>
            <w:r>
              <w:rPr>
                <w:rFonts w:ascii="Arial" w:cs="Arial" w:eastAsia="Arial" w:hAnsi="Arial"/>
                <w:sz w:val="18"/>
                <w:szCs w:val="18"/>
                <w:color w:val="auto"/>
                <w:w w:val="99"/>
              </w:rPr>
              <w:t>Real-time PCR instrument, bundled analysis</w:t>
            </w: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software, and chip loading platforms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Auto Prep System</w:t>
      </w:r>
      <w:r>
        <w:rPr>
          <w:sz w:val="20"/>
          <w:szCs w:val="20"/>
          <w:color w:val="auto"/>
        </w:rPr>
        <w:tab/>
      </w:r>
      <w:r>
        <w:rPr>
          <w:rFonts w:ascii="Arial" w:cs="Arial" w:eastAsia="Arial" w:hAnsi="Arial"/>
          <w:sz w:val="15"/>
          <w:szCs w:val="15"/>
          <w:color w:val="auto"/>
        </w:rPr>
        <w:t>Sample preparation system for single-cell</w:t>
      </w:r>
    </w:p>
    <w:p>
      <w:pPr>
        <w:spacing w:after="0" w:line="40"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genomics that facilitates the isolation, processing,</w:t>
      </w:r>
    </w:p>
    <w:p>
      <w:pPr>
        <w:spacing w:after="0" w:line="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and profiling of individual cells</w:t>
      </w:r>
    </w:p>
    <w:p>
      <w:pPr>
        <w:spacing w:after="0" w:line="327"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EP1 System</w:t>
      </w:r>
      <w:r>
        <w:rPr>
          <w:sz w:val="20"/>
          <w:szCs w:val="20"/>
          <w:color w:val="auto"/>
        </w:rPr>
        <w:tab/>
      </w:r>
      <w:r>
        <w:rPr>
          <w:rFonts w:ascii="Arial" w:cs="Arial" w:eastAsia="Arial" w:hAnsi="Arial"/>
          <w:sz w:val="16"/>
          <w:szCs w:val="16"/>
          <w:color w:val="auto"/>
        </w:rPr>
        <w:t>End-point PCR instrument, bundled analysis</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software, and chip loading platforms</w:t>
      </w:r>
    </w:p>
    <w:p>
      <w:pPr>
        <w:spacing w:after="0" w:line="111" w:lineRule="exact"/>
        <w:rPr>
          <w:sz w:val="20"/>
          <w:szCs w:val="20"/>
          <w:color w:val="auto"/>
        </w:rPr>
      </w:pPr>
    </w:p>
    <w:p>
      <w:pPr>
        <w:spacing w:after="0"/>
        <w:tabs>
          <w:tab w:leader="none" w:pos="5220" w:val="left"/>
        </w:tabs>
        <w:rPr>
          <w:sz w:val="20"/>
          <w:szCs w:val="20"/>
          <w:color w:val="auto"/>
        </w:rPr>
      </w:pPr>
      <w:r>
        <w:rPr>
          <w:rFonts w:ascii="Arial" w:cs="Arial" w:eastAsia="Arial" w:hAnsi="Arial"/>
          <w:sz w:val="18"/>
          <w:szCs w:val="18"/>
          <w:color w:val="auto"/>
        </w:rPr>
        <w:t>Access Array System</w:t>
      </w:r>
      <w:r>
        <w:rPr>
          <w:sz w:val="20"/>
          <w:szCs w:val="20"/>
          <w:color w:val="auto"/>
        </w:rPr>
        <w:tab/>
      </w:r>
      <w:r>
        <w:rPr>
          <w:rFonts w:ascii="Arial" w:cs="Arial" w:eastAsia="Arial" w:hAnsi="Arial"/>
          <w:sz w:val="15"/>
          <w:szCs w:val="15"/>
          <w:color w:val="auto"/>
        </w:rPr>
        <w:t>Sample preparation system for targeted</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resequencing that facilitates parallel amplification</w:t>
      </w:r>
    </w:p>
    <w:p>
      <w:pPr>
        <w:spacing w:after="0" w:line="32"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of up to 48 amplicons across 48 unique samples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Consumables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Dynamic Array IFCs</w:t>
      </w:r>
    </w:p>
    <w:p>
      <w:pPr>
        <w:spacing w:after="0" w:line="15" w:lineRule="exact"/>
        <w:rPr>
          <w:sz w:val="20"/>
          <w:szCs w:val="20"/>
          <w:color w:val="auto"/>
        </w:rPr>
      </w:pPr>
    </w:p>
    <w:p>
      <w:pPr>
        <w:ind w:left="440"/>
        <w:spacing w:after="0"/>
        <w:tabs>
          <w:tab w:leader="none" w:pos="5220" w:val="left"/>
        </w:tabs>
        <w:rPr>
          <w:sz w:val="20"/>
          <w:szCs w:val="20"/>
          <w:color w:val="auto"/>
        </w:rPr>
      </w:pPr>
      <w:r>
        <w:rPr>
          <w:rFonts w:ascii="Arial" w:cs="Arial" w:eastAsia="Arial" w:hAnsi="Arial"/>
          <w:sz w:val="18"/>
          <w:szCs w:val="18"/>
          <w:i w:val="1"/>
          <w:iCs w:val="1"/>
          <w:color w:val="auto"/>
        </w:rPr>
        <w:t>48.48 Dynamic Array IFC</w:t>
      </w:r>
      <w:r>
        <w:rPr>
          <w:sz w:val="20"/>
          <w:szCs w:val="20"/>
          <w:color w:val="auto"/>
        </w:rPr>
        <w:tab/>
      </w:r>
      <w:r>
        <w:rPr>
          <w:rFonts w:ascii="Arial" w:cs="Arial" w:eastAsia="Arial" w:hAnsi="Arial"/>
          <w:sz w:val="15"/>
          <w:szCs w:val="15"/>
          <w:color w:val="auto"/>
        </w:rPr>
        <w:t>IFC based on matrix architecture, allowing users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to individually assay 48 samples against 48</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reagents, generating up to 2,304 real-time qPCR</w:t>
      </w:r>
    </w:p>
    <w:p>
      <w:pPr>
        <w:spacing w:after="0" w:line="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reactions simultaneously</w:t>
      </w:r>
    </w:p>
    <w:p>
      <w:pPr>
        <w:spacing w:after="0" w:line="327" w:lineRule="exact"/>
        <w:rPr>
          <w:sz w:val="20"/>
          <w:szCs w:val="20"/>
          <w:color w:val="auto"/>
        </w:rPr>
      </w:pPr>
    </w:p>
    <w:p>
      <w:pPr>
        <w:ind w:left="440"/>
        <w:spacing w:after="0"/>
        <w:tabs>
          <w:tab w:leader="none" w:pos="5220" w:val="left"/>
        </w:tabs>
        <w:rPr>
          <w:sz w:val="20"/>
          <w:szCs w:val="20"/>
          <w:color w:val="auto"/>
        </w:rPr>
      </w:pPr>
      <w:r>
        <w:rPr>
          <w:rFonts w:ascii="Arial" w:cs="Arial" w:eastAsia="Arial" w:hAnsi="Arial"/>
          <w:sz w:val="18"/>
          <w:szCs w:val="18"/>
          <w:i w:val="1"/>
          <w:iCs w:val="1"/>
          <w:color w:val="auto"/>
        </w:rPr>
        <w:t>96.96 Dynamic Array IFC</w:t>
      </w:r>
      <w:r>
        <w:rPr>
          <w:sz w:val="20"/>
          <w:szCs w:val="20"/>
          <w:color w:val="auto"/>
        </w:rPr>
        <w:tab/>
      </w:r>
      <w:r>
        <w:rPr>
          <w:rFonts w:ascii="Arial" w:cs="Arial" w:eastAsia="Arial" w:hAnsi="Arial"/>
          <w:sz w:val="15"/>
          <w:szCs w:val="15"/>
          <w:color w:val="auto"/>
        </w:rPr>
        <w:t>IFC based on matrix architecture, allowing users</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to individually assay 96 samples against 96</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reagents, generating up to 9,216 real-time qPCR</w:t>
      </w:r>
    </w:p>
    <w:p>
      <w:pPr>
        <w:spacing w:after="0" w:line="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reactions simultaneously</w:t>
      </w:r>
    </w:p>
    <w:p>
      <w:pPr>
        <w:spacing w:after="0" w:line="327" w:lineRule="exact"/>
        <w:rPr>
          <w:sz w:val="20"/>
          <w:szCs w:val="20"/>
          <w:color w:val="auto"/>
        </w:rPr>
      </w:pPr>
    </w:p>
    <w:p>
      <w:pPr>
        <w:ind w:left="440"/>
        <w:spacing w:after="0"/>
        <w:tabs>
          <w:tab w:leader="none" w:pos="5220" w:val="left"/>
        </w:tabs>
        <w:rPr>
          <w:sz w:val="20"/>
          <w:szCs w:val="20"/>
          <w:color w:val="auto"/>
        </w:rPr>
      </w:pPr>
      <w:r>
        <w:rPr>
          <w:rFonts w:ascii="Arial" w:cs="Arial" w:eastAsia="Arial" w:hAnsi="Arial"/>
          <w:sz w:val="18"/>
          <w:szCs w:val="18"/>
          <w:i w:val="1"/>
          <w:iCs w:val="1"/>
          <w:color w:val="auto"/>
        </w:rPr>
        <w:t>High Precision 96.96 Genotyping IFC</w:t>
      </w:r>
      <w:r>
        <w:rPr>
          <w:sz w:val="20"/>
          <w:szCs w:val="20"/>
          <w:color w:val="auto"/>
        </w:rPr>
        <w:tab/>
      </w:r>
      <w:r>
        <w:rPr>
          <w:rFonts w:ascii="Arial" w:cs="Arial" w:eastAsia="Arial" w:hAnsi="Arial"/>
          <w:sz w:val="15"/>
          <w:szCs w:val="15"/>
          <w:color w:val="auto"/>
        </w:rPr>
        <w:t>IFC that enables high sample throughput which</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can deliver more than 36,000 data points in a day</w:t>
      </w:r>
    </w:p>
    <w:p>
      <w:pPr>
        <w:spacing w:after="0" w:line="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with a minimum call rate of 99.9%, a level of</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precision that is vital to production and human</w:t>
      </w:r>
    </w:p>
    <w:p>
      <w:pPr>
        <w:spacing w:after="0" w:line="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genomics laboratories</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3290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6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SNP Genotyping, Digital PCR</w:t>
      </w:r>
    </w:p>
    <w:p>
      <w:pPr>
        <w:ind w:right="500"/>
        <w:spacing w:after="0" w:line="281" w:lineRule="auto"/>
        <w:rPr>
          <w:sz w:val="20"/>
          <w:szCs w:val="20"/>
          <w:color w:val="auto"/>
        </w:rPr>
      </w:pPr>
      <w:r>
        <w:rPr>
          <w:rFonts w:ascii="Arial" w:cs="Arial" w:eastAsia="Arial" w:hAnsi="Arial"/>
          <w:sz w:val="16"/>
          <w:szCs w:val="16"/>
          <w:color w:val="auto"/>
        </w:rPr>
        <w:t>and Gene Expression, including</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Targeted Single-Cell Gene Expression</w:t>
      </w:r>
    </w:p>
    <w:p>
      <w:pPr>
        <w:spacing w:after="0" w:line="9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Gene Expression, including Targeted Single-Cell Gene Expression, and Single-Cell mRNA Sequencing</w:t>
      </w:r>
    </w:p>
    <w:p>
      <w:pPr>
        <w:spacing w:after="0" w:line="5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SNP Genotyping and Digital PCR</w:t>
      </w:r>
    </w:p>
    <w:p>
      <w:pPr>
        <w:spacing w:after="0" w:line="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Targeted Resequencing with Next-Generation DNA Sequencing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460"/>
        <w:spacing w:after="0" w:line="283" w:lineRule="auto"/>
        <w:rPr>
          <w:sz w:val="20"/>
          <w:szCs w:val="20"/>
          <w:color w:val="auto"/>
        </w:rPr>
      </w:pPr>
      <w:r>
        <w:rPr>
          <w:rFonts w:ascii="Arial" w:cs="Arial" w:eastAsia="Arial" w:hAnsi="Arial"/>
          <w:sz w:val="16"/>
          <w:szCs w:val="16"/>
          <w:color w:val="auto"/>
        </w:rPr>
        <w:t>Real-time qPCR, SNP Genotyping and Gene Expression, including Targeted</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Single-Cell Gene Expression</w:t>
      </w:r>
    </w:p>
    <w:p>
      <w:pPr>
        <w:spacing w:after="0" w:line="145" w:lineRule="exact"/>
        <w:rPr>
          <w:sz w:val="20"/>
          <w:szCs w:val="20"/>
          <w:color w:val="auto"/>
        </w:rPr>
      </w:pPr>
    </w:p>
    <w:p>
      <w:pPr>
        <w:jc w:val="both"/>
        <w:ind w:right="460"/>
        <w:spacing w:after="0" w:line="283" w:lineRule="auto"/>
        <w:rPr>
          <w:sz w:val="20"/>
          <w:szCs w:val="20"/>
          <w:color w:val="auto"/>
        </w:rPr>
      </w:pPr>
      <w:r>
        <w:rPr>
          <w:rFonts w:ascii="Arial" w:cs="Arial" w:eastAsia="Arial" w:hAnsi="Arial"/>
          <w:sz w:val="16"/>
          <w:szCs w:val="16"/>
          <w:color w:val="auto"/>
        </w:rPr>
        <w:t>Real-time qPCR, SNP Genotyping and Gene Expression, including Targeted</w:t>
      </w:r>
    </w:p>
    <w:p>
      <w:pPr>
        <w:spacing w:after="0" w:line="3" w:lineRule="exact"/>
        <w:rPr>
          <w:sz w:val="20"/>
          <w:szCs w:val="20"/>
          <w:color w:val="auto"/>
        </w:rPr>
      </w:pPr>
    </w:p>
    <w:p>
      <w:pPr>
        <w:spacing w:after="0" w:line="464" w:lineRule="auto"/>
        <w:rPr>
          <w:sz w:val="20"/>
          <w:szCs w:val="20"/>
          <w:color w:val="auto"/>
        </w:rPr>
      </w:pPr>
      <w:r>
        <w:rPr>
          <w:rFonts w:ascii="Arial" w:cs="Arial" w:eastAsia="Arial" w:hAnsi="Arial"/>
          <w:sz w:val="16"/>
          <w:szCs w:val="16"/>
          <w:color w:val="auto"/>
        </w:rPr>
        <w:t>Single-Cell Gene Expression SNP Genotyping</w:t>
      </w:r>
    </w:p>
    <w:p>
      <w:pPr>
        <w:sectPr>
          <w:pgSz w:w="11900" w:h="16838" w:orient="portrait"/>
          <w:cols w:equalWidth="0" w:num="2">
            <w:col w:w="8760" w:space="560"/>
            <w:col w:w="2040"/>
          </w:cols>
          <w:pgMar w:left="240" w:top="459" w:right="2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529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i w:val="1"/>
          <w:iCs w:val="1"/>
          <w:color w:val="auto"/>
        </w:rPr>
        <w:t>192.24 Dynamic Array IFC for Genotyping</w:t>
      </w:r>
    </w:p>
    <w:p>
      <w:pPr>
        <w:spacing w:after="0" w:line="200" w:lineRule="exact"/>
        <w:rPr>
          <w:sz w:val="20"/>
          <w:szCs w:val="20"/>
          <w:color w:val="auto"/>
        </w:rPr>
      </w:pPr>
    </w:p>
    <w:p>
      <w:pPr>
        <w:spacing w:after="0" w:line="349" w:lineRule="exact"/>
        <w:rPr>
          <w:sz w:val="20"/>
          <w:szCs w:val="20"/>
          <w:color w:val="auto"/>
        </w:rPr>
      </w:pPr>
    </w:p>
    <w:p>
      <w:pPr>
        <w:jc w:val="both"/>
        <w:ind w:left="440" w:right="640"/>
        <w:spacing w:after="0" w:line="259" w:lineRule="auto"/>
        <w:rPr>
          <w:sz w:val="20"/>
          <w:szCs w:val="20"/>
          <w:color w:val="auto"/>
        </w:rPr>
      </w:pPr>
      <w:r>
        <w:rPr>
          <w:rFonts w:ascii="Arial" w:cs="Arial" w:eastAsia="Arial" w:hAnsi="Arial"/>
          <w:sz w:val="18"/>
          <w:szCs w:val="18"/>
          <w:i w:val="1"/>
          <w:iCs w:val="1"/>
          <w:color w:val="auto"/>
        </w:rPr>
        <w:t>192.24 Dynamic Array IFC for Gene Expression (expected to be commercially available in March 2013)</w:t>
      </w:r>
    </w:p>
    <w:p>
      <w:pPr>
        <w:spacing w:after="0" w:line="86" w:lineRule="exact"/>
        <w:rPr>
          <w:sz w:val="20"/>
          <w:szCs w:val="20"/>
          <w:color w:val="auto"/>
        </w:rPr>
      </w:pPr>
    </w:p>
    <w:p>
      <w:pPr>
        <w:ind w:left="440" w:right="800"/>
        <w:spacing w:after="0" w:line="332" w:lineRule="auto"/>
        <w:rPr>
          <w:sz w:val="20"/>
          <w:szCs w:val="20"/>
          <w:color w:val="auto"/>
        </w:rPr>
      </w:pPr>
      <w:r>
        <w:rPr>
          <w:rFonts w:ascii="Arial" w:cs="Arial" w:eastAsia="Arial" w:hAnsi="Arial"/>
          <w:sz w:val="16"/>
          <w:szCs w:val="16"/>
          <w:i w:val="1"/>
          <w:iCs w:val="1"/>
          <w:color w:val="auto"/>
        </w:rPr>
        <w:t>FLEXsix Gene Expression IFC (expected to be commercially available in May 2013)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Digital Array IFCs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12.765 Digital Array IFC</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48.770 Digital Array IFC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qdPCR 37K IFCs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Auto Prep Array IFCs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Access Array IFCs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Product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-633730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8890</wp:posOffset>
            </wp:positionV>
            <wp:extent cx="22383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right="40"/>
        <w:spacing w:after="0" w:line="259" w:lineRule="auto"/>
        <w:rPr>
          <w:sz w:val="20"/>
          <w:szCs w:val="20"/>
          <w:color w:val="auto"/>
        </w:rPr>
      </w:pPr>
      <w:r>
        <w:rPr>
          <w:rFonts w:ascii="Arial" w:cs="Arial" w:eastAsia="Arial" w:hAnsi="Arial"/>
          <w:sz w:val="18"/>
          <w:szCs w:val="18"/>
          <w:color w:val="auto"/>
        </w:rPr>
        <w:t>IFC that allows users to genotype 192 samples against 24 assays in a single run, generating up to 4,608 parallel reactions</w:t>
      </w:r>
    </w:p>
    <w:p>
      <w:pPr>
        <w:spacing w:after="0" w:line="8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IFC that enables high sample throughput of 576 samples across 24 genes in an 8-hour day</w:t>
      </w:r>
    </w:p>
    <w:p>
      <w:pPr>
        <w:spacing w:after="0" w:line="24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IFC that utilizes a new architecture which incorporates six 12 X 12 partitions that can be organized in any configuration, in up to six separate experimental runs</w:t>
      </w:r>
    </w:p>
    <w:p>
      <w:pPr>
        <w:spacing w:after="0" w:line="27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IFC based on partitioning architecture, allowing users to divide samples into up to 765 chambers in each of the 12 panels for up to 9,180 reactions per IFC</w:t>
      </w:r>
    </w:p>
    <w:p>
      <w:pPr>
        <w:spacing w:after="0" w:line="8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IFC based on partitioning architecture, allowing users to divide samples into up to 770 chambers in each of the 48 panels for up to 36,960 reactions per IFC</w:t>
      </w:r>
    </w:p>
    <w:p>
      <w:pPr>
        <w:spacing w:after="0" w:line="89"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IFC that combines digital and quantitative real-time PCR to provide real-time analysis of up to 36,960 digital PCR reactions per IFC with high-throughput and precision, performing at a 99.9% success rate, which is critical in high-sensitivity applications, such as rare mutation detection, GMO testing, and aneuploidy detection</w:t>
      </w:r>
    </w:p>
    <w:p>
      <w:pPr>
        <w:spacing w:after="0" w:line="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IFC that captures and prepares individuals cells for genomic analysis, and uses integrated thermal and pneumatic controls at nanoliter scale to enable the performance of all steps of the single-cell gene expression without intervention workflow</w:t>
      </w:r>
    </w:p>
    <w:p>
      <w:pPr>
        <w:spacing w:after="0" w:line="6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IFC that facilitates parallel amplification, barcoding, and tagging of 48 unique samples and is designed to enable recovery of reaction products from the IFC for sequencing</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3290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SNP Genotyping</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Gene Expression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Gene Expression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Digital PCR, Gene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Expression,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Copy Number Variation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Mutation Detection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Digital PCR, Gene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Expression,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Copy Number Variation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Mutation Detection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Digital PCR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Sample Preparation for Targeted</w:t>
      </w:r>
    </w:p>
    <w:p>
      <w:pPr>
        <w:spacing w:after="0"/>
        <w:rPr>
          <w:sz w:val="20"/>
          <w:szCs w:val="20"/>
          <w:color w:val="auto"/>
        </w:rPr>
      </w:pPr>
      <w:r>
        <w:rPr>
          <w:rFonts w:ascii="Arial" w:cs="Arial" w:eastAsia="Arial" w:hAnsi="Arial"/>
          <w:sz w:val="15"/>
          <w:szCs w:val="15"/>
          <w:color w:val="auto"/>
        </w:rPr>
        <w:t>Single-Cell Gene Expression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Targeted Resequencing with Next-Generation DNA Sequencing</w:t>
      </w:r>
    </w:p>
    <w:p>
      <w:pPr>
        <w:sectPr>
          <w:pgSz w:w="11900" w:h="16838" w:orient="portrait"/>
          <w:cols w:equalWidth="0" w:num="3">
            <w:col w:w="4520" w:space="720"/>
            <w:col w:w="3520" w:space="560"/>
            <w:col w:w="204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220" w:type="dxa"/>
            <w:vAlign w:val="bottom"/>
            <w:gridSpan w:val="2"/>
          </w:tcPr>
          <w:p>
            <w:pPr>
              <w:ind w:left="1740"/>
              <w:spacing w:after="0"/>
              <w:rPr>
                <w:sz w:val="20"/>
                <w:szCs w:val="20"/>
                <w:color w:val="auto"/>
              </w:rPr>
            </w:pPr>
            <w:r>
              <w:rPr>
                <w:rFonts w:ascii="Arial" w:cs="Arial" w:eastAsia="Arial" w:hAnsi="Arial"/>
                <w:sz w:val="14"/>
                <w:szCs w:val="14"/>
                <w:b w:val="1"/>
                <w:bCs w:val="1"/>
                <w:color w:val="auto"/>
              </w:rPr>
              <w:t>Product</w:t>
            </w:r>
          </w:p>
        </w:tc>
        <w:tc>
          <w:tcPr>
            <w:tcW w:w="3520" w:type="dxa"/>
            <w:vAlign w:val="bottom"/>
          </w:tcPr>
          <w:p>
            <w:pPr>
              <w:ind w:left="1180"/>
              <w:spacing w:after="0"/>
              <w:rPr>
                <w:sz w:val="20"/>
                <w:szCs w:val="20"/>
                <w:color w:val="auto"/>
              </w:rPr>
            </w:pPr>
            <w:r>
              <w:rPr>
                <w:rFonts w:ascii="Arial" w:cs="Arial" w:eastAsia="Arial" w:hAnsi="Arial"/>
                <w:sz w:val="14"/>
                <w:szCs w:val="14"/>
                <w:b w:val="1"/>
                <w:bCs w:val="1"/>
                <w:color w:val="auto"/>
              </w:rPr>
              <w:t>Product Description</w:t>
            </w:r>
          </w:p>
        </w:tc>
        <w:tc>
          <w:tcPr>
            <w:tcW w:w="560" w:type="dxa"/>
            <w:vAlign w:val="bottom"/>
          </w:tcPr>
          <w:p>
            <w:pPr>
              <w:spacing w:after="0"/>
              <w:rPr>
                <w:sz w:val="15"/>
                <w:szCs w:val="15"/>
                <w:color w:val="auto"/>
              </w:rPr>
            </w:pPr>
          </w:p>
        </w:tc>
        <w:tc>
          <w:tcPr>
            <w:tcW w:w="2100" w:type="dxa"/>
            <w:vAlign w:val="bottom"/>
          </w:tcPr>
          <w:p>
            <w:pPr>
              <w:ind w:left="680"/>
              <w:spacing w:after="0"/>
              <w:rPr>
                <w:sz w:val="20"/>
                <w:szCs w:val="20"/>
                <w:color w:val="auto"/>
              </w:rPr>
            </w:pPr>
            <w:r>
              <w:rPr>
                <w:rFonts w:ascii="Arial" w:cs="Arial" w:eastAsia="Arial" w:hAnsi="Arial"/>
                <w:sz w:val="14"/>
                <w:szCs w:val="14"/>
                <w:b w:val="1"/>
                <w:bCs w:val="1"/>
                <w:color w:val="auto"/>
              </w:rPr>
              <w:t>Applications</w:t>
            </w:r>
          </w:p>
        </w:tc>
      </w:tr>
      <w:tr>
        <w:trPr>
          <w:trHeight w:val="201"/>
        </w:trPr>
        <w:tc>
          <w:tcPr>
            <w:tcW w:w="2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DELTAgene and SNPtype Assays</w:t>
            </w:r>
          </w:p>
        </w:tc>
        <w:tc>
          <w:tcPr>
            <w:tcW w:w="1240" w:type="dxa"/>
            <w:vAlign w:val="bottom"/>
          </w:tcPr>
          <w:p>
            <w:pPr>
              <w:spacing w:after="0"/>
              <w:rPr>
                <w:sz w:val="17"/>
                <w:szCs w:val="17"/>
                <w:color w:val="auto"/>
              </w:rPr>
            </w:pPr>
          </w:p>
        </w:tc>
        <w:tc>
          <w:tcPr>
            <w:tcW w:w="3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Custom designed assays for specific nucleic acid</w:t>
            </w:r>
          </w:p>
        </w:tc>
        <w:tc>
          <w:tcPr>
            <w:tcW w:w="560" w:type="dxa"/>
            <w:vAlign w:val="bottom"/>
          </w:tcPr>
          <w:p>
            <w:pPr>
              <w:spacing w:after="0"/>
              <w:rPr>
                <w:sz w:val="17"/>
                <w:szCs w:val="17"/>
                <w:color w:val="auto"/>
              </w:rPr>
            </w:pPr>
          </w:p>
        </w:tc>
        <w:tc>
          <w:tcPr>
            <w:tcW w:w="2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Gene Expression and SNP</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3"/>
              </w:rPr>
              <w:t>regions of interest, providing optimized assays,</w:t>
            </w:r>
          </w:p>
        </w:tc>
        <w:tc>
          <w:tcPr>
            <w:tcW w:w="2660" w:type="dxa"/>
            <w:vAlign w:val="bottom"/>
            <w:gridSpan w:val="2"/>
          </w:tcPr>
          <w:p>
            <w:pPr>
              <w:ind w:left="560"/>
              <w:spacing w:after="0"/>
              <w:rPr>
                <w:sz w:val="20"/>
                <w:szCs w:val="20"/>
                <w:color w:val="auto"/>
              </w:rPr>
            </w:pPr>
            <w:r>
              <w:rPr>
                <w:rFonts w:ascii="Arial" w:cs="Arial" w:eastAsia="Arial" w:hAnsi="Arial"/>
                <w:sz w:val="18"/>
                <w:szCs w:val="18"/>
                <w:color w:val="auto"/>
              </w:rPr>
              <w:t>Genotyping</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7"/>
              </w:rPr>
              <w:t>content, and services to users of BioMark systems</w:t>
            </w:r>
          </w:p>
        </w:tc>
        <w:tc>
          <w:tcPr>
            <w:tcW w:w="5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8"/>
              </w:rPr>
              <w:t>at lower costs as compared to other commercially</w:t>
            </w:r>
          </w:p>
        </w:tc>
        <w:tc>
          <w:tcPr>
            <w:tcW w:w="5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available chemistries</w:t>
            </w:r>
          </w:p>
        </w:tc>
        <w:tc>
          <w:tcPr>
            <w:tcW w:w="56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18"/>
        </w:trPr>
        <w:tc>
          <w:tcPr>
            <w:tcW w:w="5240" w:type="dxa"/>
            <w:vAlign w:val="bottom"/>
            <w:gridSpan w:val="3"/>
          </w:tcPr>
          <w:p>
            <w:pPr>
              <w:spacing w:after="0"/>
              <w:rPr>
                <w:sz w:val="20"/>
                <w:szCs w:val="20"/>
                <w:color w:val="auto"/>
              </w:rPr>
            </w:pPr>
            <w:r>
              <w:rPr>
                <w:rFonts w:ascii="Arial" w:cs="Arial" w:eastAsia="Arial" w:hAnsi="Arial"/>
                <w:sz w:val="18"/>
                <w:szCs w:val="18"/>
                <w:color w:val="auto"/>
              </w:rPr>
              <w:t>Access Array Target-Specific Primers</w:t>
            </w:r>
          </w:p>
        </w:tc>
        <w:tc>
          <w:tcPr>
            <w:tcW w:w="3520" w:type="dxa"/>
            <w:vAlign w:val="bottom"/>
          </w:tcPr>
          <w:p>
            <w:pPr>
              <w:spacing w:after="0"/>
              <w:rPr>
                <w:sz w:val="20"/>
                <w:szCs w:val="20"/>
                <w:color w:val="auto"/>
              </w:rPr>
            </w:pPr>
            <w:r>
              <w:rPr>
                <w:rFonts w:ascii="Arial" w:cs="Arial" w:eastAsia="Arial" w:hAnsi="Arial"/>
                <w:sz w:val="18"/>
                <w:szCs w:val="18"/>
                <w:color w:val="auto"/>
              </w:rPr>
              <w:t>Allows for fast, simple and inexpensive</w:t>
            </w:r>
          </w:p>
        </w:tc>
        <w:tc>
          <w:tcPr>
            <w:tcW w:w="2660" w:type="dxa"/>
            <w:vAlign w:val="bottom"/>
            <w:gridSpan w:val="2"/>
          </w:tcPr>
          <w:p>
            <w:pPr>
              <w:ind w:left="560"/>
              <w:spacing w:after="0"/>
              <w:rPr>
                <w:sz w:val="20"/>
                <w:szCs w:val="20"/>
                <w:color w:val="auto"/>
              </w:rPr>
            </w:pPr>
            <w:r>
              <w:rPr>
                <w:rFonts w:ascii="Arial" w:cs="Arial" w:eastAsia="Arial" w:hAnsi="Arial"/>
                <w:sz w:val="18"/>
                <w:szCs w:val="18"/>
                <w:color w:val="auto"/>
                <w:w w:val="90"/>
              </w:rPr>
              <w:t>Targeted Resequencing with</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89"/>
              </w:rPr>
              <w:t>preparation of up to 480 amplicons per sample at</w:t>
            </w:r>
          </w:p>
        </w:tc>
        <w:tc>
          <w:tcPr>
            <w:tcW w:w="2660" w:type="dxa"/>
            <w:vAlign w:val="bottom"/>
            <w:gridSpan w:val="2"/>
          </w:tcPr>
          <w:p>
            <w:pPr>
              <w:ind w:left="560"/>
              <w:spacing w:after="0"/>
              <w:rPr>
                <w:sz w:val="20"/>
                <w:szCs w:val="20"/>
                <w:color w:val="auto"/>
              </w:rPr>
            </w:pPr>
            <w:r>
              <w:rPr>
                <w:rFonts w:ascii="Arial" w:cs="Arial" w:eastAsia="Arial" w:hAnsi="Arial"/>
                <w:sz w:val="18"/>
                <w:szCs w:val="18"/>
                <w:color w:val="auto"/>
              </w:rPr>
              <w:t>Next-Generation DNA</w:t>
            </w: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 time</w:t>
            </w:r>
          </w:p>
        </w:tc>
        <w:tc>
          <w:tcPr>
            <w:tcW w:w="2660" w:type="dxa"/>
            <w:vAlign w:val="bottom"/>
            <w:gridSpan w:val="2"/>
          </w:tcPr>
          <w:p>
            <w:pPr>
              <w:ind w:left="560"/>
              <w:spacing w:after="0"/>
              <w:rPr>
                <w:sz w:val="20"/>
                <w:szCs w:val="20"/>
                <w:color w:val="auto"/>
              </w:rPr>
            </w:pPr>
            <w:r>
              <w:rPr>
                <w:rFonts w:ascii="Arial" w:cs="Arial" w:eastAsia="Arial" w:hAnsi="Arial"/>
                <w:sz w:val="18"/>
                <w:szCs w:val="18"/>
                <w:color w:val="auto"/>
              </w:rPr>
              <w:t>Sequencing</w:t>
            </w: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BioMark HD System</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Our BioMark HD system performs high-throughput gene expression analysis, targeted single-cell gene expression analysis, SNP genotyping, and digital PCR using Fluidigm DELTAgene and SNPtype assays, other chemistries, and Fluidigm Dynamic Array and Digital Array IFCs.</w:t>
      </w:r>
    </w:p>
    <w:p>
      <w:pPr>
        <w:spacing w:after="0" w:line="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BioMark HD system includes real-time PCR device components that comprise a fast thermal cycler for PCR and a fluorescence reader that can detect the results of reactions over time. Our IFC controllers for the BioMark HD system fully automate the setup of Dynamic Array and Digital Array IFCs for real-time qPCR-based experiments and include software for implementing and tracking experiments. Our BioMark HD reader controls the PCR process and detects the fluorescent signals generated using a white light source, emission and excitation filters, precision lenses, a fast thermal cycler and a digital camera. We also offer various software packages that provide data analysis, annotation, and archival following data collection. Our analysis software shows data as a color-coded map of every position on the IFC, such as for amplification curves, and as numeric tabular data.</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w:t>
      </w:r>
      <w:r>
        <w:rPr>
          <w:rFonts w:ascii="Arial" w:cs="Arial" w:eastAsia="Arial" w:hAnsi="Arial"/>
          <w:sz w:val="22"/>
          <w:szCs w:val="22"/>
          <w:b w:val="1"/>
          <w:bCs w:val="1"/>
          <w:i w:val="1"/>
          <w:iCs w:val="1"/>
          <w:color w:val="auto"/>
          <w:vertAlign w:val="subscript"/>
        </w:rPr>
        <w:t>1</w:t>
      </w:r>
      <w:r>
        <w:rPr>
          <w:rFonts w:ascii="Arial" w:cs="Arial" w:eastAsia="Arial" w:hAnsi="Arial"/>
          <w:sz w:val="18"/>
          <w:szCs w:val="18"/>
          <w:b w:val="1"/>
          <w:bCs w:val="1"/>
          <w:i w:val="1"/>
          <w:iCs w:val="1"/>
          <w:color w:val="auto"/>
        </w:rPr>
        <w:t xml:space="preserve"> Single-Cell Auto Prep System</w:t>
      </w:r>
    </w:p>
    <w:p>
      <w:pPr>
        <w:spacing w:after="0" w:line="44" w:lineRule="exact"/>
        <w:rPr>
          <w:sz w:val="20"/>
          <w:szCs w:val="20"/>
          <w:color w:val="auto"/>
        </w:rPr>
      </w:pPr>
    </w:p>
    <w:p>
      <w:pPr>
        <w:ind w:right="40" w:firstLine="456"/>
        <w:spacing w:after="0" w:line="252" w:lineRule="auto"/>
        <w:rPr>
          <w:sz w:val="20"/>
          <w:szCs w:val="20"/>
          <w:color w:val="auto"/>
        </w:rPr>
      </w:pPr>
      <w:r>
        <w:rPr>
          <w:rFonts w:ascii="Arial" w:cs="Arial" w:eastAsia="Arial" w:hAnsi="Arial"/>
          <w:sz w:val="16"/>
          <w:szCs w:val="16"/>
          <w:color w:val="auto"/>
        </w:rPr>
        <w:t>Our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Single-Cell Auto Prep system enables rapid and reliable isolation, processing, and profiling of individual cells for genomic analysis for key applications, such as targeted single-cell gene expression and single-cell mRNA analysis, using our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Single-Cell Auto Prep Array IFCs and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reagent kit. Our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Single-Cell Auto Prep system includes software that features pipetting templates, easy import/export functionality, predefined experiment layouts, and a selection of data viewing options. Coupled with the BioMark HD system, the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Single-Cell Auto Prep system streamlines gene expression analysis to support up to 96 individual cells across 96 transcripts for candidate gene studies or quality control of complementary DNA, or cDNA, libraries prior to mRNA sequencing.</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EP1 System</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EP1 system performs SNP genotyping using Fluidigm SNPtype assays or TagMan assays, and end-point digital PCR using TaqMan assays, and Fluidigm Dynamic Array and Digital Array IFCs. Because of its high-throughput and focus on SNP genotyping, the EP1 system is a preferred choice by our Ag-Bio customers for field implementation.</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IFC controllers for the EP1 system fully automate the setup of IFCs for end-point SNP genotyping and digital PCR experiments, and include software for implementing and tracking experiments. Our EP1 reader detects fluorescent signals generated in our IFCs using a light source, emission and excitation filters, precision lenses, and a digital camera. Our FC1 cycler performs fast thermal cycling for IFCs and enables up to 12 Dynamic Array IFCs to be run per day. We also offer various software packages that provide data analysis, annotation, and archival following data collection. Our analysis software shows data as color-coded map of every position on the chip, cluster maps showing results for every assay, and as numeric tabular data.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Access Array System</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Access Array system is used with the Access Array IFC to enable automated sample preparation, barcoding, and tagging of targeted resequencing libraries, at a cost of $10 per sample or less. The Access Array system can be used in conjunction with our BioMark HD system to provide real-time monitoring of amplification steps.</w:t>
      </w:r>
    </w:p>
    <w:p>
      <w:pPr>
        <w:spacing w:after="0" w:line="14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Access Array system is comprised of two IFC controllers and a single stand-alone thermal cycler. This system can load Access Array IFCs, amplify and tag the regions of interest, and recover the sample for loading into a next-generation DNA sequencer. We provide optimized barcoding primers, or Access Array Barcode Libraries, for use with Roche, Life Technologies, and Illumina sequencing platforms. When used with the Access Array IFC, the barcode library enables the user to pool products of different samples, perform amplification of all samples in parallel, and then sequence the pooled samples as a single sample. We also offer the Access Array Content Service to provide validated custom primer sets for users.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products are based on a tiered set of related proprietary technologies that we have either developed internally or licensed from third parties.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Multi-Layer Soft Lithography</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IFCs are manufactured using a technology known as multi-layer soft lithography, or MSL technology. Using MSL technology, we are able to create valves, chambers, channels, and other fluidic components on our IFCs at high density. We combine these components in complex arrangements that allow nanoliter quantities of fluids or drops to be precisely manipulated within the IFC. Unlike most prior microfluidic technologies, our IFCs do not rely on electricity, magnetism, or similar approaches to control fluid movement. Rather, they control fluid flow with valves. The most important components on our IFCs are our NanoFlex valves, which are created by the intersection of two channels on adjacent layers. When the valve is open, fluid is able to flow through the lower or “flow” channel. When the upper or “control” channel is pressurized, the material separating the two channels is deflected into the lower channel, closing the valve and stopping fluid flow. If pressure is removed from the control channel, the channels return to their original form, and the valve is again open. The elastomeric properties of microfluidic IFC cores allow our NanoFlex valves to form a reliable seal and cycle through millions of openings and closings.</w:t>
      </w:r>
    </w:p>
    <w:p>
      <w:pPr>
        <w:spacing w:after="0" w:line="11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elastomer we currently use for our commercial products is a form of silicone rubber known as polydimethylsiloxane, or PDMS, but we have researched other materials with different properties for specific purposes. PDMS is transparent, which allows the fluids and their contents to be easily monitored with a variety of existing optical technologies, such as bright field, phase contrast, or fluorescence microscopy. The gas permeability of PDMS allows the reliable metering of fluids with near picoliter precision by eliminating the bubble problems encountered by most other microfluidic technologies. In essence, we are able to pump fluids into closed reaction chambers at sufficient pressure to drive any air out of the chamber directly through the chamber walls. This gas permeability also supports maintenance of cells in cell culture conditions. PDMS offers a favorable environment for many biochemical reactions, including PCR and cell culture.</w:t>
      </w:r>
    </w:p>
    <w:p>
      <w:pPr>
        <w:spacing w:after="0" w:line="14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have developed commercial manufacturing processes to fabricate valves, channels, vias, and chambers with dimensions in the ten to 100 micron range, at high density and with high yields. For research purposes, we have created devices with both substantially smaller and larger features. Although our manufacturing is based on standard semiconductor manufacturing technologies and techniques, we have also developed novel processes for mold fabrication that enable mass production of high density IFCs with nanoliter volume features. These processes are sufficiently robust such that new microfluidic designs can often be built using existing fabrication techniques, allowing for rapid innovation of new IFC designs without needing manufacturing process or equipment changes.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Integrated Fluidic Circuits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IFCs incorporate several different types of technology that together enable us to use MSL technology to rapidly design and deploy new microfluidic applications.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Microfluidic Components</w:t>
      </w:r>
      <w:r>
        <w:rPr>
          <w:rFonts w:ascii="Arial" w:cs="Arial" w:eastAsia="Arial" w:hAnsi="Arial"/>
          <w:sz w:val="16"/>
          <w:szCs w:val="16"/>
          <w:color w:val="auto"/>
        </w:rPr>
        <w:t>. The first level of our IFC technology is a library of components that perform basic microfluidic functions. We have proven</w:t>
      </w:r>
      <w:r>
        <w:rPr>
          <w:rFonts w:ascii="Arial" w:cs="Arial" w:eastAsia="Arial" w:hAnsi="Arial"/>
          <w:sz w:val="16"/>
          <w:szCs w:val="16"/>
          <w:i w:val="1"/>
          <w:iCs w:val="1"/>
          <w:color w:val="auto"/>
        </w:rPr>
        <w:t xml:space="preserve"> </w:t>
      </w:r>
      <w:r>
        <w:rPr>
          <w:rFonts w:ascii="Arial" w:cs="Arial" w:eastAsia="Arial" w:hAnsi="Arial"/>
          <w:sz w:val="16"/>
          <w:szCs w:val="16"/>
          <w:color w:val="auto"/>
        </w:rPr>
        <w:t>designs for numerous elements, such as pumps, mixers, separation columns, control logic, and reaction chambers. These are readily integrated to create circuits capable of performing a wide range of biochemical reactions. Even when it is necessary to integrate multiple elements to perform a particularly complex reaction, the area taken up on a circuit for a single reaction is small compared to our typical overall IFC core size of three centimeters by three centimeters. As a result, we are routinely able to develop IFCs that perform thousands of reactions per square centimeter.</w:t>
      </w:r>
    </w:p>
    <w:p>
      <w:pPr>
        <w:spacing w:after="0" w:line="116" w:lineRule="exact"/>
        <w:rPr>
          <w:sz w:val="20"/>
          <w:szCs w:val="20"/>
          <w:color w:val="auto"/>
        </w:rPr>
      </w:pPr>
    </w:p>
    <w:p>
      <w:pPr>
        <w:ind w:firstLine="456"/>
        <w:spacing w:after="0" w:line="263" w:lineRule="auto"/>
        <w:rPr>
          <w:sz w:val="20"/>
          <w:szCs w:val="20"/>
          <w:color w:val="auto"/>
        </w:rPr>
      </w:pPr>
      <w:r>
        <w:rPr>
          <w:rFonts w:ascii="Arial" w:cs="Arial" w:eastAsia="Arial" w:hAnsi="Arial"/>
          <w:sz w:val="17"/>
          <w:szCs w:val="17"/>
          <w:i w:val="1"/>
          <w:iCs w:val="1"/>
          <w:color w:val="auto"/>
        </w:rPr>
        <w:t>Architectures</w:t>
      </w:r>
      <w:r>
        <w:rPr>
          <w:rFonts w:ascii="Arial" w:cs="Arial" w:eastAsia="Arial" w:hAnsi="Arial"/>
          <w:sz w:val="17"/>
          <w:szCs w:val="17"/>
          <w:color w:val="auto"/>
        </w:rPr>
        <w:t>. The second level of our IFC technology comprises the architectures we have designed to exploit our ability to conduct thousands of reactions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a single IFC. The first of these is the Dynamic Array IFC, a matrix architecture that allows multiple different samples and multiple different reagents to be loaded onto a single IFC and then combined so that there is an isolated reaction between each sample and each reagent. The primary advantage of this architecture is that each sample and reagent is only handled by a pipette once per IFC rather than once per reaction, as is the case with conventional technologies. For example, a single 96.96 Dynamic Array IFC can perform a total of 9,216 unique reactions between 96 samples and 96 reagents with only 192 pipetting steps, compared to approximately 18,432 pipetting steps with conventional technologies. In addition, the configuration of the IFC can be changed. For instance, our 192.24 Dynamic Array IFC for genotyping allows reactions between 192 samples and 24 assays. Our targeted next-generation DNA sequencing sample preparation architecture allows us to bring similar benefits to reactions which require export of the reaction product and more complex (multi-step) reactions. For example, our Access Array IFC amplifies 48 genetic regions on each of 48 samples and exports each prepared sample. Our Digital Array IFC architecture allows a sample to be split into hundreds to hundreds of thousands of sub-samples. Separate reactions can then be conducted on each of the smaller sub-samples. Our cell processor architecture automates cell seeding, culture, combinatorial dosing with multiple reagents, and export for further analysis. For example, our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Single-Cell Auto Prep Array IFC enables the capture of many single cells from a flow stream, as well as the execution of molecular biology protocols on each individual cell in parallel.</w:t>
      </w:r>
    </w:p>
    <w:p>
      <w:pPr>
        <w:spacing w:after="0" w:line="13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Interface and Handling Carriers</w:t>
      </w:r>
      <w:r>
        <w:rPr>
          <w:rFonts w:ascii="Arial" w:cs="Arial" w:eastAsia="Arial" w:hAnsi="Arial"/>
          <w:sz w:val="16"/>
          <w:szCs w:val="16"/>
          <w:color w:val="auto"/>
        </w:rPr>
        <w:t>. The third level of our IFC technology involves the interaction of our IFCs with the actual laboratory environment. Our</w:t>
      </w:r>
      <w:r>
        <w:rPr>
          <w:rFonts w:ascii="Arial" w:cs="Arial" w:eastAsia="Arial" w:hAnsi="Arial"/>
          <w:sz w:val="16"/>
          <w:szCs w:val="16"/>
          <w:i w:val="1"/>
          <w:iCs w:val="1"/>
          <w:color w:val="auto"/>
        </w:rPr>
        <w:t xml:space="preserve"> </w:t>
      </w:r>
      <w:r>
        <w:rPr>
          <w:rFonts w:ascii="Arial" w:cs="Arial" w:eastAsia="Arial" w:hAnsi="Arial"/>
          <w:sz w:val="16"/>
          <w:szCs w:val="16"/>
          <w:color w:val="auto"/>
        </w:rPr>
        <w:t>IFCs are built on specially designed input frames that are compatible with most commonly used laboratory systems, including existing robotic pipetting systems, bar code readers, plate handling systems, and other equipment. The core elastomeric block at the center of our IFC is surrounded by the frame, that delivers samples and reagents to the blocks. The frames, or carriers, also transmit the pressure and control signals from our instruments to the IFC.</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Technological Advances</w:t>
      </w:r>
      <w:r>
        <w:rPr>
          <w:rFonts w:ascii="Arial" w:cs="Arial" w:eastAsia="Arial" w:hAnsi="Arial"/>
          <w:sz w:val="18"/>
          <w:szCs w:val="18"/>
          <w:color w:val="auto"/>
        </w:rPr>
        <w:t>. In our research and development laboratory, we have built and tested fully functional Digital Array IFCs capable of performing</w:t>
      </w:r>
      <w:r>
        <w:rPr>
          <w:rFonts w:ascii="Arial" w:cs="Arial" w:eastAsia="Arial" w:hAnsi="Arial"/>
          <w:sz w:val="18"/>
          <w:szCs w:val="18"/>
          <w:i w:val="1"/>
          <w:iCs w:val="1"/>
          <w:color w:val="auto"/>
        </w:rPr>
        <w:t xml:space="preserve"> </w:t>
      </w:r>
      <w:r>
        <w:rPr>
          <w:rFonts w:ascii="Arial" w:cs="Arial" w:eastAsia="Arial" w:hAnsi="Arial"/>
          <w:sz w:val="18"/>
          <w:szCs w:val="18"/>
          <w:color w:val="auto"/>
        </w:rPr>
        <w:t>200,000 assays, over five-fold more than our 48.770 Digital Array IFC. We also designed an IFC architecture and built a system to automate laboratory protocols that require one or more column chromatography steps. The IFC can generate high quality sequencing libraries for bacterial and human DNA samples using a commercially available sequencing library preparation kit.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and Instrumentation</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developed instrumentation technology to load samples and reagents onto our IFCs and to control and monitor reactions within our IFCs. Our line of IFC controllers consists of commercial pneumatic components and both custom and commercial electronics. They apply precise control of multiple pressures to move fluid and control valve states in a microfluidic IFC. Our BioMark HD system consists of a custom fast thermal cycler packaged with a sophisticated fluorescence imaging system. Our FC1 cycler is a custom thermal cycler capable of very rapid cycling: 45 cycles in 30 minutes. Our EP1 instrument is a fluorescence reader designed for end-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point imaging, suitable for genotyping and digital PCR applications. All of these instruments are designed to be easily introduced into standard automated lab environments.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developed specialized software to manage and analyze the unusually large amounts of data produced by our systems. Our BioMark HD system’s gene expression analysis software automatically measures individual real-time qPCR reactions from fluorescent images and generates amplification threshold crossing values, allowing researchers to readily perform complete normalized comparative gene expression analysis across large numbers of samples and assays. Similarly, our SNP genotyping analysis software automatically clusters fluorescent intensities from individual genotype reactions and makes genotype calls across individual and multiple IFC runs. Our digital PCR analysis software automatically calculates absolute copy number and copy number ratios from digital PCR experiments. Our melting curve analysis software supports genotyping from data collected on the BioMark HD system.</w:t>
      </w:r>
    </w:p>
    <w:p>
      <w:pPr>
        <w:spacing w:after="0" w:line="57" w:lineRule="exact"/>
        <w:rPr>
          <w:sz w:val="20"/>
          <w:szCs w:val="20"/>
          <w:color w:val="auto"/>
        </w:rPr>
      </w:pPr>
    </w:p>
    <w:p>
      <w:pPr>
        <w:ind w:right="800" w:firstLine="456"/>
        <w:spacing w:after="0" w:line="288" w:lineRule="auto"/>
        <w:rPr>
          <w:sz w:val="20"/>
          <w:szCs w:val="20"/>
          <w:color w:val="auto"/>
        </w:rPr>
      </w:pPr>
      <w:r>
        <w:rPr>
          <w:rFonts w:ascii="Arial" w:cs="Arial" w:eastAsia="Arial" w:hAnsi="Arial"/>
          <w:sz w:val="18"/>
          <w:szCs w:val="18"/>
          <w:color w:val="auto"/>
        </w:rPr>
        <w:t>More recently, we developed bioinformatic tools for single-cell genomics for our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Auto Prep and BioMark HD systems, called the SINGuLAR Analysis Toolset, to facilitate the analysis and visualization of single-cell gene expression data.</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Assays Design and Protocols</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Our DELTAgene and SNPtype assay products consist of assay design and custom content delivery systems for gene expression and genotyping, respectively. We believe our assay design and content delivery systems represent an improvement over conventional pre-defined panels by allowing customization based on cellular pathways or biological areas of interest while lowering up-front costs of experiments. These offerings provide low-cost alternatives to chemistries such as TaqMan, and allow customers to use IFCs in more flexible ways. By specifying genes or SNP sites of interest and matching them to region specific primers, customers using our existing systems are able to amplify specific genetic regions of interest at reduced cost without sacrificing data quality.</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PCR assay reagents need to be specific to the gene targets of interest. Since our systems analyze many gene targets at once, the process of designing a set of assays may delay the implementation experiments or require the use of expensive pre-designed assays. To address this issue, we developed a computational method for rapid-turn PCR assay design. This process allows us to provide customers with validated assays for their targets of interest. We have commercialized this service for our BioMark HD, EP1, and Access Array system customers through our DELTAgene and SNPtype assays and our Access Array Target-Specific primers.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also provide protocols to guide our customers in the use of our products with commonly available molecular biology reagents for the analysis of their specific sample types.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distribute our microfluidic systems through our direct sales force and support organizations located in North America, Europe, and Asia-Pacific, and through distributors or sales agents in several European, Latin American, Middle Eastern, and Asia-Pacific countries. Our domestic and international sales force informs our current and potential customers of current product offerings, new product introductions, technological advances in our microfluidic systems and workflows, and notable research being performed by our customers or ourselves. As our primary point of contact in the marketplace, our sales force focuses on delivering a consistent marketing message and high level of customer service, while also attempting to help us better understand our customer needs. As of December 31, 2012, we had 82 people employed in sales, sales and technical support, and marketing, including 42 sales representatives and technical pre-sales specialists located in the field. We intend to significantly expand our sales, support, and marketing efforts in the future.</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sales and marketing efforts are targeted at laboratory directors and principal investigators at leading companies and institutions who need reliable life science automation solutions for their business or commercial purposes. We seek to increase awareness of our products among our target customers through regular contact,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participation in tradeshows, customer site seminars, academic conferences, and dedicated company gatherings attended by prominent users and prospective customers from various institutions.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systems are relatively new to the market place and require a capital investment. As a result, 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Single-Cell Genomics Collaborations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May 2012, in collaboration with the Broad Institute, we announced the launch of the Single-Cell Genomics initiative, or SCGi, a new research center dedicated to accelerating the development of research methods and discoveries in mammalian single-cell genomics. The SCGi is expected to facilitate collaborative development by single-cell genomics researchers of novel single-cell, microfluidic approaches for gene expression profiling, RNA/DNA sequencing, and epigenetic analysis, and to develop and disseminate new application workflows, reagents, bioinformatics tools, and data sets to the greater scientific community. The SCGi is located at the Broad Institute in Cambridge, Massachusetts, and will feature a complete suite of our single-cell tools, protocols, and technologies, most notably the BioMark HD system.</w:t>
      </w:r>
    </w:p>
    <w:p>
      <w:pPr>
        <w:spacing w:after="0" w:line="144" w:lineRule="exact"/>
        <w:rPr>
          <w:sz w:val="20"/>
          <w:szCs w:val="20"/>
          <w:color w:val="auto"/>
        </w:rPr>
      </w:pPr>
    </w:p>
    <w:p>
      <w:pPr>
        <w:ind w:right="40" w:firstLine="456"/>
        <w:spacing w:after="0" w:line="260" w:lineRule="auto"/>
        <w:rPr>
          <w:sz w:val="20"/>
          <w:szCs w:val="20"/>
          <w:color w:val="auto"/>
        </w:rPr>
      </w:pPr>
      <w:r>
        <w:rPr>
          <w:rFonts w:ascii="Arial" w:cs="Arial" w:eastAsia="Arial" w:hAnsi="Arial"/>
          <w:sz w:val="17"/>
          <w:szCs w:val="17"/>
          <w:color w:val="auto"/>
        </w:rPr>
        <w:t>In December 2012, in collaboration with the Genome Institute of Singapore, or GIS, an institute under the umbrella of the Agency for Science, Technology and Research, we announced the establishment of the Single-Cell ‘Omics Center, or SCOC, the first research center in Asia exclusively dedicated to accelerating the understanding of how individual cells work, and how diagnosis and treatment might be enhanced through insight derived from single cells. The SCOC is expected to provide integrated analytics for single-cell genomic applications to the region’s single-cell genomics researchers. The SCOC is located in dedicated laboratory space at GIS facilities in Biopolis, Singapore, and will feature the full capabilities of our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Single-Cell Auto Prep and BioMark HD systems for targeted single-cell gene expression analytics and validation.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33"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We have sold our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Auto Prep, BioMark, BioMark HD, EP1, and Access Array systems to leading academic institutions, clinical laboratories, and pharmaceutical, biotechnology and Ag-Bio companies. We have sold approximately 685 systems to customers in over 30 countries. No single customer represented more than 10% of our total revenue for 2012, 2011, or 2010.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Our microfluidic systems and instrumentation for commercial sale, as well as for internal research and development purposes, are manufactured at our facilities in Singapore. We also manufacture IFCs for research and development and our assay chemistries at our headquarters in South San Francisco, California.</w:t>
      </w:r>
    </w:p>
    <w:p>
      <w:pPr>
        <w:spacing w:after="0" w:line="6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established our primary manufacturing facility in Singapore to take advantage of the skilled workforce, supplier and partner network, lower operating costs, and government support available there. Our microfluidic system manufacturing process includes photolithography and fabrication technologies that are very similar to those used in the fabrication of semiconductor chips. As a result, we are able to hire from a pool of skilled manpower created by the existing semiconductor industry in Singapore. Similarly, the Singapore semiconductor industry has created a broad network of potential suppliers and partners for our manufacturing operations. We are able to locally source a large proportion of the raw materials required in our processes and have been able to collaborate with local engineering companies to develop enabling technologies chip fabrication.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manufacturing operations in Singapore have been supported by grants from the Singapore Economic Development Board, or EDB, which provides incentive grant payments for research, development and manufacturing activity in Singapore. Our arrangements with EDB require us to maintain manufacturing and research and development presence in Singapore.</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that our existing manufacturing capacity for instrumentation and IFCs is sufficient to meet our needs at least through the third quarter of 2013 and, with anticipated modifications for additional capacity, through 2014. However, we are considering developing additional capacity to ensure that all or most of our products are produced by at least two different facilities. We believe that having dual sources for our products would help mitigate the potential impact of a production disruption at any one of our facilities and that such redundancy may be required by our customers in the future. We have not determined the timing or location of any additional manufacturing capacity.</w:t>
      </w:r>
    </w:p>
    <w:p>
      <w:pPr>
        <w:spacing w:after="0" w:line="143" w:lineRule="exact"/>
        <w:rPr>
          <w:sz w:val="20"/>
          <w:szCs w:val="20"/>
          <w:color w:val="auto"/>
        </w:rPr>
      </w:pPr>
    </w:p>
    <w:p>
      <w:pPr>
        <w:ind w:right="20" w:firstLine="456"/>
        <w:spacing w:after="0" w:line="261" w:lineRule="auto"/>
        <w:rPr>
          <w:sz w:val="20"/>
          <w:szCs w:val="20"/>
          <w:color w:val="auto"/>
        </w:rPr>
      </w:pPr>
      <w:r>
        <w:rPr>
          <w:rFonts w:ascii="Arial" w:cs="Arial" w:eastAsia="Arial" w:hAnsi="Arial"/>
          <w:sz w:val="17"/>
          <w:szCs w:val="17"/>
          <w:color w:val="auto"/>
        </w:rPr>
        <w:t>We rely on a limited number of suppliers for certain components and materials used in our products. While we are in the process of qualifying additional sources of supply, we cannot predict how long that qualification process will last. If we were to lose one or more of our limited source suppliers, it would take significant time and effort to qualify alternative suppliers. Key components in our products that are supplied by sole or limited source suppliers include a specialized polymer from which our IFC cores are fabricated, specialized custom camera lenses, fiber light guides, and other components required for the reader of our BioMark system, specialized pneumatic and electronic components for our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Single-Cell Auto Prep system, and certain raw materials for our DELTAgene and SNPtype assays and Access Array Target-Specific primers. With respect to many of our suppliers, we are neither a major customer, nor do we have long term supply contracts. These suppliers may therefore give other customers’ needs higher priority than ours, and we may not be able to obtain adequate supply in a timely manner or on commercially reasonable terms.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have assembled experienced research and development teams at our South San Francisco, California, and Singapore locations with the scientific, engineering, software, bioinformatic, and process talent that we believe is required to grow our business.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Product and Application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largest component of our current research and development effort is in the areas of new products and new applications.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Cell Culture System</w:t>
      </w:r>
      <w:r>
        <w:rPr>
          <w:rFonts w:ascii="Arial" w:cs="Arial" w:eastAsia="Arial" w:hAnsi="Arial"/>
          <w:sz w:val="16"/>
          <w:szCs w:val="16"/>
          <w:color w:val="auto"/>
        </w:rPr>
        <w:t>. With the support of a grant from the California Institute of Regenerative Medicine, or CIRM, in an aggregate amount of $750,000,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developed a prototype microfluidic cell culture system that enables researchers to independently control the conditions for multiple cell cultures, allowing sequential dosing of a variety of factors and then extraction of the cells for further analysis. In 2011, CIRM awarded us with an additional $1.9 million grant over three years to further advance research in this area and to deliver useable prototypes to a limited number of stem cell research laboratories.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Assay and Reagent Development</w:t>
      </w:r>
      <w:r>
        <w:rPr>
          <w:rFonts w:ascii="Arial" w:cs="Arial" w:eastAsia="Arial" w:hAnsi="Arial"/>
          <w:sz w:val="18"/>
          <w:szCs w:val="18"/>
          <w:color w:val="auto"/>
        </w:rPr>
        <w:t>. We intend to enhance our SNPtype genotyping assays, DELTAgene gene expression assays, and Access Array Target-Specific primer sets with improved performance and features. For genotyping, we plan to improve our SNPtype bioinformatic pipelines to support additional types of mutations, improve assay design rates for difficult areas of the genome, and offer it in additional formats. For gene expression, we intend to lower sample preparation reagents with lower costs and to increase the multiplexing to enable analysis of larger sets of genes. We currently support most major third party commercial sequencing platforms, and we plan to provide reagents necessary to support Access Array Target-Specific primer sets for new major platforms as they are developed.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6"/>
          <w:szCs w:val="16"/>
          <w:i w:val="1"/>
          <w:iCs w:val="1"/>
          <w:color w:val="auto"/>
        </w:rPr>
        <w:t>Integrated Fluidic Circuit and Instrument Architectures</w:t>
      </w:r>
      <w:r>
        <w:rPr>
          <w:rFonts w:ascii="Arial" w:cs="Arial" w:eastAsia="Arial" w:hAnsi="Arial"/>
          <w:sz w:val="16"/>
          <w:szCs w:val="16"/>
          <w:color w:val="auto"/>
        </w:rPr>
        <w:t>. We intend to develop additional products to strengthen the capabilities of our existing Dynamic</w:t>
      </w:r>
      <w:r>
        <w:rPr>
          <w:rFonts w:ascii="Arial" w:cs="Arial" w:eastAsia="Arial" w:hAnsi="Arial"/>
          <w:sz w:val="16"/>
          <w:szCs w:val="16"/>
          <w:i w:val="1"/>
          <w:iCs w:val="1"/>
          <w:color w:val="auto"/>
        </w:rPr>
        <w:t xml:space="preserve"> </w:t>
      </w:r>
      <w:r>
        <w:rPr>
          <w:rFonts w:ascii="Arial" w:cs="Arial" w:eastAsia="Arial" w:hAnsi="Arial"/>
          <w:sz w:val="16"/>
          <w:szCs w:val="16"/>
          <w:color w:val="auto"/>
        </w:rPr>
        <w:t>Array, Digital Array and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Single-Cell Auto Prep Array IFC product families. We intend to design IFC architectures that are more flexible and cost effective for researchers with smaller numbers of assays or smaller numbers of samples. We also plan to evaluate next-generation instruments architectures supporting these new IFC formats for our existing markets and with features potentially suitable for clinical markets. With respect to IFCs for use with our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Single-Cell Auto Prep system, we are developing two additional IFCs that are optimized for the capture of small cells, such as embryonic stem cells, to support targeted single-cell gene expression analysis for up to 96 gene targets and whole transcriptome analysis, respectively. We also plan to support diverse staining solutions to enable customers to monitor cell viability, cell type, and cell cycles on our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Single-Cell Auto Prep Array IFCs.</w:t>
      </w:r>
    </w:p>
    <w:p>
      <w:pPr>
        <w:spacing w:after="0" w:line="73" w:lineRule="exact"/>
        <w:rPr>
          <w:sz w:val="20"/>
          <w:szCs w:val="20"/>
          <w:color w:val="auto"/>
        </w:rPr>
      </w:pPr>
    </w:p>
    <w:p>
      <w:pPr>
        <w:ind w:firstLine="456"/>
        <w:spacing w:after="0" w:line="263" w:lineRule="auto"/>
        <w:rPr>
          <w:sz w:val="20"/>
          <w:szCs w:val="20"/>
          <w:color w:val="auto"/>
        </w:rPr>
      </w:pPr>
      <w:r>
        <w:rPr>
          <w:rFonts w:ascii="Arial" w:cs="Arial" w:eastAsia="Arial" w:hAnsi="Arial"/>
          <w:sz w:val="17"/>
          <w:szCs w:val="17"/>
          <w:color w:val="auto"/>
        </w:rPr>
        <w:t>Single-Cell Genomics Applications. In December 2012, we introduced the mRNA sequencing application on our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Single-Cell Auto Prep system, which provides researchers with an easy, end-to-end workflow for detailed transcriptome analysis of up to 96 single cells to rapidly study differential expression profiles of diverse cell populations. We intend to expand the menu of single-cell applications available on our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Single-Cell Auto Prep system to include, among others, micro RNA and DNA analysis protocols. Our micro RNA analysis protocol is expected to allow scientists to quantify micro RNA expression to better understand the regulation of gene expression. Our DNA analysis protocol, with its related reagent kit and analysis tools, is expected to support whole genome amplification from individual cells for DNA analysis. We also intend to introduce a suite of software tools, including open source and fully integrated software packages, to specifically support single-cell analysis. We are developing gene expression reference data sets of individual cells from diverse cell populations that will be made to the broader scientific community and will be used to support new user training, develop new analysis tools, and assist in the establishment of applicable quality standards.</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Process Development</w:t>
      </w:r>
    </w:p>
    <w:p>
      <w:pPr>
        <w:spacing w:after="0" w:line="90"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The second component of our research and development effort is process development. We continuously develop new manufacturing processes and test methods to drive down manufacturing cost, increase manufacturing throughput, widen fabrication process capability, and support new microfluidic devices and designs. Our prototype fabrication facility at our Singapore manufacturer fabricates prototype IFCs working closely with product development teams in South San Francisco, California. This process development team’s focus is to improve fabrication processes for the production line. We invest in manufacturing automation, process changes, and design modifications which historically have significantly improved yields and lowered the manufacturing costs of our IFCs.</w:t>
      </w:r>
    </w:p>
    <w:p>
      <w:pPr>
        <w:spacing w:after="0" w:line="10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research and development expenses were $16.6 million, $13.9 million, and $13.0 million in 2012, 2011, and 2010, respectively. As of December 31, 2012, 58 of our employees were engaged in research and development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compete with both established and development stage life science companies that design, manufacture, and market instruments for gene expression analysis, genotyping, other nucleic acid detection, and additional applications. For example, companies such as Affymetrix, Inc., Agilent Technologies, Inc., Bio-Rad Laboratories, Inc., Illumina, Inc., Life Technologies Corporation, LGC Limited, Luminex Corporation, NanoString Technologies, Inc., PerkinElmer, Inc. (through its acquisition of Caliper Life Sciences, Inc.), RainDance Technologies, Inc., Roche Applied Science (a division of Roche Diagnostics Corporation), Sequenom, Inc., and WaferGen Bio-Systems, Inc. have products that compete in certain segments of the market in which we sell our products. In addition, a number of other companies and academic groups are in the process of developing novel technologies for life science markets.</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life science automation industry is highly competitive and expected to grow more competitive with the increasing knowledge gained from ongoing research and development. Many of our competitors are either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publicly traded or are divisions of publicly traded companies and enjoy several competitive advantages over us, including:</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broader product lines and product packages;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larger sales forces and eCommerce channels;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larger and more geographically dispersed customer support organization;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resources dedicated to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better established and larger scale manufacturing capability;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resources and longer experience in research and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principal competitive factors in our target markets include:</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of capital equipment and supplies;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reputation among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flexibility and ease of 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accuracy and reproducibility of results;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compatibility with existing laboratory processes, tools, and methods.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successfully compete with existing products and future technologies, we need to demonstrate to potential customers that the cost savings and performance of our technologies and products, as well as our customer support capabilities, are superior to those of our competitors. The regular introduction of new and innovative offerings is necessary to continue to differentiate our company from other, larger enterprises. Additionally, a well staffed commercial team “in the field” is required to successfully communicate the advantages of our products and overcome potential obstacles to acceptance of our products. In addition, ongoing collaborations and partnerships with key opinion leaders in the genetics fields are desirable to demonstrate both innovation and applicability of our products. These relationships create the need for retention of a large and talented specialized staff, and occasionally require the placement of products or supplies on a temporary basis at a customer facility to demonstrate applicability of our tool to a specific scientific application.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Strategy and Position</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core technology originated at the California Institute of Technology, or Caltech, in the laboratory of Professor Stephen Quake, who is a co-founder of Fluidigm. Dr. Quake, his students, and their collaborators pioneered the application of MSL technology in the field of microfluidics. In particular, Dr. Quake’s laboratory developed technologies that enabled the production of specialized valves and pumps capable of controlling fluid flow at nanoliter volumes. In a series of transactions, we exclusively licensed from Caltech the relevant patent filings relating to these developments. We have also entered into additional exclusive and non-exclusive licenses for related technologies from various companies and academic institutions.</w:t>
      </w:r>
    </w:p>
    <w:p>
      <w:pPr>
        <w:spacing w:after="0" w:line="1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Our patent strategy is to seek broad patent protection on new developments in microfluidic technology and then later file patent applications covering new implementations of the technology and new microfluidic circuit architectures utilizing the technology. As these technologies are implemented and tested, we file new patent applications covering scientific methodology enabled by our technology. Additionally, where appropriate, we file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new patent applications covering instrumentation and software that are used in conjunction with our microfluidic systems.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developed our own portfolio of issued patents and patent applications directed to commercial products and technologies in development. Our portfolio covers methods and devices for isolating, culturing, and analyzing single cells; technologies for processing and preparing DNA samples for next-generation DNA sequencing; high-density and reusable IFCs for performing genotyping and measuring gene expression with massive multiplexing, and techniques for using these IFCs; and associated instrumentation and software for controlling and reading our IFCs and analyzing the data obtained from them. We also have over 35 patents and patent applications pending relating to devices, techniques, and applications for digital PCR, including methodologies for measuring copy number variation and noninvasively diagnosing prenatal genetic abnormalities.</w:t>
      </w:r>
    </w:p>
    <w:p>
      <w:pPr>
        <w:spacing w:after="0" w:line="120"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As of February 28, 2013, we owned or licensed over 250 patents, most of which issued in the United States, and we had approximately 265 pending patent applications worldwide, including approximately 100 in the United States. Our patents have expiration dates ranging from 2018 to 2030. The U.S. issued patents we have licensed from Caltech expire between 2017 and 2031 and the U.S. issued patents we have licensed from other parties expire between 2019 and 2030.</w:t>
      </w:r>
    </w:p>
    <w:p>
      <w:pPr>
        <w:spacing w:after="0" w:line="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entered into several significant exclusive, co-exclusive, and non-exclusive licenses to patents and patent applications owned by various academic institutions, and have additional intellectual property agreements with a range of institutions and companies.</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license agreement with Caltech provides us with an exclusive, worldwide license to certain patents and related intellectual property, as well as the right to prosecute licensed patent filings worldwide at our expense and to initiate any infringement proceedings. Caltech retains the right to use the licensed materials for noncommercial educational and research purposes, as well as any rights necessary to comply with the statutory rights of the U.S. government. We have issued shares of our common stock to Caltech and we agreed to pay to Caltech royalties based on sales revenue of licensed products on a country-by-country basis with a minimum annual royalty. The license agreement will terminate as to each country and licensed product upon expiration of the last-to-expire patent covering licensed products in each country.</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license agreements with Harvard University allow sublicenses (i) provided we can demonstrate that we have added significant value to the patent rights to be sublicensed and that such sublicense also contains a substantial and essentially simultaneous license to intellectual property owned by us, or (ii) when such patent rights are necessary to practice other Harvard University patent rights exclusively licensed to us which are also being licensed. We have issued shares of our common stock to Harvard and we agreed to pay to Harvard royalties based on sales revenue of licensed products on a country-by-country basis with a minimum annual royalty. Harvard is responsible for filing and maintaining all licensed patents, but we must reimburse Harvard for our share of its related patent prosecution expenses. We have the right to prosecute any infringement of our licensed patent rights. The license agreement will terminate with the last-to-expire of the licensed patents.</w:t>
      </w:r>
    </w:p>
    <w:p>
      <w:pPr>
        <w:spacing w:after="0" w:line="14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On June 30, 2011, we settled certain litigation and entered into a series of patent cross-license and sub-license agreements with Life Technologies Corporation and its Applied Biosystems, LLC subsidiary, referred to as Life, relating to various patent rights of the two companies. Specifically, the agreements involve a cross-license concerning our imaging readers and other patent filings and certain of Life’s patent families relating to methods and instruments for conducting nucleic acid amplification, such as with PCR; a sub-license that provides us access to certain of Life’s digital PCR patents; and a sublicense that provides Life access to certain of our non-core technology patents licensed from Caltech. The agreements provide for various royalty payments by each of the parties, including a royalty on certain Life instruments. In July 2011, pursuant to the terms of the agreements, we paid Life $2.0 million in connection with our exercise of an option to preclude Life from initiating litigation under its patents existing as of June 30, 2011 against our customer’s for two years and against our company, with respect to our current products and equivalent future products, for four years, subject to certain exceptions.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May 2011, we entered into a license agreement with Caliper Life Sciences, Inc., which subsequently became a PerkinElmer company, referred to as Caliper, to license Caliper’s existing patent portfolio in certain fields, including non-invasive prenatal diagnostics, and obtained an option to extend the license to cover additional fields. Under the agreement, we made an up-front payment of $0.6 million, which is subject to adjustment, and will have royalty obligations commencing in January 2012. In August 2011, we entered into an amendment to the agreement with Caliper and made an additional up-front payment of $0.5 million. Pursuant to the amendment, the rates for royalties payable to Caliper were substantially reduced and the period for which we are obligated to make royalty payments was shortened, with the last payment due in mid-2018 for our existing products at the time of amendment and their future equivalents. If any of our future products are determined to infringe Caliper’s patents, the same reduced royalty rates will apply until the respective patents expire.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its authority under the Federal Food, Drug and Cosmetic Act, or FFDCA, the FDA has jurisdiction over medical devices, which are defined to include, among other things, in vitro diagnostic products, or IVDs. Our products are currently labeled and sold for research purposes only, and we sell them to academic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institutions, life sciences and clinical laboratories, and pharmaceutical and biotechnology companies for non-diagnostic purposes. Our products are not intended for use in clinical practice in the diagnosis of disease or other conditions, and they are labeled for research use only. Accordingly, they are subject only to limited, specific regulation with respect to labeling as IVD medical devices by the FDA. In particular, while FDA regulations require that research use only products be labeled, “For Research Use Only. Not for use in diagnostic procedures,” or RUO products, the regulations do not subject such products to the FDA’s broader pre-and post-market controls for medical devices. In June 2011, the FDA issued a draft guidance document intended to clarify the types of in vitro diagnostic products that are properly labeled “for research use only.” The draft guidance states that merely including a labeling statement that the product is for research purposes only will not necessarily render the device exempt from the FDA’s clearance, approval, or other requirements if the circumstances surrounding the distribution of the product indicate that the manufacturer knows its product is being used by customers for diagnostic uses. These circumstances may include written or verbal marketing claims regarding a product’s performance in clinical applications and a manufacturer’s provision of technical support for such activities. In the future, certain of our products or related applications could become subject to regulation as medical devices by the FDA.</w:t>
      </w:r>
    </w:p>
    <w:p>
      <w:pPr>
        <w:spacing w:after="0" w:line="12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example, if we wish to label and market our products for use in performing clinical diagnostics, thus subjecting them to regulation by the FDA under premarket and postmarket control as medical devices, unless an exemption applies, we would be required to obtain either prior 510(k) clearance or prior pre-market approval from the FDA before commercializing the product.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and legally marketed 510(k) device or a “pre-amendment” class III device for which pre-market approval applications, or PMAs, have not been required by the FDA. This process typically takes from four to twelve months, although it can take longer. Most class I devices are exempted from this 510(k) premarket submission requirement. 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while we obtain premarket clearance or approval from the FDA. There would be no assurance that we could ever obtain such clearance or approval.</w:t>
      </w:r>
    </w:p>
    <w:p>
      <w:pPr>
        <w:spacing w:after="0" w:line="12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Changes to a device that have received PMA approval typically require a new PMA or PMA supplement. Changes to a device that received 510(k) clearance which could significantly affect its safety or effectiveness, or that would constitute a major change in its intended use, require a new 510(k) clearance or possibly PMA approval. The FDA requires each manufacturer to make this determination initially, but the FDA can review any of these decisions and may disagree. If the FDA disagreed with our determination not to seek a new 510(k) clearance for a change to a previously marketed product, the FDA could require us to seek a new 510(k) clearance or pre-market approval. The FDA also could require us to cease manufacturing and/or recall the modified device until 510(k) clearance or pre-market approval was obtained. Also, in these circumstances, we could be subject to warning letters, adverse publicity, significant regulatory fines or penalties, seizure or injunctive action, or criminal prosecution.</w:t>
      </w:r>
    </w:p>
    <w:p>
      <w:pPr>
        <w:spacing w:after="0" w:line="118"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In some cases, our customers or collaborators may use our RUO products in their own laboratory-developed tests, or LDTs, or in other FDA-regulated products for clinical diagnostic use. The FDA has historically exercised enforcement discretion in not enforcing the medical device regulations against LDTs. However, the FDA could assert jurisdiction over some or all LDTs, which may impact our customers’ uses of our products or the sale of our products for LDT uses. A significant change in the way that the FDA regulates our products or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LDTs that our customers develop may require us to change our business model in order to maintain compliance with these laws. The FDA held a meeting in July 2010, during which it indicated that it intends to reconsider its policy of enforcement discretion and to begin drafting a new oversight framework for LDTs.</w:t>
      </w:r>
    </w:p>
    <w:p>
      <w:pPr>
        <w:spacing w:after="0" w:line="8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our products become subject to regulation as a medical device, we would become subject to additional FDA requirements, and we could be subject to unannounced inspections by the FDA and other governmental authorities, which could increase our costs of doing business. Specifically, manufacturers of medical devices must comply with various requirements of the FFDCA and its implementing regulations, including:</w:t>
      </w:r>
    </w:p>
    <w:p>
      <w:pPr>
        <w:spacing w:after="0" w:line="26" w:lineRule="exact"/>
        <w:rPr>
          <w:sz w:val="20"/>
          <w:szCs w:val="20"/>
          <w:color w:val="auto"/>
        </w:rPr>
      </w:pPr>
    </w:p>
    <w:p>
      <w:pPr>
        <w:ind w:left="900" w:right="5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Quality System Regulation, which covers the methods and documentation of the design, testing, control, manufacturing, labeling, quality assurance, packaging, storage, and shipping of our product;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medical device reporting, or MDR,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correction and removal regulations;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post-market surveillance regulations, which include restrictions on marketing and promotion.</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would need to continue to invest significant time and other resources to ensure ongoing compliance with FDA quality system regulations and other post-market regulatory requirements.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failure to comply with applicable FDA regulatory requirements, or our failure to timely and adequately respond to inspectional observations, could result in enforcement action by the FDA, which may include the following sanctions:</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recall or seizure 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clearance or approval, or failure to obtain approval or clearance of future product candidates or product modifications;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labeling and promotion;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publicity, warning letters, fines, or injunctions;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withdrawal of previously granted clearances or approvals;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International sales of medical devices are subject to foreign government regulations, which vary substantially from country to country. The primary regulatory environment in Europe is that of the European Union, or EU, which includes most of the major countries in Europe. Currently, 27 countries make up the EU. Other countries, such as Switzerland, have voluntarily adopted laws and regulations that mirror those of the EU with respect to medical devices. The EU has adopted numerous directives and standards regulating the design, manufacture, clinical trials, labeling, and adverse event reporting for medical devices. Devices that comply with the requirements of a relevant directive will be entitled to bear the CE conformity marking, indicating that the device conforms to the essential requirements of the applicable directives and, accordingly, can be commercially distributed throughout Europe. 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 Additionally, we understand that RUO products, such as ours, are not currently subject to regulation as medical devices in the EU or by agencies comparable to the FDA in other countries.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Environmental Matters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lease approximately 30,000 square feet of office and laboratory space at our headquarters in South San Francisco, California under a lease that expires in April 2015, and approximately 8,000 square feet of additional</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office space in South San Francisco, California under a lease that expires in September 2013. We also lease approximately 28,000 square feet of manufacturing and office space at our facility in Singapore under leases with varying expiration dates through October 2014; office space in Paris, France under a lease that expires in April 2015; office space in Tokyo, Japan under a lease that expires in November 2013; office space in Osaka, Japan under a lease that expires in September 2014; and office space in Shanghai, China under a lease that expires in March 2016. We believe that our existing office, laboratory and manufacturing space, together with additional space and facilities available on commercially reasonable terms, will be sufficient to meet our needs through 2013.</w:t>
      </w:r>
    </w:p>
    <w:p>
      <w:pPr>
        <w:spacing w:after="0" w:line="10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During the last three years, a majority of our revenue was generated within North America and Europe and a majority of our long-lived assets are located within the United States and Singapore. Product revenue received from customers outside the United States totaled $24.2 million, or 47% of our total product revenue, in 2012, compared to $18.9 million, or 47% of our total product revenue, in 2011, and $13.8 million, or 45% of our total product revenue, in 2010. Please see Note 14 of the notes to our audited consolidated financial statements for additional information for geographic areas.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2009, 2010, and 2011, our product revenue was higher in the fourth quarter of the year than in the first quarter of the next year reflecting numerous factors, including, among others, seasonal variations in customer operations and customer budget and capital spending cycles.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December 31, 2012, we had 278 employees, of which 58 work in research and development, 52 work in general and administrative, 86 work in manufacturing, and 82 work in sales, sales and technical support, and marketing. None of our employees are represented by a labor union or are the subject of a collective bargaining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Our website address is www.fluidigm.com. We make available on our website, free of charge, our Annual Report on Form 10-K, Quarterly Reports on Form 10-Q, Current Reports on Form 8-K, and any amendments to those reports, as soon as reasonably practicable after we electronically file such material with, or furnish it to, the Securities and Exchange Commission, or SEC. Our SEC reports can be accessed through the investor relations page of our website located at http://investors.fluidigm.com/sec.cfm. Additionally, a copy of this Annual Report on Form 10-K is located at the SEC’s Public Reference Room at 100 F Street, NE, Washington, D.C. 20549. Information on the operation of the Public Reference Room can be obtained by calling the SEC at 1-800-SEC-0330.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page of our website. Corporate governance information, including our board committee charters, code of ethics, and corporate governance principles, is also available on our investor relations page of our website located at http://investors.fluidigm.com/governance.cfm. The contents of our website are not incorporated by reference into this Annual Report on Form 10-K or in any other report or document we file with the SEC, and any references to our website are intended to be inactive textual references only.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names, ages (as of February 28, 2013) and positions of our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62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294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2380" w:type="dxa"/>
            <w:vAlign w:val="bottom"/>
          </w:tcPr>
          <w:p>
            <w:pPr>
              <w:spacing w:after="0"/>
              <w:rPr>
                <w:sz w:val="15"/>
                <w:szCs w:val="15"/>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w w:val="76"/>
              </w:rPr>
              <w:t>Gajus</w:t>
            </w:r>
          </w:p>
        </w:tc>
        <w:tc>
          <w:tcPr>
            <w:tcW w:w="4620" w:type="dxa"/>
            <w:vAlign w:val="bottom"/>
          </w:tcPr>
          <w:p>
            <w:pPr>
              <w:ind w:left="80"/>
              <w:spacing w:after="0" w:line="188" w:lineRule="exact"/>
              <w:rPr>
                <w:sz w:val="20"/>
                <w:szCs w:val="20"/>
                <w:color w:val="auto"/>
              </w:rPr>
            </w:pPr>
            <w:r>
              <w:rPr>
                <w:rFonts w:ascii="Arial" w:cs="Arial" w:eastAsia="Arial" w:hAnsi="Arial"/>
                <w:sz w:val="18"/>
                <w:szCs w:val="18"/>
                <w:color w:val="auto"/>
              </w:rPr>
              <w:t>V. Worthington</w:t>
            </w:r>
          </w:p>
        </w:tc>
        <w:tc>
          <w:tcPr>
            <w:tcW w:w="280" w:type="dxa"/>
            <w:vAlign w:val="bottom"/>
          </w:tcPr>
          <w:p>
            <w:pPr>
              <w:jc w:val="right"/>
              <w:ind w:right="15"/>
              <w:spacing w:after="0" w:line="195" w:lineRule="exact"/>
              <w:rPr>
                <w:sz w:val="20"/>
                <w:szCs w:val="20"/>
                <w:color w:val="auto"/>
              </w:rPr>
            </w:pPr>
            <w:r>
              <w:rPr>
                <w:rFonts w:ascii="Arial" w:cs="Arial" w:eastAsia="Arial" w:hAnsi="Arial"/>
                <w:sz w:val="18"/>
                <w:szCs w:val="18"/>
                <w:color w:val="auto"/>
                <w:w w:val="79"/>
              </w:rPr>
              <w:t>43</w:t>
            </w:r>
          </w:p>
        </w:tc>
        <w:tc>
          <w:tcPr>
            <w:tcW w:w="5800" w:type="dxa"/>
            <w:vAlign w:val="bottom"/>
            <w:gridSpan w:val="3"/>
          </w:tcPr>
          <w:p>
            <w:pPr>
              <w:ind w:left="220"/>
              <w:spacing w:after="0" w:line="195"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280" w:type="dxa"/>
            <w:vAlign w:val="bottom"/>
          </w:tcPr>
          <w:p>
            <w:pPr>
              <w:jc w:val="right"/>
              <w:ind w:right="15"/>
              <w:spacing w:after="0"/>
              <w:rPr>
                <w:sz w:val="20"/>
                <w:szCs w:val="20"/>
                <w:color w:val="auto"/>
              </w:rPr>
            </w:pPr>
            <w:r>
              <w:rPr>
                <w:rFonts w:ascii="Arial" w:cs="Arial" w:eastAsia="Arial" w:hAnsi="Arial"/>
                <w:sz w:val="18"/>
                <w:szCs w:val="18"/>
                <w:color w:val="auto"/>
                <w:w w:val="79"/>
              </w:rPr>
              <w:t>56</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Robert C. Jones</w:t>
            </w:r>
          </w:p>
        </w:tc>
        <w:tc>
          <w:tcPr>
            <w:tcW w:w="280" w:type="dxa"/>
            <w:vAlign w:val="bottom"/>
          </w:tcPr>
          <w:p>
            <w:pPr>
              <w:jc w:val="right"/>
              <w:ind w:right="15"/>
              <w:spacing w:after="0"/>
              <w:rPr>
                <w:sz w:val="20"/>
                <w:szCs w:val="20"/>
                <w:color w:val="auto"/>
              </w:rPr>
            </w:pPr>
            <w:r>
              <w:rPr>
                <w:rFonts w:ascii="Arial" w:cs="Arial" w:eastAsia="Arial" w:hAnsi="Arial"/>
                <w:sz w:val="18"/>
                <w:szCs w:val="18"/>
                <w:color w:val="auto"/>
                <w:w w:val="79"/>
              </w:rPr>
              <w:t>58</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Research and Development</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William M. Smith</w:t>
            </w:r>
          </w:p>
        </w:tc>
        <w:tc>
          <w:tcPr>
            <w:tcW w:w="280" w:type="dxa"/>
            <w:vAlign w:val="bottom"/>
          </w:tcPr>
          <w:p>
            <w:pPr>
              <w:jc w:val="right"/>
              <w:ind w:right="15"/>
              <w:spacing w:after="0"/>
              <w:rPr>
                <w:sz w:val="20"/>
                <w:szCs w:val="20"/>
                <w:color w:val="auto"/>
              </w:rPr>
            </w:pPr>
            <w:r>
              <w:rPr>
                <w:rFonts w:ascii="Arial" w:cs="Arial" w:eastAsia="Arial" w:hAnsi="Arial"/>
                <w:sz w:val="18"/>
                <w:szCs w:val="18"/>
                <w:color w:val="auto"/>
                <w:w w:val="79"/>
              </w:rPr>
              <w:t>61</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w w:val="96"/>
              </w:rPr>
              <w:t>Executive Vice President, Legal Affairs, General Counsel, and Secretary</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280" w:type="dxa"/>
            <w:vAlign w:val="bottom"/>
          </w:tcPr>
          <w:p>
            <w:pPr>
              <w:jc w:val="right"/>
              <w:ind w:right="15"/>
              <w:spacing w:after="0"/>
              <w:rPr>
                <w:sz w:val="20"/>
                <w:szCs w:val="20"/>
                <w:color w:val="auto"/>
              </w:rPr>
            </w:pPr>
            <w:r>
              <w:rPr>
                <w:rFonts w:ascii="Arial" w:cs="Arial" w:eastAsia="Arial" w:hAnsi="Arial"/>
                <w:sz w:val="18"/>
                <w:szCs w:val="18"/>
                <w:color w:val="auto"/>
                <w:w w:val="79"/>
              </w:rPr>
              <w:t>55</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Chief Operating Officer</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Mai Chan (Grace) Yow</w:t>
            </w:r>
          </w:p>
        </w:tc>
        <w:tc>
          <w:tcPr>
            <w:tcW w:w="280" w:type="dxa"/>
            <w:vAlign w:val="bottom"/>
          </w:tcPr>
          <w:p>
            <w:pPr>
              <w:jc w:val="right"/>
              <w:ind w:right="15"/>
              <w:spacing w:after="0"/>
              <w:rPr>
                <w:sz w:val="20"/>
                <w:szCs w:val="20"/>
                <w:color w:val="auto"/>
              </w:rPr>
            </w:pPr>
            <w:r>
              <w:rPr>
                <w:rFonts w:ascii="Arial" w:cs="Arial" w:eastAsia="Arial" w:hAnsi="Arial"/>
                <w:sz w:val="18"/>
                <w:szCs w:val="18"/>
                <w:color w:val="auto"/>
                <w:w w:val="79"/>
              </w:rPr>
              <w:t>54</w:t>
            </w: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w w:val="89"/>
              </w:rPr>
              <w:t>Executive Vice President, Worldwide Manufacturing and Managing Director of</w:t>
            </w:r>
          </w:p>
        </w:tc>
      </w:tr>
      <w:tr>
        <w:trPr>
          <w:trHeight w:val="222"/>
        </w:trPr>
        <w:tc>
          <w:tcPr>
            <w:tcW w:w="3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0" w:type="dxa"/>
            <w:vAlign w:val="bottom"/>
            <w:gridSpan w:val="3"/>
          </w:tcPr>
          <w:p>
            <w:pPr>
              <w:ind w:left="220"/>
              <w:spacing w:after="0"/>
              <w:rPr>
                <w:sz w:val="20"/>
                <w:szCs w:val="20"/>
                <w:color w:val="auto"/>
              </w:rPr>
            </w:pPr>
            <w:r>
              <w:rPr>
                <w:rFonts w:ascii="Arial" w:cs="Arial" w:eastAsia="Arial" w:hAnsi="Arial"/>
                <w:sz w:val="18"/>
                <w:szCs w:val="18"/>
                <w:color w:val="auto"/>
              </w:rPr>
              <w:t>Fluidigm Singapore Pte. Ltd.</w:t>
            </w:r>
          </w:p>
        </w:tc>
      </w:tr>
    </w:tbl>
    <w:p>
      <w:pPr>
        <w:spacing w:after="0" w:line="15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Gajus V. Worthington </w:t>
      </w:r>
      <w:r>
        <w:rPr>
          <w:rFonts w:ascii="Arial" w:cs="Arial" w:eastAsia="Arial" w:hAnsi="Arial"/>
          <w:sz w:val="16"/>
          <w:szCs w:val="16"/>
          <w:color w:val="auto"/>
        </w:rPr>
        <w:t>is a co-founder of Fluidigm and has served as our President, Chief Executive Officer and a director since our inception in June 1999.</w:t>
      </w:r>
      <w:r>
        <w:rPr>
          <w:rFonts w:ascii="Arial" w:cs="Arial" w:eastAsia="Arial" w:hAnsi="Arial"/>
          <w:sz w:val="16"/>
          <w:szCs w:val="16"/>
          <w:i w:val="1"/>
          <w:iCs w:val="1"/>
          <w:color w:val="auto"/>
        </w:rPr>
        <w:t xml:space="preserve"> </w:t>
      </w:r>
      <w:r>
        <w:rPr>
          <w:rFonts w:ascii="Arial" w:cs="Arial" w:eastAsia="Arial" w:hAnsi="Arial"/>
          <w:sz w:val="16"/>
          <w:szCs w:val="16"/>
          <w:color w:val="auto"/>
        </w:rPr>
        <w:t>From May 1994 to April 1999, Mr. Worthington held various staff and management positions at Actel Corporation, a public semiconductor corporation that was sold to Microsemi Corporation in 2010. Mr. Worthington received a B.S. in Physics and an M.S. in Electrical Engineering from Stanford University.</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Vikram Jog </w:t>
      </w:r>
      <w:r>
        <w:rPr>
          <w:rFonts w:ascii="Arial" w:cs="Arial" w:eastAsia="Arial" w:hAnsi="Arial"/>
          <w:sz w:val="16"/>
          <w:szCs w:val="16"/>
          <w:color w:val="auto"/>
        </w:rPr>
        <w:t>has served as our Chief Financial Officer since February 2008. From April 2005 to February 2008, Mr. Jog served as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for XDx, Inc., a molecular diagnostics company. From March 2003 to April 2005, Mr. Jog was a Vice President of Applera Corporation, a life science company that is now part of Life Technologies, Inc.,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Robert C. Jones </w:t>
      </w:r>
      <w:r>
        <w:rPr>
          <w:rFonts w:ascii="Arial" w:cs="Arial" w:eastAsia="Arial" w:hAnsi="Arial"/>
          <w:sz w:val="16"/>
          <w:szCs w:val="16"/>
          <w:color w:val="auto"/>
        </w:rPr>
        <w:t>has served as our Executive Vice President, Research and Development since August 2005. From August 1984 to July 2005, Mr. Jones</w:t>
      </w:r>
      <w:r>
        <w:rPr>
          <w:rFonts w:ascii="Arial" w:cs="Arial" w:eastAsia="Arial" w:hAnsi="Arial"/>
          <w:sz w:val="16"/>
          <w:szCs w:val="16"/>
          <w:i w:val="1"/>
          <w:iCs w:val="1"/>
          <w:color w:val="auto"/>
        </w:rPr>
        <w:t xml:space="preserve"> </w:t>
      </w:r>
      <w:r>
        <w:rPr>
          <w:rFonts w:ascii="Arial" w:cs="Arial" w:eastAsia="Arial" w:hAnsi="Arial"/>
          <w:sz w:val="16"/>
          <w:szCs w:val="16"/>
          <w:color w:val="auto"/>
        </w:rPr>
        <w:t>held various managerial and research and development positions at Applied Biosystems, a laboratory equipment and supplies manufacturer that was a division of Applera Corporation, including: Senior Vice President Research and Development from April 2001 to August 2005; Vice President and General Manager Informatics Division from 1998 to 2001; and Vice President PCR Business Unit from 1994 to 1998. Mr. Jones received a BSEE in Electrical Engineering and an MSEE in Computer Engineering from the University of Washington.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William M. Smith </w:t>
      </w:r>
      <w:r>
        <w:rPr>
          <w:rFonts w:ascii="Arial" w:cs="Arial" w:eastAsia="Arial" w:hAnsi="Arial"/>
          <w:sz w:val="16"/>
          <w:szCs w:val="16"/>
          <w:color w:val="auto"/>
        </w:rPr>
        <w:t>has served as our Executive Vice President, Legal Affairs since February 2012, and as General Counsel and our Secretary since May</w:t>
      </w:r>
    </w:p>
    <w:p>
      <w:pPr>
        <w:spacing w:after="0" w:line="38"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2000. From May 2000 to February 2012, Mr. Smith served as our Vice President, Legal Affairs and served as a director from May 2000 to April 2008. Mr. Smith served as an associate and then as a partner at the law firm of Townsend and Townsend and Crew, LLP from 1985 through April 2008. Mr. Smith received a J.D. and an M.P.A. from the University of Southern California and a B.A. in Biology from the University of California, San Diego.</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 xml:space="preserve">Fredric Walder </w:t>
      </w:r>
      <w:r>
        <w:rPr>
          <w:rFonts w:ascii="Arial" w:cs="Arial" w:eastAsia="Arial" w:hAnsi="Arial"/>
          <w:sz w:val="16"/>
          <w:szCs w:val="16"/>
          <w:color w:val="auto"/>
        </w:rPr>
        <w:t>has served as our Chief Operating Officer since December 2012. From May 2010 to December 2012, Mr. Walder served as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Officer. From August 1992 to April 2010, he served in various senior executive positions at Thermo Fisher Scientific, a laboratory equipment and supplies manufacturer, including as Senior Vice President, Customer Excellence from November 2006 to April 2010, and Division President, Thermo Electron Corporation from January 2000 to November 2006. Mr. Walder holds a B.S. in Chemistry from the University of Massachusetts.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Mai Chan (Grace) Yow </w:t>
      </w:r>
      <w:r>
        <w:rPr>
          <w:rFonts w:ascii="Arial" w:cs="Arial" w:eastAsia="Arial" w:hAnsi="Arial"/>
          <w:sz w:val="16"/>
          <w:szCs w:val="16"/>
          <w:color w:val="auto"/>
        </w:rPr>
        <w:t>has served as Executive Vice President, Worldwide Manufacturing of Fluidigm Singapore Pte. Ltd., our Singapore subsidiary, since</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2012, and as Managing Director of Fluidigm Singapore Pte. Ltd. since March 2006. Ms. Yow served as Vice President, Worldwide Manufacturing, from March 2006 to February 2012. From June 2005 to March 2006, 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10-K. If any of the risks or uncertainties we face were to occur, the trading price of our securities could decline, and you may lose all or part of your investment.</w:t>
      </w:r>
    </w:p>
    <w:p>
      <w:pPr>
        <w:spacing w:after="0" w:line="21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Emerging market opportunities may not develop as quickly as we expect, limiting our ability to successfully market and sell our products, or our product development and strategic plans relating to such markets may change and our entry into these emerging markets may be delayed, if it occurs at all.</w:t>
      </w:r>
    </w:p>
    <w:p>
      <w:pPr>
        <w:spacing w:after="0" w:line="57"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color w:val="auto"/>
        </w:rPr>
        <w:t>The application of our technologies to single-cell genomics, digital polymerase chain reaction, or digital PCR, and sample preparation for next-generation DNA sequencing are emerging market opportunities. We believe these opportunities will take several years to develop or mature and we cannot be certain that these market opportunities will develop as we expect. For example, we launched our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Single-Cell Auto Prep system in June 2012, which applies our technology to, among other things, improve single-cell analytic workflow for single-cell genomics. The future growth of the single-cell genomics market and the success of our new system depend on many factors beyond our control, including recognition and acceptance by the scientific community, and the growth, prevalence, and costs of competing methods of genetic analysis. If the market for single-cell genomics, digital PCR, and sample preparation for next-generation DNA sequencing do not develop as we expect, our business may be adversely affected. Additionally, our success in these emerging markets may depend to a large extent on our ability to successfully market and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emerging markets.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may vary significantly from quarter-to-quarter due to a number of factors, which may lead to volatility in our stock price.</w:t>
      </w:r>
    </w:p>
    <w:p>
      <w:pPr>
        <w:spacing w:after="0" w:line="119"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quarter-to-quarter. For example, in 2009, 2010, and 2011, we experienced higher sales in the fourth quarter than in the first quarter of the next fiscal year. In addition, revenue from sales of our instruments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relative to sales of our consumables may fluctuate or deviate significantly from expectations. The variability in our quarterly results of operations, including revenue from sales of our instruments relative to our consumables, may lead to volatility in our stock price as research analysts and investors respond to these quarterly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quarter-to-quarter financial results could be significantly impacted.</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foregoing factors,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We expect that our sales will continue to fluctuate on a quarterly basis and that our financial results for some periods may be below those projected by securities analysts, which could significantly decrease the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$19.0 million, $22.5 million, and $16.9 million during the years 2012, 2011, and 2010, respectively. As of December 31, 2012, we had an accumulated deficit of $240.8 million. These losses have resulted principally from costs incurred in our research and development programs, and from our manufacturing costs and selling, general, and administrative expenses. We may continue to incur substantial operating and net losses and negative cash flow from operations. We expect that our selling, general, and administrative expenses will continue to increase due to the additional operational and reporting costs associated with being a public company. We anticipate that our business will generate operating losses until we successfully implement our commercial development strategy and generate significant additional revenue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95"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4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microfluidic systems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96"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Compared to some competing technologies, our microfluidic technology is relatively new, and most potential customers have limited knowledge of, or experience with, our products. Prior to adopting our microfluidic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customer base is primarily composed of academic institutions, clinical laboratories, and pharmaceutical, biotechnology and agricultural biotechnology, or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14"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life science research and Ag-Bio markets are highly competitive and subject to rapid technological change, and we may not be able to successfully compete.</w:t>
      </w:r>
    </w:p>
    <w:p>
      <w:pPr>
        <w:spacing w:after="0" w:line="4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targeted single-cell gene expression analysis, genotyping, PCR, digital PCR, other nucleic acid detection,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Bio-Rad Laboratories, Inc., Illumina, Inc., Life Technologies Corporation, LGC Limited, Luminex Corporation, NanoString Technologies, Inc., PerkinElmer, Inc. (through its acquisition of Caliper Life Sciences, Inc.), RainDance Technologies, Inc., Roche Applied Science (a division of Roche Diagnostics Corporation), Sequenom, Inc., and WaferGen Bio-systems, Inc. have products that compete in certain segments of the market in which we sell our products. In addition, a number of other companies and academic groups are in the process of developing novel technologies for life science markets.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Additionally, we may be faced with false advertising, unfair competition, or unlawful trade practices from our competitors. For example, on November 6, 2012, we filed a complaint in federal district court in the Northern District of California against NanoString Technologies, Inc., or NanoString, alleging claims of false advertising, unfair competition, and unlawful trade practice in violation of the Lanham Act and corresponding sections of the California Business &amp; Professions Code. Prosecuting the lawsuit may be costly and can impose a significant burden on management and employees, and there can be no assurances that a favorable outcome will be obtained in the litigation. Such competitive pressures could cause harm to our business, operating results and financial condition. Our failure to compete effectively could materially and adversely affect our business, financial condition and results of operations.</w:t>
      </w:r>
    </w:p>
    <w:p>
      <w:pPr>
        <w:spacing w:after="0" w:line="202" w:lineRule="exact"/>
        <w:rPr>
          <w:sz w:val="20"/>
          <w:szCs w:val="20"/>
          <w:color w:val="auto"/>
        </w:rPr>
      </w:pPr>
    </w:p>
    <w:p>
      <w:pPr>
        <w:ind w:right="160"/>
        <w:spacing w:after="0" w:line="361" w:lineRule="auto"/>
        <w:rPr>
          <w:sz w:val="20"/>
          <w:szCs w:val="20"/>
          <w:color w:val="auto"/>
        </w:rPr>
      </w:pPr>
      <w:r>
        <w:rPr>
          <w:rFonts w:ascii="Arial" w:cs="Arial" w:eastAsia="Arial" w:hAnsi="Arial"/>
          <w:sz w:val="15"/>
          <w:szCs w:val="15"/>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ind w:right="40" w:firstLine="456"/>
        <w:spacing w:after="0" w:line="287" w:lineRule="auto"/>
        <w:rPr>
          <w:sz w:val="20"/>
          <w:szCs w:val="20"/>
          <w:color w:val="auto"/>
        </w:rPr>
      </w:pPr>
      <w:r>
        <w:rPr>
          <w:rFonts w:ascii="Arial" w:cs="Arial" w:eastAsia="Arial" w:hAnsi="Arial"/>
          <w:sz w:val="16"/>
          <w:szCs w:val="16"/>
          <w:color w:val="auto"/>
        </w:rPr>
        <w:t>We expect that our revenue in the foreseeable future will be derived primarily from sales of our microfluidic systems and IFCs to academic institutions, clinical laboratories,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the federal government budget sequestration,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microfluidic systems and IFCs. These reductions and delays may result from factors that are not within our control, such as:</w:t>
      </w:r>
    </w:p>
    <w:p>
      <w:pPr>
        <w:spacing w:after="0" w:line="4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207" w:lineRule="exact"/>
        <w:rPr>
          <w:sz w:val="20"/>
          <w:szCs w:val="20"/>
          <w:color w:val="auto"/>
        </w:rPr>
      </w:pPr>
    </w:p>
    <w:p>
      <w:pPr>
        <w:ind w:right="140"/>
        <w:spacing w:after="0" w:line="361" w:lineRule="auto"/>
        <w:rPr>
          <w:sz w:val="20"/>
          <w:szCs w:val="20"/>
          <w:color w:val="auto"/>
        </w:rPr>
      </w:pPr>
      <w:r>
        <w:rPr>
          <w:rFonts w:ascii="Arial" w:cs="Arial" w:eastAsia="Arial" w:hAnsi="Arial"/>
          <w:sz w:val="15"/>
          <w:szCs w:val="15"/>
          <w:b w:val="1"/>
          <w:bCs w:val="1"/>
          <w:color w:val="auto"/>
        </w:rPr>
        <w:t>We may not be able to develop new products or enhance the capabilities of our existing microfluidic systems to keep pace with rapidly changing technology and customer requirements, which could have a material adverse effect on our business, revenue, financial condition, and operating results.</w:t>
      </w:r>
    </w:p>
    <w:p>
      <w:pPr>
        <w:ind w:firstLine="456"/>
        <w:spacing w:after="0" w:line="285"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single-cell genomics, gene expression analysis, genotyping, and digital PCR,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20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one or more of our manufacturing facilities become unavailable or inoperable, we will be unable to continue manufacturing our instruments, IFCs, and/or assays and, as a result, our business will be harmed until we are able to secure a new facility.</w:t>
      </w:r>
    </w:p>
    <w:p>
      <w:pPr>
        <w:spacing w:after="0" w:line="4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manufacture and assemble all of our instruments and IFCs for commercial sale at our facility in Singapore and our assays for commercial sale at our headquarters in South San Francisco, California. No other manufacturing or assembly facilities are currently available to us, particularly facilities of the size and scope required by our Singapore operations. Our facilities and the equipment we use to manufacture our instruments, IFCs, and assays would be costly to replace and could require substantial lead time to repair or replace. Our facilities may be harmed or rendered inoperable by natural or man-made disasters, which may render it difficult or impossible for us to manufacture our products for some period of time.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current leases for our manufacturing facility in Singapore expire at various times through October 2014 and our current lease for office and laboratory space at our headquarters in South San Francisco expires in April 2015. If we are unable to secure new leases upon the expiration of our current leases or if either of our facilities becomes otherwise unavailable to us, and we are required to move our operations to a new manufacturing facility, we will incur significant expense in connection with the establishment of a new facility. A move would be administratively and logistically challenging and would delay and otherwise adversely affect our manufacturing activities and business operations. We cannot provide assurances that we will be able to secure new leases on our existing manufacturing facilities or a new manufacturing facility on acceptable terms, if at all.</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are dependent on single source suppliers for some of the components and materials used in our products, and the loss of any of these suppliers could harm our business.</w:t>
      </w:r>
    </w:p>
    <w:p>
      <w:pPr>
        <w:spacing w:after="0" w:line="4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rely on single source suppliers for certain components and materials used in our products. We do not have long term contracts with our suppliers of these components and materials. The loss of the single source suppliers of any of the following components and/or materials would require significant time and effort to locate and qualify an alternative source of supply:</w:t>
      </w:r>
    </w:p>
    <w:p>
      <w:pPr>
        <w:spacing w:after="0" w:line="59" w:lineRule="exact"/>
        <w:rPr>
          <w:sz w:val="20"/>
          <w:szCs w:val="20"/>
          <w:color w:val="auto"/>
        </w:rPr>
      </w:pPr>
    </w:p>
    <w:p>
      <w:pPr>
        <w:ind w:left="900" w:right="8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IFCs used in our microfluidic systems are fabricated using a specialized polymer that is available from a limited number of sources. In the past, we have encountered quality issues that have reduced our manufacturing yield or required the use of additional manufacturing processes.</w:t>
      </w:r>
    </w:p>
    <w:p>
      <w:pPr>
        <w:spacing w:after="0" w:line="4" w:lineRule="exact"/>
        <w:rPr>
          <w:rFonts w:ascii="Arial" w:cs="Arial" w:eastAsia="Arial" w:hAnsi="Arial"/>
          <w:sz w:val="16"/>
          <w:szCs w:val="16"/>
          <w:color w:val="auto"/>
        </w:rPr>
      </w:pPr>
    </w:p>
    <w:p>
      <w:pPr>
        <w:ind w:left="900" w:right="340" w:hanging="325"/>
        <w:spacing w:after="0" w:line="260"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reader for our BioMark system requires specialized custom camera lenses, fiber light guides and other components that are available from a limited number of sources.</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Specialized pneumatic and electronic components for our C</w:t>
      </w:r>
      <w:r>
        <w:rPr>
          <w:rFonts w:ascii="Arial" w:cs="Arial" w:eastAsia="Arial" w:hAnsi="Arial"/>
          <w:sz w:val="21"/>
          <w:szCs w:val="21"/>
          <w:color w:val="auto"/>
          <w:vertAlign w:val="subscript"/>
        </w:rPr>
        <w:t>1</w:t>
      </w:r>
      <w:r>
        <w:rPr>
          <w:rFonts w:ascii="Arial" w:cs="Arial" w:eastAsia="Arial" w:hAnsi="Arial"/>
          <w:sz w:val="17"/>
          <w:szCs w:val="17"/>
          <w:color w:val="auto"/>
        </w:rPr>
        <w:t xml:space="preserve"> Single-Cell Auto Prep system are available from a limited number of sources.</w:t>
      </w:r>
    </w:p>
    <w:p>
      <w:pPr>
        <w:spacing w:after="0" w:line="118" w:lineRule="exact"/>
        <w:rPr>
          <w:rFonts w:ascii="Arial" w:cs="Arial" w:eastAsia="Arial" w:hAnsi="Arial"/>
          <w:sz w:val="17"/>
          <w:szCs w:val="17"/>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raw materials for our DELTAgene and SNPtype assays and Access Array Target-Specific primers.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reliance on these suppliers also subjects us to other risks that could harm our business, including the following:</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increased component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obtain adequate supply in a timely manner or on commercially reasonable terms;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suppliers may make errors in manufacturing components that could negatively affect the efficacy of our products or cause delays in shipment of our products; and</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growth of our revenue or increase our losses.</w:t>
      </w:r>
    </w:p>
    <w:p>
      <w:pPr>
        <w:spacing w:after="0" w:line="11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In addition,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If we are unable to keep up with demand for our products by successfully manufacturing and shipping our products in a timely manner, our revenue could be impaired, market acceptance for our products could be adversely affected and our customers might instead purchase our competitors’ products.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All of our instruments and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8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products could become subject to regulation as medical devices by the U.S. Food and Drug Administration, or FDA, or other regulatory agencies in the future.</w:t>
      </w:r>
    </w:p>
    <w:p>
      <w:pPr>
        <w:spacing w:after="0" w:line="4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Our products are currently labeled and sold to academic institutions, life sciences laboratories, and pharmaceutical, biotechnology, and Ag-Bio companies for research purposes only, and not as diagnostic tests or medical devices. As products labeled for research use only, and used by our customers for research purposes only, they are subject only to limited regulation as medical devices by the FDA under 21 Code of Federal Regulations Section 809.10(c) with respect to their labeling. Research use only products are not currently subject to regulation as medical devices by comparable agencies of other countries. However, if we change the labeling of our products in the future to include indications for human diagnostic applications or medical uses, or we have knowledge that our customers are using our products for diagnostic purposes, our products or related applications could be subject to additional regulation as in vitro diagnostic devices, such as under the FDA’s pre- and post-market regulations for medical devices. For example, if we wish to label and market our products for use in performing clinical diagnostics, we would first need to obtain FDA pre-market clearance or approval (depending on any product’s specific intended use and any such modified labeling claims), unless otherwise exempt from clearance or approval requirements. Obtaining FDA clearance or approval can be expensive and uncertain, and generally takes several months to years to obtain, and may require detailed and comprehensive scientific and clinical data. Notwithstanding the expense, these efforts may never result in FDA clearance or approval. Even if we were to obtain regulatory approval or clearance, it may not be for the uses we believe are important or commercially attractive.</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Further, the FDA may expand its jurisdiction over our products or the products of our customers, which could impose restrictions on our ability to market and sell our products. For example, our customers may elect to use our research use only labeled products in their own laboratory developed tests, or LDTs, for clinical diagnostic use. The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any LDTs that our customers develop may require us to change our business model in order to maintain compliance with these laws. The FDA held a meeting in July 2010, during which it indicated that it intends to reconsider its policy of enforcement discretion and to begin drafting a new oversight framework for LDTs. Additionally, in June 2011 the FDA issued a draft guidance document intended to clarify the types of in vitro diagnostic products that are properly labeled “for research use only.” The draft guidance states that merely including a labeling statement that the product is for research purposes only will not necessarily render the device exempt from the FDA’s clearance, approval, or other requirements if the circumstances surrounding the distribution of the product indicate that the manufacturer knows its product is, or intends for its product to be, offered for clinical diagnostic uses. These circumstances may include written or verbal marketing claims regarding a product’s performance in clinical applications and a manufacturer’s provision of technical support for clinical applications. If the FDA imposes significant changes to the regulation of LDTs, or modifies its approach to our products labeled for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research use only, but which may be used by our customers for clinical use, it could reduce our revenue or increase our costs and adversely affect our business, prospects, results of operations or financial condition.</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be required to proactively achieve compliance with certain FDA regulations and to conform our manufacturing operations to the FDA’s good manufacturing practice regulations for medical devices, known as the Quality System Regulation, or QSR, as part of our contracts with customers or as part of our collaborations with third parties. In addition, we may voluntarily seek to conform our manufacturing operations to the QSR. For clinical diagnostic products that are regulated as medical devices, the FDA enforces the QSR through periodic unannounced inspections of registered manufacturing facilities. If we are required to comply with the QSR, the failure to take satisfactory corrective action in response to an adverse QSR inspection could result in enforcement actions, including a public warning letter, a shutdown of manufacturing operations, a product recall, civil or criminal penalties or other sanctions, which could in turn cause our sales and business to suffer.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recruit and retain key executives, scientists and technical support personnel, we may be unable to achieve our goals.</w:t>
      </w:r>
    </w:p>
    <w:p>
      <w:pPr>
        <w:spacing w:after="0" w:line="11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performance is substantially dependent on the performance of our senior management, particularly Gajus V. Worthington, our president and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future, we may make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6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uncertainty of entry into markets in which we have limited or no prior experience and in which competitors have stronger market positions;</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82"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4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global credit and financial markets have been experiencing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98"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2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During the years 2012, 2011, and 2010, approximately 47%, 47%, and 45%, respectively, of our product revenue was generated from sales to customers located outside of the United States. We believe that a significant percentage of our future revenue will come from international sources as we expand our overseas operations and develop opportunities in other international areas. Engaging in international business inherently involves a number of difficulties and risks, including:</w:t>
      </w:r>
    </w:p>
    <w:p>
      <w:pPr>
        <w:spacing w:after="0" w:line="6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3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In addition, 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it would become more costly in U.S. dollars for us to manufacture our products in Singapore.</w:t>
      </w:r>
    </w:p>
    <w:p>
      <w:pPr>
        <w:spacing w:after="0" w:line="9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9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our facilities located in Singapore and South San Francisco, California, are sufficient to meet our short-term manufacturing needs. The current leases for our facilities in Singapore expire at various times through October 2014 and our current lease for office and laboratory space at our headquarters in South San Francisco expires in April 2015. In order to meet long-term demand for our microfluidic systems, we believe that we will need to add to our existing manufacturing space in Singapore or move all of our manufacturing facilities to a new location in Singapore in 2014.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 We cannot provide assurances that we will be able to secure a lease on a new manufacturing facility on acceptable terms, if at all.</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215"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Our products could have unknown defects or errors, which may give rise to claims against us, adversely affect market adoption of our systems, and adversely affect our business, financial condition, and results of operations.</w:t>
      </w:r>
    </w:p>
    <w:p>
      <w:pPr>
        <w:spacing w:after="0" w:line="4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microfluidic systems utilize novel and complex technology applied on a nanoliter scale and such systems may develop or contain undetected defects or errors. We cannot assure you that material 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problems, defects, or errors will not arise, and as we increase the density and integration of our microfluidic systems, these risks may increase. We generally provide warranties that our microfluidic systems will meet performance expectations and will be free from defects. We also provide warranties relating to other parts of our microfluidic systems. The costs incurred in correcting any defects or errors may be substantial and could adversely affect our operating margins.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our products contain defects, we may experience:</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all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46"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To use our products, and our BioMark system in particular, customers typically need to purchase specialized reagents. Any interruption in the availability of these reagents for use in our products could limit our ability to market our products.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products, and our BioMark system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which represented 26% of our product revenue in 2012, involves real-time quantitative PCR, or qPCR. Leading suppliers of reagents for real-time qPCR reactions include Life Technologies Corporation and Roche Applied Science,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8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 have limited experience in marketing, selling, and distributing our products, and if we are unable to expand our direct sales and marketing force or distribution capabilities to adequately address our customers’ needs, our business may be adversely affected.</w:t>
      </w:r>
    </w:p>
    <w:p>
      <w:pPr>
        <w:spacing w:after="0" w:line="45"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color w:val="auto"/>
        </w:rPr>
        <w:t>We have limited experience in marketing, selling, and distributing our products. Our BioMark and EP1 systems for genomic analysis were introduced for commercial sale in 2006 and 2008, respectively. Our Access Array system for sample preparation was introduced for commercial sale in 2009, our BioMark HD system for genomic analysis was introduced for commercial sale in 2011, we began producing and selling assays for use with our IFCs in May 2011, and we launched our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Single-Cell Auto Prep system for single cell sample preparation for single-cell analysis in June 2012. 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3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218"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45"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 Our compliance with Section 404 will require that we incur substantial accounting expense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Market, or NASDAQ, the SEC or other regulatory authorities, which would require additional financial and management resources.</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4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Additionally, if we do not effectively implement the ERP system as planned or if the system does not operate as intended, it could adversely affect the effectiveness of our internal controls over financial reporting.</w:t>
      </w:r>
    </w:p>
    <w:p>
      <w:pPr>
        <w:spacing w:after="0" w:line="222"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existing cash and cash equivalents will be sufficient to meet our anticipated cash requirements for at least the next 18 months.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substantial additional capital for various purposes, including:</w:t>
      </w:r>
    </w:p>
    <w:p>
      <w:pPr>
        <w:spacing w:after="0" w:line="8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of defending, in litigation or otherwise, any claims that we infringe third-party patents or violate other intellectual property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general, under Section 382 of the Internal Revenue Code, a corporation that undergoes an “ownership change” is subject to limitations on its ability to utilize its pre-change net operating losses, or NOLs, to offset future taxable income. If we undergo ownership changes, our ability to utilize NOLs could be limited by Section 382 of the Internal Revenue Code. Future changes in our stock ownership, some of which are outside of our control, could result in an ownership change under Section 382 of the Internal Revenue Code.</w:t>
      </w:r>
    </w:p>
    <w:p>
      <w:pPr>
        <w:spacing w:after="0" w:line="218"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35"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20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5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Further, we could encounter delays in product introductions, or interruptions in product sales, as we develop alternative methods or products.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third parties may assert that we are employing their proprietary technology without authorization. For example, on June 4, 2008 we received a letter from Applied Biosystems, Inc., now Life Technologies Corporation, asserting that our BioMark system for gene expression analysis infringes upon U.S. Patent No. 6,814,934, or the ‘934 patent, and its foreign counterparts in Europe and Canada. In June 2011, we resolved this dispute by entering into a license agreement with Life Technologies Corporation which, among other matters, granted us a non-exclusive license to the ‘934 patent and its foreign counterparts.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91" w:lineRule="exact"/>
        <w:rPr>
          <w:sz w:val="20"/>
          <w:szCs w:val="20"/>
          <w:color w:val="auto"/>
        </w:rPr>
      </w:pPr>
    </w:p>
    <w:p>
      <w:pPr>
        <w:jc w:val="both"/>
        <w:ind w:right="60"/>
        <w:spacing w:after="0" w:line="275"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4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and multi-layer soft lithography technologies. In some cases, we do not control the prosecution, maintenance, or filing of the patents to which we hold licenses, or the enforcement of these patents against third parties.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rights to use the technology we license are subject to the negotiation and continuation of those licenses. Certain of our licenses contain provisions that allow the licensor to terminate the license upon specific</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84"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one of the licensors applied for a waiver of the domestic manufacturing requirement with respect to certain patents. In July 2009, the funding government agency granted the requested waiver of the domestic manufacturing requirement for a three-year period commencing in July 2009. In June 2012, the licensors requested a continued waiver of the domestic manufacturing requirement with respect to the relevant patents. If in the future it were to be determined that we are in violation of the domestic manufacturing requirement and additional waivers of such requirement were either not requested or not granted, then the U.S. government could exercise its march-in rights. In addition, these licenses contain provisions relating to compliance with this domestic manufacturing requirement. If it were determined that we are not in compliance with these provisions and such non-compliance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19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may be subject to damages resulting from claims that we or our employees have wrongfully used or disclosed alleged trade secrets of our employees’ former employers.</w:t>
      </w:r>
    </w:p>
    <w:p>
      <w:pPr>
        <w:spacing w:after="0" w:line="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Many of our employees were previously employed at universities or other life science or Ag-Bio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5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including affiliated stockholders, who hold substantial blocks of our stock. As of December 31, 2012, we had 25,115,380 shares of common stock outstanding, and stockholders holding at least 5% of our stock, individually or with affiliated persons or entities, collectively beneficially owned or controlled approximately 42%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5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conditions in the life science, Ag-Bio, and clinical research sectors;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 trading volume could decline.</w:t>
      </w:r>
    </w:p>
    <w:p>
      <w:pPr>
        <w:spacing w:after="0" w:line="4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8"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Our directors, executive officers, and large stockholders have substantial control over and could limit your ability to influence the outcome of key transactions, including changes of control.</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December 31, 2012, our current executive officers, directors, stockholders holding at least 5% of our outstanding stock, and their respective affiliates, collectively beneficially owned or controlled approximately 47% of the outstanding shares of our common stock. Accordingly, these executive officers, directors, large stockholders, and their respective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22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5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responsible for appointing the members of our management. In addition, because we are incorporated in Delaware, we are governed by the provisions of</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Section 203 of the Delaware General Corporation Law, which limits the ability of stockholders owning in excess of 15% of our outstanding voting stock to merge or combine with 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lease approximately 30,000 square feet of office and laboratory space at our headquarters in South San Francisco, California under a lease that expires in April 2015, and approximately 8,000 square feet of additional office space in South San Francisco, California under a lease that expires in September 2013. We also lease approximately 28,000 square feet of manufacturing and office space at our facility in Singapore under leases with varying expiration dates through October 2014; office space in Paris, France under a lease that expires in April 2015; office space in Tokyo, Japan under a lease that expires in November 2013; office space in Osaka, Japan under a lease that expires in September 2014; and office space in Shanghai, China under a lease that expires in March 2016. We believe that our existing office, laboratory and manufacturing space, together with additional space and facilities available on commercially reasonable terms, will be sufficient to meet our needs through 2013. In addition, we believe that our properties are in good condition and are adequate and suitable for their purposes.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November 6, 2012, we filed a complaint against NanoString Technologies, Inc., or NanoString, in the United States District Court in the Northern District of California (Civil Action No. 12-5712), alleging claims of false advertising, unfair competition, and unlawful trade practice in violation of the Lanham Act and corresponding sections of the California Business &amp; Professions Code. Our complaint seeks to enjoin NanoString from continuing to make or disseminate any of the false and misleading claims, misrepresenting and/or exaggerating the performance of its product in comparison with our BioMark system, to require NanoString to retract, remove, or correct the false and misleading advertising claims, and to recover damages and other relief for harm caused to us by NanoString. On January 4, 2013, NanoString answered the complaint, denying the allegations against it. The litigation is in the preliminary stages.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3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Our Common Stock; Dividends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stock began trading on the NASDAQ Global Market under the symbol “FLDM” on February 10, 2011. The following table sets forth the range of high and low closing sales prices of our common stock for the periods indicated:</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 2012</w:t>
            </w:r>
          </w:p>
        </w:tc>
        <w:tc>
          <w:tcPr>
            <w:tcW w:w="3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5"/>
                <w:szCs w:val="15"/>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203"/>
        </w:trPr>
        <w:tc>
          <w:tcPr>
            <w:tcW w:w="5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19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$16.86</w:t>
            </w: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$12.28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$16.29</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$12.53</w:t>
            </w:r>
          </w:p>
        </w:tc>
        <w:tc>
          <w:tcPr>
            <w:tcW w:w="10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1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$12.55</w:t>
            </w:r>
          </w:p>
        </w:tc>
        <w:tc>
          <w:tcPr>
            <w:tcW w:w="100" w:type="dxa"/>
            <w:vAlign w:val="bottom"/>
            <w:shd w:val="clear" w:color="auto" w:fill="CCEEFF"/>
          </w:tcPr>
          <w:p>
            <w:pPr>
              <w:spacing w:after="0"/>
              <w:rPr>
                <w:sz w:val="18"/>
                <w:szCs w:val="18"/>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$17.23</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$13.43</w:t>
            </w:r>
          </w:p>
        </w:tc>
        <w:tc>
          <w:tcPr>
            <w:tcW w:w="100" w:type="dxa"/>
            <w:vAlign w:val="bottom"/>
          </w:tcPr>
          <w:p>
            <w:pPr>
              <w:spacing w:after="0"/>
              <w:rPr>
                <w:sz w:val="19"/>
                <w:szCs w:val="19"/>
                <w:color w:val="auto"/>
              </w:rPr>
            </w:pPr>
          </w:p>
        </w:tc>
      </w:tr>
      <w:tr>
        <w:trPr>
          <w:trHeight w:val="365"/>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 2011</w:t>
            </w:r>
          </w:p>
        </w:tc>
        <w:tc>
          <w:tcPr>
            <w:tcW w:w="3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24"/>
                <w:szCs w:val="2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203"/>
        </w:trPr>
        <w:tc>
          <w:tcPr>
            <w:tcW w:w="5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10, 2011 through March 31, 2011</w:t>
            </w:r>
          </w:p>
        </w:tc>
        <w:tc>
          <w:tcPr>
            <w:tcW w:w="19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$16.97</w:t>
            </w: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$13.13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$18.24</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$13.50</w:t>
            </w:r>
          </w:p>
        </w:tc>
        <w:tc>
          <w:tcPr>
            <w:tcW w:w="10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1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83"/>
              </w:rPr>
              <w:t>$ 11.64</w:t>
            </w:r>
          </w:p>
        </w:tc>
        <w:tc>
          <w:tcPr>
            <w:tcW w:w="100" w:type="dxa"/>
            <w:vAlign w:val="bottom"/>
            <w:shd w:val="clear" w:color="auto" w:fill="CCEEFF"/>
          </w:tcPr>
          <w:p>
            <w:pPr>
              <w:spacing w:after="0"/>
              <w:rPr>
                <w:sz w:val="18"/>
                <w:szCs w:val="18"/>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$12.05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had approximately 130 stockholders of record as of February 28, 2013; however, because many of our outstanding shares are held in accounts with brokers and other institutions, we believe we have more beneficial owners. We have never declared or paid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Fluidigm Corporation under the Securities Act or the Exchange Act.</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459" w:right="3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following graph shows a comparison from February 10, 2011 (the date our common stock commenced trading on the NASDAQ Global Market) through December 31, 2012 of cumulative total return for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121920</wp:posOffset>
            </wp:positionV>
            <wp:extent cx="4442460" cy="2907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442460"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9, 2011, our registration statement on Form S-1 (File No. 333-170965) was declared effective for the initial public offering of our common stock, or IPO. Through December 31, 2012, the net proceeds from our IPO have been applied as follows: $5.0 million for the repayment of promissory notes issued in January 2011, $5.0 million for the repayment of our bank line of credit, $29.3 million for research and development expenses, $10.2 million for general corporate purposes including selling, general and administrative expenses, and litigation settlement expense, and $4.1 million for capital expenditures. On June 30, 2011, we paid $3.0 million in connection with the settlement of certain patent litigation with Life Technologies Corporation, or Life. In July 2011, we paid Life an additional $2.0 million in connection with our exercise of an option under the terms of our agreements with Life to limit or preclude certain patent litigation between the parties over a period of two to four years. Other than the aggregate payment of $5.0 million to Life, there has been no material change in the planned use of proceeds from our IPO from that described in the final prospectus filed with the SEC pursuant to Rule 424(b) on February 10, 2011.</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340" w:firstLine="456"/>
        <w:spacing w:after="0" w:line="254"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related notes thereto appearing elsewhere in this Form 10-K. We have derived the consolidated statement of operations data for the years ended December 31, 2012, 2011, and 2010 and consolidated balance sheet data as of December 31, 2012 and 2011 from audited consolidated financial statements included elsewhere in this Form 10-K. The consolidated statement of operations data for the fiscal years ended December 31, 2009 and December 27, 2008 and the consolidated balance sheet data as of December 31, 2010, December 31, 2009, and December 27, 2008 were derived from audited consolidated financial statements that are not included in this Form 10-K.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340" w:type="dxa"/>
            <w:vAlign w:val="bottom"/>
            <w:gridSpan w:val="2"/>
          </w:tcPr>
          <w:p>
            <w:pPr>
              <w:ind w:left="240"/>
              <w:spacing w:after="0" w:line="129" w:lineRule="exact"/>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34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w w:val="85"/>
              </w:rPr>
              <w:t>December 27,</w:t>
            </w:r>
          </w:p>
        </w:tc>
        <w:tc>
          <w:tcPr>
            <w:tcW w:w="100" w:type="dxa"/>
            <w:vAlign w:val="bottom"/>
          </w:tcPr>
          <w:p>
            <w:pPr>
              <w:spacing w:after="0"/>
              <w:rPr>
                <w:sz w:val="11"/>
                <w:szCs w:val="11"/>
                <w:color w:val="auto"/>
              </w:rPr>
            </w:pPr>
          </w:p>
        </w:tc>
      </w:tr>
      <w:tr>
        <w:trPr>
          <w:trHeight w:val="161"/>
        </w:trPr>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83"/>
              </w:rPr>
              <w:t>2010</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20" w:type="dxa"/>
            <w:vAlign w:val="bottom"/>
            <w:gridSpan w:val="5"/>
          </w:tcPr>
          <w:p>
            <w:pPr>
              <w:jc w:val="center"/>
              <w:ind w:right="374"/>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revenue</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34"/>
              <w:spacing w:after="0"/>
              <w:rPr>
                <w:sz w:val="20"/>
                <w:szCs w:val="20"/>
                <w:color w:val="auto"/>
              </w:rPr>
            </w:pPr>
            <w:r>
              <w:rPr>
                <w:rFonts w:ascii="Arial" w:cs="Arial" w:eastAsia="Arial" w:hAnsi="Arial"/>
                <w:sz w:val="18"/>
                <w:szCs w:val="18"/>
                <w:color w:val="auto"/>
              </w:rPr>
              <w:t>52,334</w:t>
            </w:r>
          </w:p>
        </w:tc>
        <w:tc>
          <w:tcPr>
            <w:tcW w:w="420" w:type="dxa"/>
            <w:vAlign w:val="bottom"/>
          </w:tcPr>
          <w:p>
            <w:pPr>
              <w:ind w:left="2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6"/>
              <w:spacing w:after="0"/>
              <w:rPr>
                <w:sz w:val="20"/>
                <w:szCs w:val="20"/>
                <w:color w:val="auto"/>
              </w:rPr>
            </w:pPr>
            <w:r>
              <w:rPr>
                <w:rFonts w:ascii="Arial" w:cs="Arial" w:eastAsia="Arial" w:hAnsi="Arial"/>
                <w:sz w:val="18"/>
                <w:szCs w:val="18"/>
                <w:color w:val="auto"/>
              </w:rPr>
              <w:t>42,865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33,560</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14"/>
              <w:spacing w:after="0"/>
              <w:rPr>
                <w:sz w:val="20"/>
                <w:szCs w:val="20"/>
                <w:color w:val="auto"/>
              </w:rPr>
            </w:pPr>
            <w:r>
              <w:rPr>
                <w:rFonts w:ascii="Arial" w:cs="Arial" w:eastAsia="Arial" w:hAnsi="Arial"/>
                <w:sz w:val="18"/>
                <w:szCs w:val="18"/>
                <w:color w:val="auto"/>
              </w:rPr>
              <w:t>25,412</w:t>
            </w:r>
          </w:p>
        </w:tc>
        <w:tc>
          <w:tcPr>
            <w:tcW w:w="380" w:type="dxa"/>
            <w:vAlign w:val="bottom"/>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15,347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8"/>
              </w:rPr>
              <w:t>(18,071)</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8"/>
              </w:rPr>
              <w:t>(18,566)</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(14,573)</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(18,037)</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(29,543)</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loss attributed to common stockholders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74"/>
              <w:spacing w:after="0"/>
              <w:rPr>
                <w:sz w:val="20"/>
                <w:szCs w:val="20"/>
                <w:color w:val="auto"/>
              </w:rPr>
            </w:pPr>
            <w:r>
              <w:rPr>
                <w:rFonts w:ascii="Arial" w:cs="Arial" w:eastAsia="Arial" w:hAnsi="Arial"/>
                <w:sz w:val="18"/>
                <w:szCs w:val="18"/>
                <w:color w:val="auto"/>
                <w:w w:val="98"/>
              </w:rPr>
              <w:t>(19,024)</w:t>
            </w:r>
          </w:p>
        </w:tc>
        <w:tc>
          <w:tcPr>
            <w:tcW w:w="420" w:type="dxa"/>
            <w:vAlign w:val="bottom"/>
          </w:tcPr>
          <w:p>
            <w:pPr>
              <w:spacing w:after="0"/>
              <w:rPr>
                <w:sz w:val="18"/>
                <w:szCs w:val="18"/>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color w:val="auto"/>
                <w:w w:val="98"/>
              </w:rPr>
              <w:t>(32,370)</w:t>
            </w:r>
          </w:p>
        </w:tc>
        <w:tc>
          <w:tcPr>
            <w:tcW w:w="380" w:type="dxa"/>
            <w:vAlign w:val="bottom"/>
          </w:tcPr>
          <w:p>
            <w:pPr>
              <w:spacing w:after="0"/>
              <w:rPr>
                <w:sz w:val="18"/>
                <w:szCs w:val="18"/>
                <w:color w:val="auto"/>
              </w:rPr>
            </w:pP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(16,902)</w:t>
            </w:r>
          </w:p>
        </w:tc>
        <w:tc>
          <w:tcPr>
            <w:tcW w:w="380" w:type="dxa"/>
            <w:vAlign w:val="bottom"/>
          </w:tcPr>
          <w:p>
            <w:pPr>
              <w:spacing w:after="0"/>
              <w:rPr>
                <w:sz w:val="18"/>
                <w:szCs w:val="18"/>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(19,128)</w:t>
            </w:r>
          </w:p>
        </w:tc>
        <w:tc>
          <w:tcPr>
            <w:tcW w:w="3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(29,499)</w:t>
            </w:r>
          </w:p>
        </w:tc>
      </w:tr>
      <w:tr>
        <w:trPr>
          <w:trHeight w:val="20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loss per share attributed to common stockholders, basic and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(0.86)</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(1.81)</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(8.94)</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(11.02)</w:t>
            </w: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(17.85)</w:t>
            </w:r>
          </w:p>
        </w:tc>
      </w:tr>
      <w:tr>
        <w:trPr>
          <w:trHeight w:val="322"/>
        </w:trPr>
        <w:tc>
          <w:tcPr>
            <w:tcW w:w="4800" w:type="dxa"/>
            <w:vAlign w:val="bottom"/>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cash equivalents, and short and long-term investments</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83,677</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54,967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5,723</w:t>
            </w:r>
          </w:p>
        </w:tc>
        <w:tc>
          <w:tcPr>
            <w:tcW w:w="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14,602</w:t>
            </w:r>
          </w:p>
        </w:tc>
        <w:tc>
          <w:tcPr>
            <w:tcW w:w="3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Working capital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34"/>
              <w:spacing w:after="0"/>
              <w:rPr>
                <w:sz w:val="20"/>
                <w:szCs w:val="20"/>
                <w:color w:val="auto"/>
              </w:rPr>
            </w:pPr>
            <w:r>
              <w:rPr>
                <w:rFonts w:ascii="Arial" w:cs="Arial" w:eastAsia="Arial" w:hAnsi="Arial"/>
                <w:sz w:val="18"/>
                <w:szCs w:val="18"/>
                <w:color w:val="auto"/>
              </w:rPr>
              <w:t>89,614</w:t>
            </w:r>
          </w:p>
        </w:tc>
        <w:tc>
          <w:tcPr>
            <w:tcW w:w="420" w:type="dxa"/>
            <w:vAlign w:val="bottom"/>
          </w:tcPr>
          <w:p>
            <w:pPr>
              <w:spacing w:after="0"/>
              <w:rPr>
                <w:sz w:val="18"/>
                <w:szCs w:val="18"/>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rPr>
              <w:t>49,862</w:t>
            </w:r>
          </w:p>
        </w:tc>
        <w:tc>
          <w:tcPr>
            <w:tcW w:w="38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2,369</w:t>
            </w:r>
          </w:p>
        </w:tc>
        <w:tc>
          <w:tcPr>
            <w:tcW w:w="380" w:type="dxa"/>
            <w:vAlign w:val="bottom"/>
          </w:tcPr>
          <w:p>
            <w:pPr>
              <w:spacing w:after="0"/>
              <w:rPr>
                <w:sz w:val="18"/>
                <w:szCs w:val="18"/>
                <w:color w:val="auto"/>
              </w:rPr>
            </w:pPr>
          </w:p>
        </w:tc>
        <w:tc>
          <w:tcPr>
            <w:tcW w:w="960" w:type="dxa"/>
            <w:vAlign w:val="bottom"/>
          </w:tcPr>
          <w:p>
            <w:pPr>
              <w:jc w:val="right"/>
              <w:ind w:right="214"/>
              <w:spacing w:after="0"/>
              <w:rPr>
                <w:sz w:val="20"/>
                <w:szCs w:val="20"/>
                <w:color w:val="auto"/>
              </w:rPr>
            </w:pPr>
            <w:r>
              <w:rPr>
                <w:rFonts w:ascii="Arial" w:cs="Arial" w:eastAsia="Arial" w:hAnsi="Arial"/>
                <w:sz w:val="18"/>
                <w:szCs w:val="18"/>
                <w:color w:val="auto"/>
              </w:rPr>
              <w:t>21,354</w:t>
            </w: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20,704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2"/>
              </w:rPr>
              <w:t>113,732</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79,326</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24,801</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32,153</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32,354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long-term debt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rPr>
              <w:t>10,138</w:t>
            </w:r>
          </w:p>
        </w:tc>
        <w:tc>
          <w:tcPr>
            <w:tcW w:w="380" w:type="dxa"/>
            <w:vAlign w:val="bottom"/>
          </w:tcPr>
          <w:p>
            <w:pPr>
              <w:spacing w:after="0"/>
              <w:rPr>
                <w:sz w:val="18"/>
                <w:szCs w:val="18"/>
                <w:color w:val="auto"/>
              </w:rPr>
            </w:pPr>
          </w:p>
        </w:tc>
        <w:tc>
          <w:tcPr>
            <w:tcW w:w="980" w:type="dxa"/>
            <w:vAlign w:val="bottom"/>
          </w:tcPr>
          <w:p>
            <w:pPr>
              <w:jc w:val="right"/>
              <w:ind w:right="214"/>
              <w:spacing w:after="0"/>
              <w:rPr>
                <w:sz w:val="20"/>
                <w:szCs w:val="20"/>
                <w:color w:val="auto"/>
              </w:rPr>
            </w:pPr>
            <w:r>
              <w:rPr>
                <w:rFonts w:ascii="Arial" w:cs="Arial" w:eastAsia="Arial" w:hAnsi="Arial"/>
                <w:sz w:val="18"/>
                <w:szCs w:val="18"/>
                <w:color w:val="auto"/>
              </w:rPr>
              <w:t>14,700</w:t>
            </w:r>
          </w:p>
        </w:tc>
        <w:tc>
          <w:tcPr>
            <w:tcW w:w="380" w:type="dxa"/>
            <w:vAlign w:val="bottom"/>
          </w:tcPr>
          <w:p>
            <w:pPr>
              <w:spacing w:after="0"/>
              <w:rPr>
                <w:sz w:val="18"/>
                <w:szCs w:val="18"/>
                <w:color w:val="auto"/>
              </w:rPr>
            </w:pPr>
          </w:p>
        </w:tc>
        <w:tc>
          <w:tcPr>
            <w:tcW w:w="960" w:type="dxa"/>
            <w:vAlign w:val="bottom"/>
          </w:tcPr>
          <w:p>
            <w:pPr>
              <w:jc w:val="right"/>
              <w:ind w:right="214"/>
              <w:spacing w:after="0"/>
              <w:rPr>
                <w:sz w:val="20"/>
                <w:szCs w:val="20"/>
                <w:color w:val="auto"/>
              </w:rPr>
            </w:pPr>
            <w:r>
              <w:rPr>
                <w:rFonts w:ascii="Arial" w:cs="Arial" w:eastAsia="Arial" w:hAnsi="Arial"/>
                <w:sz w:val="18"/>
                <w:szCs w:val="18"/>
                <w:color w:val="auto"/>
              </w:rPr>
              <w:t>14,461</w:t>
            </w:r>
          </w:p>
        </w:tc>
        <w:tc>
          <w:tcPr>
            <w:tcW w:w="3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15,212</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184,550</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8"/>
              </w:rPr>
              <w:t>183,845</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167,538</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34"/>
              <w:spacing w:after="0"/>
              <w:rPr>
                <w:sz w:val="20"/>
                <w:szCs w:val="20"/>
                <w:color w:val="auto"/>
              </w:rPr>
            </w:pPr>
            <w:r>
              <w:rPr>
                <w:rFonts w:ascii="Arial" w:cs="Arial" w:eastAsia="Arial" w:hAnsi="Arial"/>
                <w:sz w:val="18"/>
                <w:szCs w:val="18"/>
                <w:color w:val="auto"/>
                <w:w w:val="92"/>
              </w:rPr>
              <w:t>100,657</w:t>
            </w:r>
          </w:p>
        </w:tc>
        <w:tc>
          <w:tcPr>
            <w:tcW w:w="42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Arial" w:cs="Arial" w:eastAsia="Arial" w:hAnsi="Arial"/>
                <w:sz w:val="18"/>
                <w:szCs w:val="18"/>
                <w:color w:val="auto"/>
              </w:rPr>
              <w:t>56,897</w:t>
            </w:r>
          </w:p>
        </w:tc>
        <w:tc>
          <w:tcPr>
            <w:tcW w:w="380" w:type="dxa"/>
            <w:vAlign w:val="bottom"/>
          </w:tcPr>
          <w:p>
            <w:pPr>
              <w:spacing w:after="0"/>
              <w:rPr>
                <w:sz w:val="19"/>
                <w:szCs w:val="19"/>
                <w:color w:val="auto"/>
              </w:rPr>
            </w:pPr>
          </w:p>
        </w:tc>
        <w:tc>
          <w:tcPr>
            <w:tcW w:w="980" w:type="dxa"/>
            <w:vAlign w:val="bottom"/>
          </w:tcPr>
          <w:p>
            <w:pPr>
              <w:jc w:val="right"/>
              <w:ind w:right="174"/>
              <w:spacing w:after="0"/>
              <w:rPr>
                <w:sz w:val="20"/>
                <w:szCs w:val="20"/>
                <w:color w:val="auto"/>
              </w:rPr>
            </w:pPr>
            <w:r>
              <w:rPr>
                <w:rFonts w:ascii="Arial" w:cs="Arial" w:eastAsia="Arial" w:hAnsi="Arial"/>
                <w:sz w:val="18"/>
                <w:szCs w:val="18"/>
                <w:color w:val="auto"/>
                <w:w w:val="90"/>
              </w:rPr>
              <w:t>(189,167)</w:t>
            </w:r>
          </w:p>
        </w:tc>
        <w:tc>
          <w:tcPr>
            <w:tcW w:w="380" w:type="dxa"/>
            <w:vAlign w:val="bottom"/>
          </w:tcPr>
          <w:p>
            <w:pPr>
              <w:spacing w:after="0"/>
              <w:rPr>
                <w:sz w:val="19"/>
                <w:szCs w:val="19"/>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w w:val="90"/>
              </w:rPr>
              <w:t>(173,619)</w:t>
            </w:r>
          </w:p>
        </w:tc>
        <w:tc>
          <w:tcPr>
            <w:tcW w:w="3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(158,339)</w:t>
            </w:r>
          </w:p>
        </w:tc>
      </w:tr>
      <w:tr>
        <w:trPr>
          <w:trHeight w:val="356"/>
        </w:trPr>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The following discussion and analysis should be read together with our consolidated financial statements and the notes to those statements included elsewhere in this Form 10-K. This discussion contains forward-looking statements based on our current expectations, assumptions, estimates and projections about Fluidigm and our industry. These forward-looking statements involve risks and uncertainties. Our actual results could differ materially from those indicated in these forward-looking statements as a result of certain factors, as more fully described in “Risk factors” in Item 1A of this Form 10-K, in this Item 7, and elsewhere in this Form 10-K. We undertake no obligation to update publicly any forward-looking statements for any reason, even if new information becomes available or other events occur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develop, manufacture, and market microfluidic systems for growth markets, such as single-cell genomics, applied genotyping, and sample preparation for targeted resequencing, in the life science and agricultural biotechnology, or Ag-Bio, industries. Our proprietary microfluidic systems consist of instruments and consumables, including IFCs, assays, and other reagents. Our systems are designed to significantly simplify experimental workflow, increase throughput and reduce costs, while providing the excellent data quality demanded by our customers. In addition, our proprietary technology enables genetic analysis that in many instances was previously impractical. We actively market four microfluidic systems, including 13 different IFCs for nucleic acid analysis, and three families of assay chemistries, to leading academic institutions, clinical laboratories, and pharmaceutical, biotechnology, and Ag-Bio companies. We have sold approximately 685 systems to customers in over 30 countries worldwide.</w:t>
      </w:r>
    </w:p>
    <w:p>
      <w:pPr>
        <w:spacing w:after="0" w:line="118" w:lineRule="exact"/>
        <w:rPr>
          <w:sz w:val="20"/>
          <w:szCs w:val="20"/>
          <w:color w:val="auto"/>
        </w:rPr>
      </w:pPr>
    </w:p>
    <w:p>
      <w:pPr>
        <w:ind w:firstLine="456"/>
        <w:spacing w:after="0" w:line="278" w:lineRule="auto"/>
        <w:rPr>
          <w:sz w:val="20"/>
          <w:szCs w:val="20"/>
          <w:color w:val="auto"/>
        </w:rPr>
      </w:pPr>
      <w:r>
        <w:rPr>
          <w:rFonts w:ascii="Arial" w:cs="Arial" w:eastAsia="Arial" w:hAnsi="Arial"/>
          <w:sz w:val="16"/>
          <w:szCs w:val="16"/>
          <w:color w:val="auto"/>
        </w:rPr>
        <w:t>We have launched several product lines, including our BioMark system for gene expression analysis, genotyping, and digital polymerase chain reaction, or digital PCR, in 2006, our EP1 system for single nucleotide polymorphism, or SNP, genotyping, and digital PCR in 2008, our Access Array system for target enrichment in 2009, our BioMark HD real-time PCR system for high-throughput gene expression analysis, targeted single-cell gene expression analysis, SNP genotyping, and digital PCR in 2011, and our C</w:t>
      </w:r>
      <w:r>
        <w:rPr>
          <w:rFonts w:ascii="Arial" w:cs="Arial" w:eastAsia="Arial" w:hAnsi="Arial"/>
          <w:sz w:val="20"/>
          <w:szCs w:val="20"/>
          <w:color w:val="auto"/>
          <w:vertAlign w:val="subscript"/>
        </w:rPr>
        <w:t>1</w:t>
      </w:r>
      <w:r>
        <w:rPr>
          <w:rFonts w:ascii="Arial" w:cs="Arial" w:eastAsia="Arial" w:hAnsi="Arial"/>
          <w:sz w:val="16"/>
          <w:szCs w:val="16"/>
          <w:color w:val="auto"/>
        </w:rPr>
        <w:t xml:space="preserve"> Single-Cell Auto Prep system for single cell sample preparation for single-cell analysis in June 2012. In addition, in May 2011, we launched assay products, including our DELTAgene assays for gene expression, our SNPtype assays for SNP genotyping, and our Access Array Target-Specific primers for targeted next-generation DNA sequencing. Our systems utilize one or more IFCs designed for particular applications and include specialized instrumentation and software, as well as assays and other reagents for certain applications.</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distribute our microfluidic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Our facility in Singapore manufactures our instruments and fabricates all of our IFCs for commercial sale and for our research and development purposes. Our South San Francisco facility fabricates IFCs for our research and development purposes, and manufactures our assays and produces other reagents for commercial sale.</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From 2002 through 2011, we have received revenue from government grants. Our most significant grant relationship has been with the Singapore Economic Development Board, or EDB. The EDB, an agency of the Government of Singapore, promotes research, development, and manufacturing activities in Singapore and associated employment of Singapore nationals by providing incentive grants to companies conducting operations in Singapore that satisfy the requirements of EDB’s government programs. Under our agreements with EDB, we were eligible to receive incentive grant payments from EDB, provided we satisfied certain agreed upon targets. Our agreements with EDB provided for incentive funding eligibility through May 2011. From January 1, 2010 through December 31, 2011, we recognized $1.2 million of grant revenue from EDB.</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grown our total revenue from $33.6 million in 2010 to $52.3 million in 2012. We have incurred significant net losses since our inception in 1999 and, as of December 31, 2012, our accumulated deficit was $240.8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consolidated financial statements and the related notes included elsewhere in this Form 10-K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following critical accounting policies involve a greater degree of judgment and complexity than our other accounting policies.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these are the policies we believe are the most critical to understanding and evaluating our consolidated financial condition and results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accounting policies are more fully described in Note 2 of the notes to our audited consolidated financial statements.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generate revenue from sales of our products, license and collaboration arrangements, and government grants. Our products consist of instruments and consumables, including IFCs, assays and other reagents, related to our microfluidic systems. Product revenue includes services for instrument installation, training, and customer support services.</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recognize revenue when persuasive evidence of an arrangement exists, delivery has occurred or services have been rendered, the price to the customer is fixed or determinable, and collectability is reasonably assured. Revenue from the sales of our products that are not part of multiple element arrangements are recognized when no significant obligation remains undelivered and collection is reasonably assured, which is generally when delivery has occurred. Delivery occurs when there is a transfer of title and risk of loss passes to the customer. Payments received in advance of revenue recognition are classified as deferred revenue in the consolidated balance sheet.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evaluation of these revenue recognition criteria requires significant management judgment. For instance, we use judgment to assess collectability based on factors such as the customer’s creditworthiness and past collection history, if applicable. If we determine that collection is not reasonably assured, revenue recognition is deferred until receipt of payment. We also use judgment to assess whether a price is fixed or determinable, including, but not limited to, reviewing contractual terms and conditions related to payment.</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Certain of our sales contracts involve the delivery or performance of multiple products or services. Significant contract interpretation is sometimes required to determine the appropriate accounting for revenue from multiple element arrangements, including whether the deliverables should be treated as separate units of accounting for revenue recognition purposes, how the related sales price should be allocated among the elements, when to recognize revenue for each element, and the period over which revenue should be recognized. Revenue recognition for contracts with multiple deliverables is based on the individual units of accounting determined to exist in the contract.</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sales contracts that include multiple deliverables, we allocate the contract consideration at the inception of the contract to each unit of accounting based upon their relative selling prices. We may use our best estimate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of selling price for individual deliverables when vendor specific objective evidence or third-party evidence is unavailable. A delivered item is considered to be a separate unit of accounting when it has value to the customer on a stand-alone basis.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products, other than for service contracts, are delivered within a short time frame, generally within one to three months, of the contract date. Service contracts are entered into for one to two year terms, following the expiration of the warranty period.</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For transactions entered into prior to 2011 that include multiple elements, we allocated revenue to each unit of accounting based on its relative fair value, and recognized revenue for each unit of accounting when the applicable revenue recognition criteria were met. When objective and reliable evidence of fair value existed for the undelivered items but not for the delivered items, the residual method was used to allocate arrangement consideration. Under the residual method, the amount of arrangement consideration allocated to the delivered items equaled the total arrangement consideration less the aggregate fair value of the undelivered items. When we were unable to establish stand-alone value for delivered items or when fair value of undelivered items had not been established, revenue was deferred until all elements were delivered and services had been performed, or until fair value could objectively be determined for any remaining undelivered elements.</w:t>
      </w:r>
    </w:p>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products are sold without the right of return. Accruals for estimated warranty expenses are provided at the time the associated revenue is recognized. We use judgment to estimate these accruals and, if we were to experience an increase in warranty claims or if costs of servicing our products under warranty were greater than our estimates, our cost of product revenue could be adversely affected in future periods.</w:t>
      </w:r>
    </w:p>
    <w:p>
      <w:pPr>
        <w:spacing w:after="0" w:line="10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We have entered into license and collaboration agreements with third parties that generally provide us with up-front and periodic milestone payments. Revenue from license agreements is recognized when received, upfront payments are generally recognized over the term of the underlying agreement and milestone payments are generally recognized based upon the achievement of the milestones as defined in the agreement.</w:t>
      </w:r>
    </w:p>
    <w:p>
      <w:pPr>
        <w:spacing w:after="0" w:line="10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Revenue from government grants relates to the achievement of agreed upon milestones and expenditures and is recognized in the period in which the related costs are incurred, provided that the conditions under which the government grants are awarded have been substantially met and only perfunctory obligations remain outstanding. With respect to the EDB grants, upon satisfaction of grant conditions, we received incentive grant payments equal to a portion of qualifying expenses we incurred in Singapore. Qualifying expenses included salaries, overhead, outsourcing and subcontracting expenses, operating expenses, and raw material purchases. Royalties paid are not qualifying expenses under the incentive grant program. We submitted requests to the EDB for incentive grant payments on a quarterly basis, which were subject to the EDB’s review and our satisfaction of the grant conditions. Our first grant agreement with the EDB was completed in July 2010, at which time we submitted our final progress report and evidence of achievement of our development targets under the letter agreement. In October 2010, we received confirmation from EDB that all of our obligations under the first grant had been met and, in October 2010, we received our final grant payment relating thereto. Our second grant agreement with the EDB was completed in May 2011. Based on correspondence with EDB, we believe we have satisfied our obligations applicable to our EDB grant revenue through December 31, 2012.</w:t>
      </w:r>
    </w:p>
    <w:p>
      <w:pPr>
        <w:spacing w:after="0" w:line="12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Changes in judgments and estimates regarding application of these revenue recognition guidelines as well as changes in facts and circumstances could result in a change in the timing or amount of revenue recognized in future periods.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measure the cost of employee services received in exchange for an award of equity instruments, including stock options and restricted stock units, based on the grant date fair value of the award. The fair value of options on the grant date is estimated using the Black-Scholes option-pricing model, which requires the use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certain subjective assumptions, including expected term, volatility, risk-free interest rate and the fair value of our common stock. These assumptions generally require significant judgment.</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Our board of directors sets the terms, conditions, and restrictions related to the grant of stock options and restricted stock units, including the number of shares underlying the grants and the vesting criteria. With respect to performance-based stock options, depending on the extent to which the vesting criteria are met, our board of directors determines the number of shares that vest under the grants.</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resulting costs of our equity awards, net of estimated forfeitures, are recognized over the period during which an employee is required to provide service in exchange for the award, usually a time-based vesting period. We amortize the fair value of stock-based compensation on a straight-line basis over the requisite service periods. For performance-based stock options, we recognize stock-based compensation over the requisite service periods using the accelerated attribution method.</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common stock has a limited trading history because our common stock was not publicly traded until our initial public offering, or IPO, in February 2011. Accordingly, the expected volatility of our common stock is derived from the historical volatilities of several unrelated public companies within the life science industry. When selecting our industry peer companies, we consider our stage of development, size, and financial leverage. These historical volatilities are weighted based on certain qualitative factors and combined to produce a single volatility factor. The risk-free interest rate is based on the U.S. Treasury yield in effect at the time of grant for zero coupon U.S. Treasury notes with maturities approximately equal to each grant’s expected life. We estimate the expected lives of employee options using the “simplified” method as the midpoint of the expected time-to-vest and the contractual term.</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calculated fair value of our stock options could change significantly if we determine that another method is more reasonable, or if another method for calculating these input assumptions is prescribed by authoritative guidance. Higher volatility and longer expected lives result in an increase in stock-based compensation expense determined at the date of grant. Stock-based compensation expense affects our cost of product revenue, research and development expense, and selling, general and administrative expense.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estimate our forfeiture rate based on an analysis of our actual forfeitures and we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was insignificant during 2012, 2011, and 2010. We will continue to use judgment in evaluating the expected term, volatility, and forfeiture rate related to our stock-based compensation.</w:t>
      </w:r>
    </w:p>
    <w:p>
      <w:pPr>
        <w:spacing w:after="0" w:line="11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Also required to compute the fair value calculation of options is the fair value of the underlying common stock. We grant stock options at exercise prices not less than the fair value of our common stock at the date of grant. Prior to our IPO, our board of directors obtained contemporaneous valuations from an unrelated third-party valuation firm to determine the estimated fair value of common stock based on an analysis of relevant metrics, such as the price of the most recent convertible preferred stock sales to outside investors, the rights, preferences, and privileges of the convertible preferred stock, our operating and financial performance, the hiring of key personnel, the introduction of new products, the lack of marketability of the common stock, and additional factors relating to our business. There is inherent uncertainty in these estimates and if we or the valuation firm had made different assumptions, the amount of our stock-based compensation expense, net loss, and net loss per share amounts could have been significantly different. Following the completion of our IPO in February 2011,</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options granted is based on the closing price of our common stock on the date of grant as quoted on the NASDAQ Global Market.</w:t>
      </w:r>
    </w:p>
    <w:p>
      <w:pPr>
        <w:spacing w:after="0" w:line="19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Historically, certain of our stock options were granted to officers, with vesting acceleration features based upon the achievement of certain performance milestones. The timing of the attainment of these milestones affected the timing of expense recognition since we recognize compensation expense only for the portion of stock options that are expected to vest.</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recorded stock-based compensation of $4.1 million, $2.8 million, and $1.6 million during 2012, 2011, and 2010, respectively. As of December 31, 2012, we had $10.5 million of unrecognized stock-based compensation costs, which are expected to be recognized over an average period of three years.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use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Significant management judgment is required in determining our provision for income taxes, our deferred tax assets and liabilities, and any valuation allowance recorded against our deferred tax assets. Our provision for income taxes generally consists of tax expense/benefit related to current period earnings/losses. As part of the process of preparing our consolidated financial statements, we continuously monitor the circumstances impacting the expected realization of our deferred tax assets for each jurisdiction. We consider all available evidence, including historical operating results in each jurisdiction, expectations and risks associated with estimates of future taxable income, and ongoing prudent and feasible tax planning strategies in assessing the need for a valuation allowance. To the extent a deferred tax asset cannot be recognized, a valuation allowance is established to reduce our deferred tax assets to the amount that is more likely than not to be realized. We have recorded a full valuation allowance on our deferred tax assets due to uncertainties related to our ability to utilize our deferred tax assets in the foreseeable future. These deferred tax assets primarily consist of net operating loss carryforwards and research and development tax credits. We intend to maintain this valuation allowance until sufficient evidence exists to support its reduction.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2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We recognize the financial statement effects of a tax position when it is more likely than not, based on the technical merits, that the position will be sustained upon examination. Any interest and penalties related to uncertain tax positions will be reflected in income tax provision.</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Effective January 1, 2010, we obtained approval for Pioneer Tax Status in Singapore. We do not expect this status to have a material impact on our business, operating results, or financial condition. We cannot predict whether Pioneer Tax Status will have a material impact on our business, operating results, or financial condition in future periods because the availability of the tax incentives will depend entirely on the long-term development of our business.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record adjustments to inventory for potentially excess, obsolete, slow-moving, or impaired goods in order to state inventory at its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quality issues, historical experience, and our current inventory levels. If actual market conditions are less favorable than anticipated, additional inventory adjustments could be required.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generate revenue from sales of our products, license and collaboration agreements, and government grants. Our product revenue consists of sales of instruments and related services, and consumables, including IFCs, assays and other reagents. We have entered into license and collaboration agreements and have received government grants to conduct research and development activities.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0"/>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11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w:t>
            </w:r>
          </w:p>
        </w:tc>
        <w:tc>
          <w:tcPr>
            <w:tcW w:w="2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2740" w:type="dxa"/>
            <w:vAlign w:val="bottom"/>
            <w:gridSpan w:val="3"/>
          </w:tcPr>
          <w:p>
            <w:pPr>
              <w:jc w:val="right"/>
              <w:ind w:right="40"/>
              <w:spacing w:after="0"/>
              <w:rPr>
                <w:sz w:val="20"/>
                <w:szCs w:val="20"/>
                <w:color w:val="auto"/>
              </w:rPr>
            </w:pPr>
            <w:r>
              <w:rPr>
                <w:rFonts w:ascii="Arial" w:cs="Arial" w:eastAsia="Arial" w:hAnsi="Arial"/>
                <w:sz w:val="18"/>
                <w:szCs w:val="18"/>
                <w:color w:val="auto"/>
              </w:rPr>
              <w:t>$29,152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$25,190</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$20,708</w:t>
            </w: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2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15,391</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100" w:type="dxa"/>
            <w:vAlign w:val="bottom"/>
            <w:shd w:val="clear" w:color="auto" w:fill="CCEEFF"/>
          </w:tcPr>
          <w:p>
            <w:pPr>
              <w:spacing w:after="0"/>
              <w:rPr>
                <w:sz w:val="18"/>
                <w:szCs w:val="18"/>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Product revenue</w:t>
            </w:r>
          </w:p>
        </w:tc>
        <w:tc>
          <w:tcPr>
            <w:tcW w:w="2740" w:type="dxa"/>
            <w:vAlign w:val="bottom"/>
            <w:gridSpan w:val="3"/>
          </w:tcPr>
          <w:p>
            <w:pPr>
              <w:jc w:val="right"/>
              <w:ind w:right="40"/>
              <w:spacing w:after="0"/>
              <w:rPr>
                <w:sz w:val="20"/>
                <w:szCs w:val="20"/>
                <w:color w:val="auto"/>
              </w:rPr>
            </w:pPr>
            <w:r>
              <w:rPr>
                <w:rFonts w:ascii="Arial" w:cs="Arial" w:eastAsia="Arial" w:hAnsi="Arial"/>
                <w:sz w:val="18"/>
                <w:szCs w:val="18"/>
                <w:color w:val="auto"/>
              </w:rPr>
              <w:t>51,488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40,581</w:t>
            </w: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30,462</w:t>
            </w:r>
          </w:p>
        </w:tc>
        <w:tc>
          <w:tcPr>
            <w:tcW w:w="100" w:type="dxa"/>
            <w:vAlign w:val="bottom"/>
          </w:tcPr>
          <w:p>
            <w:pPr>
              <w:spacing w:after="0"/>
              <w:rPr>
                <w:sz w:val="19"/>
                <w:szCs w:val="19"/>
                <w:color w:val="auto"/>
              </w:rPr>
            </w:pPr>
          </w:p>
        </w:tc>
      </w:tr>
      <w:tr>
        <w:trPr>
          <w:trHeight w:val="217"/>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License and collaboration revenue</w:t>
            </w:r>
          </w:p>
        </w:tc>
        <w:tc>
          <w:tcPr>
            <w:tcW w:w="2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8"/>
                <w:szCs w:val="18"/>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Grant revenue</w:t>
            </w:r>
          </w:p>
        </w:tc>
        <w:tc>
          <w:tcPr>
            <w:tcW w:w="2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52,334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42,865</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33,560</w:t>
            </w:r>
          </w:p>
        </w:tc>
        <w:tc>
          <w:tcPr>
            <w:tcW w:w="10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$27,325</w:t>
            </w: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$21,644</w:t>
            </w: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$16,619</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13,086</w:t>
            </w:r>
          </w:p>
        </w:tc>
        <w:tc>
          <w:tcPr>
            <w:tcW w:w="3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10,499</w:t>
            </w:r>
          </w:p>
        </w:tc>
        <w:tc>
          <w:tcPr>
            <w:tcW w:w="3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7,577</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Asia Pacific</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6,321</w:t>
            </w:r>
          </w:p>
        </w:tc>
        <w:tc>
          <w:tcPr>
            <w:tcW w:w="3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3,698</w:t>
            </w:r>
          </w:p>
        </w:tc>
        <w:tc>
          <w:tcPr>
            <w:tcW w:w="3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2,800</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51,488</w:t>
            </w:r>
          </w:p>
        </w:tc>
        <w:tc>
          <w:tcPr>
            <w:tcW w:w="30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100%</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40,581</w:t>
            </w:r>
          </w:p>
        </w:tc>
        <w:tc>
          <w:tcPr>
            <w:tcW w:w="32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100%</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30,462</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Grant revenue is received from our incentive grants with the EDB and the California Institute of Regenerative Medicine, or CIRM. Grant revenue from CIRM is generated in the United States and grant revenue with the EDB was generated in Singapore. License and collaboration revenue is primarily generated in the United States.</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customers include academic research institutions, clinical laboratories, and pharmaceutical, biotechnology and Ag-Bio companies worldwide. Total revenue from our five largest customers in each of the periods presented comprised 17%, 16%, and 19% of revenue in 2012, 2011, and 2010,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2012 and December 31, 2011</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increased by $9.4 million, or 22%, to $52.3 million for 2012 as compared to $42.9 million for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5"/>
          <w:szCs w:val="15"/>
          <w:color w:val="auto"/>
        </w:rPr>
        <w:t>Product revenue increased by $10.9 million, or 27%, to $51.5 million for 2012 as compared to $40.6 million for 2011, reflecting increased revenue from sales of instruments and consumables. Consumables revenue increased by $6.9 million, or 45%, primarily due to increased sales of genotyping and gene expression IFCs, and to a lesser extent, Access Array IFCs and assays. IFC sales growth was driven by increases in the installed base of our instrument systems, analytical chip pull-through, and to a lesser extent, by higher IFC average selling prices. Instrument revenue increased by $4.0 million, or 16%, primarily due to the launch of our C</w:t>
      </w:r>
      <w:r>
        <w:rPr>
          <w:rFonts w:ascii="Arial" w:cs="Arial" w:eastAsia="Arial" w:hAnsi="Arial"/>
          <w:sz w:val="19"/>
          <w:szCs w:val="19"/>
          <w:color w:val="auto"/>
          <w:vertAlign w:val="subscript"/>
        </w:rPr>
        <w:t>1</w:t>
      </w:r>
      <w:r>
        <w:rPr>
          <w:rFonts w:ascii="Arial" w:cs="Arial" w:eastAsia="Arial" w:hAnsi="Arial"/>
          <w:sz w:val="15"/>
          <w:szCs w:val="15"/>
          <w:color w:val="auto"/>
        </w:rPr>
        <w:t xml:space="preserve"> Single-Cell Auto Prep system during the third quarter of 2012, and increased sales of our service offerings and aftermarket instruments. This was partially offset by decreased unit sales of the Access Array system and, to a much lesser extent, decreased unit sales of our analytical systems.</w:t>
      </w:r>
    </w:p>
    <w:p>
      <w:pPr>
        <w:spacing w:after="0" w:line="116"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We expect unit sales of both instruments and consumables to continue to increase in future periods as we continue our efforts to grow our customer base and expand our geographic market coverage. However, we expect the average selling prices of our instruments to fluctuate over time based on product mix.</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and Collaboration Revenue</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License and collaboration revenue decreased by $1.5 million to $0.2 million for 2012 as compared to $1.7 million for 2011 due to the termination of the collaboration agreement with Novartis Vaccines &amp; Diagnostics, Inc. (Novartis V&amp;D) on May 1, 2012. The collaboration agreement with Novartis V&amp;D was entered into in May 2010 to develop a new product and received an up-front payment of $0.7 million. Additionally, the collaboration agreement provided for payments to us upon the achievement of multiple defined milestones related to the design and development of product prototypes.</w:t>
      </w:r>
    </w:p>
    <w:p>
      <w:pPr>
        <w:spacing w:after="0" w:line="11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March 2011, we entered into an amendment to the collaboration agreement and received an additional $0.3 million. Under the amendment, certain milestones were modified and payment terms related to this agreement associated with satisfaction of the milestones were revised.</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During 2011, we recognized $1.0 million of milestone revenue related to this agreement. All our performance obligations under this agreement were satisfied at December 31, 2011 and there were no other agreements with potential future milestones.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Grant revenue consists of incentive grants from government entities, including EDB and CIRM. Grant revenue increased $0.1 million to $0.7 million for 2012, compared to $0.6 million for 2011. The increase relates to our CIRM grant as the grant from the EDB was completed in May 2011. Under our incentive grant agreements with EDB, we received incentive grant payments equal to a portion of qualifying expenses we incurred in Singapore. We incurred $0.5 million of qualifying expenses in 2011.</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agreements with EDB provided that grants extended to us were subject to certain grant conditions and provided EDB with the right to demand repayment of a portion of past grants in the event that we did not meet our obligations under the applicable agreements. Based on correspondence with EDB, we believe we have satisfied our obligations applicable to our EDB grant revenue through December 31, 2012.</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first CIRM grant was awarded in 2009 in the amount of $0.8 million and was earned over a two-year period. Our second CIRM grant was awarded in 2011 in the amount of $1.9 million to be earned over a three-year period. The CIRM grant revenue is recognized as the related research and development services are performed and costs associated with the grants are recognized as research and development expense during the period incurred.</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expect total grant revenue for 2013 to be consistent with 2012 as our grant revenue from CIRM to design and develop prototype microfluidic systems for use in stem cell research continues.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w w:val="88"/>
              </w:rPr>
              <w:t>Year Ended</w:t>
            </w:r>
          </w:p>
        </w:tc>
      </w:tr>
      <w:tr>
        <w:trPr>
          <w:trHeight w:val="129"/>
        </w:trPr>
        <w:tc>
          <w:tcPr>
            <w:tcW w:w="37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1"/>
                <w:szCs w:val="11"/>
                <w:color w:val="auto"/>
              </w:rPr>
            </w:pPr>
          </w:p>
        </w:tc>
      </w:tr>
      <w:tr>
        <w:trPr>
          <w:trHeight w:val="161"/>
        </w:trPr>
        <w:tc>
          <w:tcPr>
            <w:tcW w:w="3740" w:type="dxa"/>
            <w:vAlign w:val="bottom"/>
          </w:tcPr>
          <w:p>
            <w:pPr>
              <w:spacing w:after="0"/>
              <w:rPr>
                <w:sz w:val="14"/>
                <w:szCs w:val="14"/>
                <w:color w:val="auto"/>
              </w:rPr>
            </w:pPr>
          </w:p>
        </w:tc>
        <w:tc>
          <w:tcPr>
            <w:tcW w:w="286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7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r>
      <w:tr>
        <w:trPr>
          <w:trHeight w:val="210"/>
        </w:trPr>
        <w:tc>
          <w:tcPr>
            <w:tcW w:w="3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product revenue</w:t>
            </w:r>
          </w:p>
        </w:tc>
        <w:tc>
          <w:tcPr>
            <w:tcW w:w="20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15,325</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13,191</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Product margin</w:t>
            </w:r>
          </w:p>
        </w:tc>
        <w:tc>
          <w:tcPr>
            <w:tcW w:w="302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assembly labor and overhead, installation, packaging, and delivery costs. In addition, cost of product revenue includes royalty costs for licensed technologies included in our products, warranty, service, provisions for slow-moving and obsolete inventory, and stock-based compensation expense. Costs related to license, collaboration and grant revenue are included in research and development expense.</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Cost of product revenue increased $2.1 million, or 16%, to $15.3 million for 2012 from $13.2 million for 2011 due to increased product sales in 2012. Cost of product revenue as a percentage of related revenue decreased to 30% for 2012 compared to 33% for 2011. This improvement was primarily due to a higher product mix of higher margin consumables relative to instruments systems; lower consumables manufacturing costs resulting from higher production volumes and yield improvements; a shift to higher margin instruments within the instrument systems product line; and lower product material costs for analytical systems and the Access Array system. These improvements were offset in part by higher freight and distribution costs.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80" w:type="dxa"/>
            <w:vAlign w:val="bottom"/>
            <w:gridSpan w:val="3"/>
          </w:tcPr>
          <w:p>
            <w:pPr>
              <w:ind w:left="8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6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13,936</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38,478</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31,304</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r>
      <w:tr>
        <w:trPr>
          <w:trHeight w:val="222"/>
        </w:trPr>
        <w:tc>
          <w:tcPr>
            <w:tcW w:w="608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55,080</w:t>
            </w: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48,240</w:t>
            </w:r>
          </w:p>
        </w:tc>
        <w:tc>
          <w:tcPr>
            <w:tcW w:w="100" w:type="dxa"/>
            <w:vAlign w:val="bottom"/>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to support development and commercialization of new and existing products and services.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Research and development expense increased $2.7 million, or 19%, to $16.6 million for 2012, compared to $13.9 million for 2011. The increase in research and development expense was primarily due to an increase in compensation costs and related expenses, including stock-based compensation, of $1.3 million, lab supplies and equipment costs of $1.1 million, and outside services of $0.1 million. These increased costs were in support of our development and commercialization of new and existing products and services.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we expect these expenses to increase in future periods.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Selling, general and administrative expense increased $7.2 million, or 23%, to $38.5 million for 2012, compared to $31.3 million for 2011. The increase was primarily due to an increase in compensation costs and related expenses, including stock-based compensation, of $4.7 million, an increase in sales and marketing activities of $1.5 million, an increase in accounting and outside services of $0.6 million, and an increase in facility expenses of $0.3 million. The increase was primarily driven by expansion of worldwide commercial capabilities to support our growth and compliance costs.</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expect selling, general and administrative expense to increase in future periods as we continue to grow our sales, technical support, marketing, and administrative headcount, support increased product sales, broaden our customer base, and incur additional costs to support our expanding global footprint and the overall growth in our business.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9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On June 30, 2011, we settled certain litigation and entered into a series of patent license agreements resulting in a net $3.0 million payment by us to Life Technologies Corporation and its Applied Biosystems, LLC subsidiary, referred to as Life. The payment was recognized as litigation settlement expense in our consolidated statement of operations because the amount paid by us was principally attributable to resolving Life’s litigation claims against us with respect to a specific expiring U.S. patent and its foreign counterparts.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terms of the agreements, each party had the option, exercisable for thirty days from the date of the agreements, to limit or preclude certain patent litigation between the parties over a period of two to four years. These rights were subject to certain exceptions and required an additional payment by the party exercising the option at the time of exercise. In July 2011, we exercised our option and paid Life $2.0 million. As a result, subject to certain exceptions, Life may not initiate litigation under its patents existing as of June 30, 2011 against our customers for two years and against us, with respect to our current products and equivalent future products, for four years. The additional payment was recorded in other assets and is being amortized to selling, general and administrative expense over four years on a straight-line basis beginning in July 2011. The additional payment is being amortized to selling, general and administrative expense because it precludes Life from initiating litigation under its relevant patents for any alleged prior and future infringement by us for four years, and because such preclusion relates to our equivalent future products. Life elected not to exercise its option.</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Litigation settlement expense was $3.0 million for 2011 as a result of the agreements entered into with Life on June 30, 2011. We had no similar agreement in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receive interest income from our cash equivalents and investments. Conversely, we incur, or have incurred, interest expense from our bank line of credit, long-term debt, convertible promissory notes and the amortization of debt discounts related to our long-term debt and convertible promissory notes. Until the closing of our IPO, we also recognized income or expense as a result of changes in the fair value of outstanding warrants to purchase shares of our convertible preferred stock. The following table presents these items for each period presented (in thousands):</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 w:lineRule="exact"/>
        <w:rPr>
          <w:sz w:val="20"/>
          <w:szCs w:val="20"/>
          <w:color w:val="auto"/>
        </w:rPr>
      </w:pPr>
    </w:p>
    <w:p>
      <w:pPr>
        <w:ind w:left="1600" w:right="640" w:hanging="215"/>
        <w:spacing w:after="0" w:line="254" w:lineRule="auto"/>
        <w:rPr>
          <w:sz w:val="20"/>
          <w:szCs w:val="20"/>
          <w:color w:val="auto"/>
        </w:rPr>
      </w:pPr>
      <w:r>
        <w:rPr>
          <w:rFonts w:ascii="Arial" w:cs="Arial" w:eastAsia="Arial" w:hAnsi="Arial"/>
          <w:sz w:val="18"/>
          <w:szCs w:val="18"/>
          <w:color w:val="auto"/>
        </w:rPr>
        <w:t>Loss from changes in the fair value of convertible preferred stock warrants, net</w:t>
      </w:r>
    </w:p>
    <w:p>
      <w:pPr>
        <w:ind w:left="1380" w:right="620"/>
        <w:spacing w:after="0" w:line="250" w:lineRule="auto"/>
        <w:rPr>
          <w:sz w:val="20"/>
          <w:szCs w:val="20"/>
          <w:color w:val="auto"/>
        </w:rPr>
      </w:pPr>
      <w:r>
        <w:rPr>
          <w:rFonts w:ascii="Arial" w:cs="Arial" w:eastAsia="Arial" w:hAnsi="Arial"/>
          <w:sz w:val="18"/>
          <w:szCs w:val="18"/>
          <w:color w:val="auto"/>
        </w:rPr>
        <w:t>Gain from extinguishment of convertible preferred stock warrants 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-271780</wp:posOffset>
            </wp:positionV>
            <wp:extent cx="550545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600" w:right="380" w:hanging="215"/>
        <w:spacing w:after="0" w:line="261" w:lineRule="auto"/>
        <w:rPr>
          <w:sz w:val="20"/>
          <w:szCs w:val="20"/>
          <w:color w:val="auto"/>
        </w:rPr>
      </w:pPr>
      <w:r>
        <w:rPr>
          <w:rFonts w:ascii="Arial" w:cs="Arial" w:eastAsia="Arial" w:hAnsi="Arial"/>
          <w:sz w:val="18"/>
          <w:szCs w:val="18"/>
          <w:color w:val="auto"/>
        </w:rPr>
        <w:t>Deemed dividend related to the change in conversion rate of Series 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-283845</wp:posOffset>
            </wp:positionV>
            <wp:extent cx="550545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0545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93"/>
              </w:rPr>
              <w:t>Year Ended</w:t>
            </w:r>
          </w:p>
        </w:tc>
      </w:tr>
      <w:tr>
        <w:trPr>
          <w:trHeight w:val="129"/>
        </w:trPr>
        <w:tc>
          <w:tcPr>
            <w:tcW w:w="20" w:type="dxa"/>
            <w:vAlign w:val="bottom"/>
          </w:tcPr>
          <w:p>
            <w:pPr>
              <w:spacing w:after="0"/>
              <w:rPr>
                <w:sz w:val="11"/>
                <w:szCs w:val="11"/>
                <w:color w:val="auto"/>
              </w:rPr>
            </w:pPr>
          </w:p>
        </w:tc>
        <w:tc>
          <w:tcPr>
            <w:tcW w:w="8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4"/>
              </w:rPr>
              <w:t>December 31,</w:t>
            </w:r>
          </w:p>
        </w:tc>
        <w:tc>
          <w:tcPr>
            <w:tcW w:w="1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17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center"/>
              <w:ind w:left="196"/>
              <w:spacing w:after="0"/>
              <w:rPr>
                <w:sz w:val="20"/>
                <w:szCs w:val="20"/>
                <w:color w:val="auto"/>
              </w:rPr>
            </w:pPr>
            <w:r>
              <w:rPr>
                <w:rFonts w:ascii="Arial" w:cs="Arial" w:eastAsia="Arial" w:hAnsi="Arial"/>
                <w:sz w:val="18"/>
                <w:szCs w:val="18"/>
                <w:color w:val="auto"/>
                <w:w w:val="80"/>
              </w:rPr>
              <w:t>(628)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(3,101)</w:t>
            </w:r>
          </w:p>
        </w:tc>
        <w:tc>
          <w:tcPr>
            <w:tcW w:w="60" w:type="dxa"/>
            <w:vAlign w:val="bottom"/>
          </w:tcPr>
          <w:p>
            <w:pPr>
              <w:spacing w:after="0"/>
              <w:rPr>
                <w:sz w:val="18"/>
                <w:szCs w:val="18"/>
                <w:color w:val="auto"/>
              </w:rPr>
            </w:pPr>
          </w:p>
        </w:tc>
      </w:tr>
      <w:tr>
        <w:trPr>
          <w:trHeight w:val="41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center"/>
              <w:ind w:left="56"/>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(1,483)</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center"/>
              <w:ind w:left="56"/>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center"/>
              <w:ind w:left="56"/>
              <w:spacing w:after="0"/>
              <w:rPr>
                <w:sz w:val="20"/>
                <w:szCs w:val="20"/>
                <w:color w:val="auto"/>
              </w:rPr>
            </w:pPr>
            <w:r>
              <w:rPr>
                <w:rFonts w:ascii="Arial" w:cs="Arial" w:eastAsia="Arial" w:hAnsi="Arial"/>
                <w:sz w:val="18"/>
                <w:szCs w:val="18"/>
                <w:color w:val="auto"/>
                <w:w w:val="99"/>
              </w:rPr>
              <w:t>—</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(9,900)</w:t>
            </w:r>
          </w:p>
        </w:tc>
      </w:tr>
    </w:tbl>
    <w:p>
      <w:pPr>
        <w:spacing w:after="0" w:line="156" w:lineRule="exact"/>
        <w:rPr>
          <w:sz w:val="20"/>
          <w:szCs w:val="20"/>
          <w:color w:val="auto"/>
        </w:rPr>
      </w:pPr>
    </w:p>
    <w:p>
      <w:pPr>
        <w:sectPr>
          <w:pgSz w:w="11900" w:h="16838" w:orient="portrait"/>
          <w:cols w:equalWidth="0" w:num="2">
            <w:col w:w="6620" w:space="720"/>
            <w:col w:w="4060"/>
          </w:cols>
          <w:pgMar w:left="240" w:top="459" w:right="259" w:bottom="1440" w:gutter="0" w:footer="0" w:header="0"/>
          <w:type w:val="continuous"/>
        </w:sectPr>
      </w:pPr>
    </w:p>
    <w:p>
      <w:pPr>
        <w:ind w:firstLine="456"/>
        <w:spacing w:after="0" w:line="290" w:lineRule="auto"/>
        <w:rPr>
          <w:sz w:val="20"/>
          <w:szCs w:val="20"/>
          <w:color w:val="auto"/>
        </w:rPr>
      </w:pPr>
      <w:r>
        <w:rPr>
          <w:rFonts w:ascii="Arial" w:cs="Arial" w:eastAsia="Arial" w:hAnsi="Arial"/>
          <w:sz w:val="16"/>
          <w:szCs w:val="16"/>
          <w:color w:val="auto"/>
        </w:rPr>
        <w:t>Interest expense decreased $2.5 million, or 80%, to $0.6 million for 2012, compared to $3.1 million for 2011. The decrease is primarily due to $1.2 million of non-cash interest expense in connection with a $5.0 million note and warrant agreement entered into in January 2011. We repaid all principal and interest outstanding under the note in February 2011 upon the closing of our IPO. There was no similar transaction or recognition of expense in 2012. The decrease also resulted from a reduction in the principal amount of our long-term debt beginning in March 2011, when we began making principal and interest payments totaling $0.6 million per month. As required under our loan agreement, we made an additional principal payment of $2.3 million in March 2012. In June 2012, we elected to make another principal payment of $1.9 million using proceeds from our line of credit. In August and September 2012, we elected to pay the remaining $2.2 million balance due under the loan agreement.</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our IPO, the fair value of the convertible preferred stock warrant liability increased resulting in a loss of $1.5 million in 2011. We did not have any outstanding convertible preferred stock warrants during 2012 as all convertible preferred stock warrants were either converted into warrants to purchase common stock, or expired unexercised, or were exercised for shares of our common stock upon the closing of our IPO in February 2011. Upon the closing of our IPO, liabilities related to the expired warrants were reversed, resulting in a gain of $0.8 million during 2011. Liabilities related to the warrants that were converted into warrants to purchase common stock and warrants that were exercised in connection with our IPO were reclassified to additional paid-in-capital.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Deemed Dividend</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January 2011, we amended and restated our certificate of incorporation to decrease the conversion price of our Series E convertible preferred stock from $24.22 to $18.63 per share. As a result, we recognized a deemed dividend of $9.9 million, reflecting the fair value of the additional shares of common stock to be issued as a result of the change in conversion price of the Series E convertible preferred stock. The deemed dividend increased the net loss attributed to common stockholders in the calculation of basic and diluted net loss per share.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2011 and December 31, 2010</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increased by $9.3 million, or 28%, to $42.9 million for 2011 as compared to $33.6 million for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Product revenue increased by $10.1 million, or 33%, to $40.6 million for 2011 as compared to $30.5 million for 2010, reflecting increased revenue from sales of instruments and consumables. Consumables revenue increased by $5.6 million, or 58%, resulting from our higher installed base of instruments and the launch of our assays business in the first half of 2011. Instrument revenue increased by $4.5 million, or 22%, resulting from an increase in instrument sales volume of 19%, primarily driven by sales of our Access Array instrument. Average instrument selling prices were higher for 2011 compared to 2010 due to the launch of our BioMark HD system in the first quarter of 2011, which has a higher average selling price than our other systems, and increased sales in Japan and Europe, where average selling prices are higher, partially offset by increased sales of our Access Array systems, which has a lower average selling price compared to our BioMark and EP1 systems.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and Collaboration Revenue</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License and collaboration revenue was $1.7 million for 2011, compared to $1.6 million for 2010, primarily related to a collaboration agreement with Novartis V&amp;D that we entered into in May 2010. The collaboration agreement provided for an up-front payment of $0.7 million that was recognized on a straight-line basis over the estimated period of performance under the agreement. In March 2011, we amended the agreement and received an additional $0.3 million payment. Under the amendment, certain milestones and the payment terms associated with satisfaction of the milestones were modified. The $0.7 million up-front payment and the $0.3 million payment received in March 2011 were being recognized on a straight-line basis through September 30, 2011, which was management’s best estimate of its period of performance under the amended agreement. During July 2011, we reassessed the period of performance and extended it through November 2011. This change in estimate did not have a material impact on the recognition of the remaining deferred revenue under the agreement.</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arrangement also provided for milestone payments for the design and development of product prototypes, which have been recognized as we achieved each milestone. During 2011, we achieved three milestones, submitted our final report under the agreement, and recognized $1.0 million of milestone revenue. During 2010, we achieved three milestones and recognized $1.25 million of milestone revenue. All of our performance obligations under the agreement were completed at December 31,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jc w:val="both"/>
        <w:ind w:right="200" w:firstLine="456"/>
        <w:spacing w:after="0" w:line="255" w:lineRule="auto"/>
        <w:rPr>
          <w:sz w:val="20"/>
          <w:szCs w:val="20"/>
          <w:color w:val="auto"/>
        </w:rPr>
      </w:pPr>
      <w:r>
        <w:rPr>
          <w:rFonts w:ascii="Arial" w:cs="Arial" w:eastAsia="Arial" w:hAnsi="Arial"/>
          <w:sz w:val="18"/>
          <w:szCs w:val="18"/>
          <w:color w:val="auto"/>
        </w:rPr>
        <w:t>Grant revenue consists of incentive grants from government entities, including EDB and CIRM. Grant revenue decreased $0.9 million to $0.6 million for 2011, compared to $1.5 million for 2010. The decrease relates to a reduction in activity under the EDB grant agreements as we achieved certain milestones and reached the end of the grant periods, partially offset by new grant revenue from CIRM. Under our incentive grant agreements with EDB, we received incentive grant payments equal to a portion of qualifying expenses we incurred in Singapore. Qualifying expenses incurred by us in Singapore were $0.5 million in 2011 and $3.8 million in 2010.</w:t>
      </w:r>
    </w:p>
    <w:p>
      <w:pPr>
        <w:spacing w:after="0" w:line="14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Our agreements with EDB provided that grants extended to us were subject to certain grant conditions, including increasing our levels of research, development and manufacturing in Singapore through the use of local service providers, the hiring and training of personnel in Singapore, the incurrence of research and development expenses in Singapore, receipt of new investment in our company and the achievement of certain agreed upon milestones relating to the development of our products. Development and manufacturing milestones achieved include completion of feasibility studies and prototype development, establishment of manufacturing lines,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process automation and manufacturing yield improvements for our chips and related instruments. These agreements further provided EDB with the right to demand repayment of a portion of past grants in the event that we did not meet our obligations under the applicable agreements. Our first grant agreement with the EDB was completed in July 2010. In October 2010, we received confirmation from EDB that all of our obligations under the first grant had been met and, in October 2010, we received our final grant payment relating thereto. Our second grant agreement with the EDB was completed in May 2011. Based on correspondence with EDB, we believe we have satisfied our obligations applicable to our EDB grant revenue through December 31, 2011.</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first CIRM grant was awarded in 2009 in the amount of $0.8 million to be earned over a two-year period. Our second CIRM grant was awarded in 2011 in the amount of $1.9 million to be earned over a three-year period. The CIRM grant revenue is recognized as the related research and development services are performed and costs associated with the grants are recognized as research and development expense during the period incurred.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w w:val="88"/>
              </w:rPr>
              <w:t>Year Ended</w:t>
            </w:r>
          </w:p>
        </w:tc>
      </w:tr>
      <w:tr>
        <w:trPr>
          <w:trHeight w:val="129"/>
        </w:trPr>
        <w:tc>
          <w:tcPr>
            <w:tcW w:w="37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1"/>
                <w:szCs w:val="11"/>
                <w:color w:val="auto"/>
              </w:rPr>
            </w:pPr>
          </w:p>
        </w:tc>
      </w:tr>
      <w:tr>
        <w:trPr>
          <w:trHeight w:val="161"/>
        </w:trPr>
        <w:tc>
          <w:tcPr>
            <w:tcW w:w="3740" w:type="dxa"/>
            <w:vAlign w:val="bottom"/>
          </w:tcPr>
          <w:p>
            <w:pPr>
              <w:spacing w:after="0"/>
              <w:rPr>
                <w:sz w:val="14"/>
                <w:szCs w:val="14"/>
                <w:color w:val="auto"/>
              </w:rPr>
            </w:pPr>
          </w:p>
        </w:tc>
        <w:tc>
          <w:tcPr>
            <w:tcW w:w="286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7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r>
      <w:tr>
        <w:trPr>
          <w:trHeight w:val="210"/>
        </w:trPr>
        <w:tc>
          <w:tcPr>
            <w:tcW w:w="3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product revenue</w:t>
            </w:r>
          </w:p>
        </w:tc>
        <w:tc>
          <w:tcPr>
            <w:tcW w:w="20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13,191</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11,581</w:t>
            </w:r>
          </w:p>
        </w:tc>
        <w:tc>
          <w:tcPr>
            <w:tcW w:w="200" w:type="dxa"/>
            <w:vAlign w:val="bottom"/>
            <w:tcBorders>
              <w:top w:val="single" w:sz="8" w:color="CCEEFF"/>
            </w:tcBorders>
            <w:shd w:val="clear" w:color="auto" w:fill="CCEEFF"/>
          </w:tcPr>
          <w:p>
            <w:pPr>
              <w:spacing w:after="0"/>
              <w:rPr>
                <w:sz w:val="18"/>
                <w:szCs w:val="18"/>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Product margin</w:t>
            </w:r>
          </w:p>
        </w:tc>
        <w:tc>
          <w:tcPr>
            <w:tcW w:w="302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assembly labor and overhead, installation, packaging, and delivery costs. In addition, cost of product revenue includes royalty costs for licensed technologies included in our products, warranty, service, provisions for slow-moving and obsolete inventory, and stock-based compensation expense. Costs related to license, collaboration and grant revenue are included in research and development expense.</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Cost of product revenue increased $1.6 million, or 14%, to $13.2 million for 2011 from $11.6 million for 2010 due to increased product sales in 2011. Cost of product revenue as a percentage of related revenue decreased to 33% for 2011 compared to 38% for 2010. This decrease was primarily due to lower instrument component costs and higher instrument average selling prices, and, to a lesser extent, lower IFC manufacturing costs.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3"/>
              <w:spacing w:after="0"/>
              <w:rPr>
                <w:sz w:val="20"/>
                <w:szCs w:val="20"/>
                <w:color w:val="auto"/>
              </w:rPr>
            </w:pPr>
            <w:r>
              <w:rPr>
                <w:rFonts w:ascii="Arial" w:cs="Arial" w:eastAsia="Arial" w:hAnsi="Arial"/>
                <w:sz w:val="14"/>
                <w:szCs w:val="14"/>
                <w:b w:val="1"/>
                <w:bCs w:val="1"/>
                <w:color w:val="auto"/>
                <w:w w:val="98"/>
              </w:rPr>
              <w:t>Year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4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31,304</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29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48,240</w:t>
            </w:r>
          </w:p>
        </w:tc>
        <w:tc>
          <w:tcPr>
            <w:tcW w:w="10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760" w:type="dxa"/>
            <w:vAlign w:val="bottom"/>
            <w:vMerge w:val="restart"/>
          </w:tcPr>
          <w:p>
            <w:pPr>
              <w:jc w:val="right"/>
              <w:ind w:right="1592"/>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to support development and commercialization of new and existing products and services.</w:t>
      </w:r>
    </w:p>
    <w:p>
      <w:pPr>
        <w:spacing w:after="0" w:line="14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Research and development expense increased $0.9 million, or 7%, to $13.9 million for 2011, compared to $13.0 million for 2010. The increase relates primarily to increased lab supplies and consumables of $0.6 million, consulting and professional fees of $0.2 million to support our new product development, and increased compensation and personnel related costs of $0.3 million, which include stock based compensation, partially offset by lower equipment and depreciation expense of $0.2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Selling, general and administrative expense increased $7.8 million, or 33%, to $31.3 million for 2011, compared to $23.5 million for 2010. The increase was primarily due to increased compensation costs and related expenses, including stock-based compensation, of $5.4 million, resulting from increased headcount to support our business and revenue growth, increased legal and professional fees of $1.7 million, increased other costs of $1.0 million to support our public company requirements, and increased advertising and promotional costs of $0.4 million to support our new product introductions and to increase market awareness of our products, partially offset by lower rent expense of $0.4 million resulting from our lease renewal on more favorable terms for our headquarters facility in South San Francisco, California and a decrease in our provision for bad debt expense of $0.3 million.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90"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On June 30, 2011, we settled certain litigation and entered into a series of patent license agreements resulting in a net $3.0 million payment by us to Life Technologies Corporation and its Applied Biosystems, LLC subsidiary, referred to as Life. The payment was recognized as litigation settlement expense in our consolidated statement of operations because the amount paid by us was principally attributable to resolving Life’s litigation claims against us with respect to a specific expiring U.S. patent and its foreign counterparts.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terms of the agreements, each party had the option, exercisable for thirty days from the date of the agreements, to limit or preclude certain patent litigation between the parties over a period of two to four years. These rights were subject to certain exceptions and required an additional payment by the party exercising the option at the time of exercise. In July 2011, we exercised our option and paid Life $2.0 million. As a result, subject to certain exceptions, Life may not initiate litigation under its patents existing as of June 30, 2011 against our customers for two years and against us, with respect to our current products and equivalent future products, for four years. The additional payment was recorded in other assets and is being amortized to selling, general and administrative expense over four years on a straight-line basis beginning in July 2011. The additional payment is being amortized to selling, general and administrative expense because it precludes Life from initiating litigation under its relevant patents for any alleged prior and future infringement by us for four years, and because such preclusion relates to our equivalent future products. Life elected not to exercise its option.</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Litigation settlement expense increased $3.0 million for 2011 as a result of the agreements entered into with Life on June 30, 2011. We had no similar agreement in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receive interest income from our cash and cash equivalents and investments. Conversely, we incur, or have incurred, interest expense from our long-term debt, bank line of credit and convertible promissory notes, and the amortization of debt discounts related to these items. Until the completion of our IPO, we also recognized income or expense as a result of changes in the fair value of outstanding warrants to purchase shares of our convertible preferred stock. The following table presents these items for each period presented (in thousands).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90"/>
              </w:rPr>
              <w:t>Year Ended</w:t>
            </w:r>
          </w:p>
        </w:tc>
      </w:tr>
      <w:tr>
        <w:trPr>
          <w:trHeight w:val="129"/>
        </w:trPr>
        <w:tc>
          <w:tcPr>
            <w:tcW w:w="5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r>
      <w:tr>
        <w:trPr>
          <w:trHeight w:val="161"/>
        </w:trPr>
        <w:tc>
          <w:tcPr>
            <w:tcW w:w="5440" w:type="dxa"/>
            <w:vAlign w:val="bottom"/>
          </w:tcPr>
          <w:p>
            <w:pPr>
              <w:spacing w:after="0"/>
              <w:rPr>
                <w:sz w:val="14"/>
                <w:szCs w:val="14"/>
                <w:color w:val="auto"/>
              </w:rPr>
            </w:pPr>
          </w:p>
        </w:tc>
        <w:tc>
          <w:tcPr>
            <w:tcW w:w="13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16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5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(3,101)</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(2,158)</w:t>
            </w:r>
          </w:p>
        </w:tc>
        <w:tc>
          <w:tcPr>
            <w:tcW w:w="120" w:type="dxa"/>
            <w:vAlign w:val="bottom"/>
            <w:tcBorders>
              <w:top w:val="single" w:sz="8" w:color="CCEEFF"/>
            </w:tcBorders>
            <w:shd w:val="clear" w:color="auto" w:fill="CCEEFF"/>
          </w:tcPr>
          <w:p>
            <w:pPr>
              <w:spacing w:after="0"/>
              <w:rPr>
                <w:sz w:val="18"/>
                <w:szCs w:val="18"/>
                <w:color w:val="auto"/>
              </w:rPr>
            </w:pPr>
          </w:p>
        </w:tc>
      </w:tr>
      <w:tr>
        <w:trPr>
          <w:trHeight w:val="208"/>
        </w:trPr>
        <w:tc>
          <w:tcPr>
            <w:tcW w:w="5440" w:type="dxa"/>
            <w:vAlign w:val="bottom"/>
          </w:tcPr>
          <w:p>
            <w:pPr>
              <w:spacing w:after="0"/>
              <w:rPr>
                <w:sz w:val="20"/>
                <w:szCs w:val="20"/>
                <w:color w:val="auto"/>
              </w:rPr>
            </w:pPr>
            <w:r>
              <w:rPr>
                <w:rFonts w:ascii="Arial" w:cs="Arial" w:eastAsia="Arial" w:hAnsi="Arial"/>
                <w:sz w:val="18"/>
                <w:szCs w:val="18"/>
                <w:color w:val="auto"/>
              </w:rPr>
              <w:t>Loss from changes in the fair value of convertible preferred stock</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5440" w:type="dxa"/>
            <w:vAlign w:val="bottom"/>
          </w:tcPr>
          <w:p>
            <w:pPr>
              <w:ind w:left="220"/>
              <w:spacing w:after="0"/>
              <w:rPr>
                <w:sz w:val="20"/>
                <w:szCs w:val="20"/>
                <w:color w:val="auto"/>
              </w:rPr>
            </w:pPr>
            <w:r>
              <w:rPr>
                <w:rFonts w:ascii="Arial" w:cs="Arial" w:eastAsia="Arial" w:hAnsi="Arial"/>
                <w:sz w:val="18"/>
                <w:szCs w:val="18"/>
                <w:color w:val="auto"/>
              </w:rPr>
              <w:t>warrants, net</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(1,483)</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(445)</w:t>
            </w:r>
          </w:p>
        </w:tc>
      </w:tr>
      <w:tr>
        <w:trPr>
          <w:trHeight w:val="21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Gain from expiration of unexercised warrants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Other income, net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r>
      <w:tr>
        <w:trPr>
          <w:trHeight w:val="20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7"/>
              </w:rPr>
              <w:t>Deemed dividend related to the change in conversion rate of Series E</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preferred stock</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(9,900)</w:t>
            </w:r>
          </w:p>
        </w:tc>
        <w:tc>
          <w:tcPr>
            <w:tcW w:w="8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Interest expense increased $0.9 million, or 44%, to $3.1 million for 2011, compared to $2.2 million for 2010. The increase is primarily due to $1.2 million of non-cash interest expense in connection with a $5.0 million note and warrant purchase agreement entered into in January 2011. We repaid all principal and interest outstanding under the notes in February 2011 upon the completion of our IPO. There was no similar transaction or recognition of expense in 2010.</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Losses from changes in the fair value of preferred stock warrants increased $1.1 million to $1.5 million for 2011 from $0.4 million for 2010 due to an increase in the warrant liability fair value through the completion of our IPO on February 15, 2011. Upon completion of our IPO, our outstanding preferred stock warrants converted into warrants to purchase common stock or expired unexercised. A portion of the preferred stock warrants that converted into warrants to purchase common stock were net exercised in connection with our IPO. Liabilities related to the expired warrants were reversed and resulted in a gain reflected in other income. Liabilities related to the warrants that were converted into warrants to purchase common stock and warrants that were exercised for common stock were reclassified to additional paid-in-capital.</w:t>
      </w:r>
    </w:p>
    <w:p>
      <w:pPr>
        <w:spacing w:after="0" w:line="14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Other income decreased from $0.4 million in 2010 to $0.1 million for 2011, a decrease of 77%, to primarily due to unfavorable changes in foreign currency exchange gains and losses partially offset by an increase in interest income due to the increase in our cash, cash equivalents and investments during 2011.</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Deemed Dividend</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January 2011, we amended and restated our certificate of incorporation to decrease the conversion price of our Series E convertible preferred stock from $24.22 to $18.63 per share. As a result, we recognized a deemed dividend of $9.9 million, reflecting the fair value of the additional shares of common stock to be issued as a result of the change in conversion price of the Series E convertible preferred stock. The deemed dividend increased the net loss attributed to common stockholders in the calculation of basic and diluted net loss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As of December 31, 2012, we had $58.6 million of cash and cash equivalents and $25.0 million of short-term and long-term investments. As of December 31, 2012, our working capital totaled $89.6 million.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primary source of liquidity has been cash flows from proceeds from our IPO and secondary offering. In February 2011, we completed our IPO which resulted in proceeds to us of approximately $77.0 million, net of underwriting commissions and issuance costs. Following the completion of our IPO, we paid the balance on our bank line of credit of $3.1 million, and paid $5.0 million to satisfy all outstanding principal and interest on the notes we issued in January 2011.</w:t>
      </w:r>
    </w:p>
    <w:p>
      <w:pPr>
        <w:spacing w:after="0" w:line="10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August 2012, we completed an underwritten public offering which resulted in proceeds to us of approximately $56.0 million, net of underwriting commissions and issuance costs.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December 2010, we entered into a bank line of credit agreement that was collateralized by our assets, excluding our intellectual property, and provided us the ability to draw up to $7.0 million, subject to certain covenants and restrictions.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December 2012, we amended our bank line of credit to extend the term for an additional two years that provides us with the ability to borrow up to $10.0 million, of which $6.0 million is available on a non-formula basis, subject to certain covenants and other restrictions. The balance of the $4.0 million of the line of credit is available based on eligible receivables. At December 31, 2012, there was no outstanding balance on the bank line of credit.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72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Cash flow summary</w:t>
            </w:r>
          </w:p>
        </w:tc>
        <w:tc>
          <w:tcPr>
            <w:tcW w:w="1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120" w:type="dxa"/>
            <w:vAlign w:val="bottom"/>
            <w:gridSpan w:val="3"/>
          </w:tcPr>
          <w:p>
            <w:pPr>
              <w:jc w:val="right"/>
              <w:ind w:right="40"/>
              <w:spacing w:after="0"/>
              <w:rPr>
                <w:sz w:val="20"/>
                <w:szCs w:val="20"/>
                <w:color w:val="auto"/>
              </w:rPr>
            </w:pPr>
            <w:r>
              <w:rPr>
                <w:rFonts w:ascii="Arial" w:cs="Arial" w:eastAsia="Arial" w:hAnsi="Arial"/>
                <w:sz w:val="18"/>
                <w:szCs w:val="18"/>
                <w:color w:val="auto"/>
              </w:rPr>
              <w:t>$ (17,478)</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 (17,542)</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$(11,508)</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14,001</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(45,110)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120" w:type="dxa"/>
            <w:vAlign w:val="bottom"/>
            <w:gridSpan w:val="3"/>
          </w:tcPr>
          <w:p>
            <w:pPr>
              <w:jc w:val="right"/>
              <w:ind w:right="100"/>
              <w:spacing w:after="0"/>
              <w:rPr>
                <w:sz w:val="20"/>
                <w:szCs w:val="20"/>
                <w:color w:val="auto"/>
              </w:rPr>
            </w:pPr>
            <w:r>
              <w:rPr>
                <w:rFonts w:ascii="Arial" w:cs="Arial" w:eastAsia="Arial" w:hAnsi="Arial"/>
                <w:sz w:val="18"/>
                <w:szCs w:val="18"/>
                <w:color w:val="auto"/>
              </w:rPr>
              <w:t>48,521</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70,367</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3,797</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45,096</w:t>
            </w:r>
          </w:p>
        </w:tc>
        <w:tc>
          <w:tcPr>
            <w:tcW w:w="1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7,830</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(8,879)</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derive cash flows from operations primarily from cash collected from the sale of our products, collaboration and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Net cash used in operating activities was $17.5 million, $17.5 million, and $11.5 million in 2012, 2011, and 2010, respectively. Net cash used in operating activities during 2012 primarily consisted of our net loss of $19.0 million and changes in our operating assets and liabilities in the amount of $4.8 million, offset by non-cash expense items, such as stock-based compensation, of $4.1 million, and depreciation and amortization of our property and equipment and license agreement rights of $2.2 million.</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Net cash used in operating activities during 2011 primarily consisted of our net loss of $22.5 million and changes in our operating assets and liabilities in the amount of $1.3 million, offset by non-cash expense items, such as stock-based compensation, of $2.8 million, loss from changes in the fair value of convertible preferred stock warrants of $1.5 million, depreciation and amortization of our property and equipment and license agreement rights of $1.4 million, write offs of debt discounts of $1.2 million upon repayment of notes, amortization of debt discounts and issuance cost of $0.2 million, and a gain from extinguishment of convertible preferred stock warrants of $0.8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cash used in operating activities of $11.5 million during 2010 primarily consisted of our net loss of $16.9 million, offset by changes in our operating assets and liabilities in the amount of $1.9 million, and non-cash expense items, such as stock-based compensation, of $1.6 million, depreciation and amortization of our property and equipment of $1.1 million, loss from changes in the fair value of convertible preferred stock warrants of $0.4 million, and amortization of debt discounts and issuance cost of $0.4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Our primary investing activities consisted of purchases, sales and maturities of our short-term and long-term investments and capital expenditures for manufacturing, laboratory and computer equipment and software to support our expanding infrastructure and work force. We expect to continue to expand our manufacturing capability, including improvements in manufacturing productivity, and expect to incur additional costs for capital expenditures related to these efforts in future periods. In addition, we expect to continue to incur costs for capital expenditures for demonstration units and loaner equipment to support our sales and service efforts and computer equipment and software to support our growth.</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cash provided by investing activities was $14.0 million in 2012 and net cash used in investing activities was $45.1 million and $1.3 million in 2011 and 2010, respectively. Net cash provided by investing activities during 2012 primarily consisted of proceeds from sales and maturities of short-term and long-term investments of $51.8 million, partially offset by purchases of investments of $35.4 million and purchases of capital equipment of $2.4 million to support growth in our commercial and manufacturing operations.</w:t>
      </w:r>
    </w:p>
    <w:p>
      <w:pPr>
        <w:spacing w:after="0" w:line="143" w:lineRule="exact"/>
        <w:rPr>
          <w:sz w:val="20"/>
          <w:szCs w:val="20"/>
          <w:color w:val="auto"/>
        </w:rPr>
      </w:pPr>
    </w:p>
    <w:p>
      <w:pPr>
        <w:jc w:val="both"/>
        <w:ind w:right="620" w:firstLine="456"/>
        <w:spacing w:after="0" w:line="306" w:lineRule="auto"/>
        <w:rPr>
          <w:sz w:val="20"/>
          <w:szCs w:val="20"/>
          <w:color w:val="auto"/>
        </w:rPr>
      </w:pPr>
      <w:r>
        <w:rPr>
          <w:rFonts w:ascii="Arial" w:cs="Arial" w:eastAsia="Arial" w:hAnsi="Arial"/>
          <w:sz w:val="16"/>
          <w:szCs w:val="16"/>
          <w:color w:val="auto"/>
        </w:rPr>
        <w:t>We used $45.1 million of cash in investing activities during 2011 primarily consisting of purchases of short-term and long-term investments, net of maturities and sales, of $41.4 million, purchase of capital equipment of $1.7 million to support our infrastructure, including information technology, and manufacturing operations, and license agreement rights under our settlement with Life of $2.0 million.</w:t>
      </w:r>
    </w:p>
    <w:p>
      <w:pPr>
        <w:spacing w:after="0" w:line="107"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We used $1.3 million of cash in investing activities during 2010 for purchases of capital equipment to support our infrastructure and manufacturing operations of $1.5 million, partially offset by the release of $0.2 million from restricted cash for a sub-lease that expired and from a lower restricted cash requirement on the new lease for our headquarters facility in South San Francisco, California.</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generated $48.5 million of cash from financing activities during 2012 primarily from proceeds from our underwritten public offering completed in August 2012 of approximately $56.0 million, net of underwriting commissions and issuance costs, proceeds from the exercise of options to purchase our common stock of $2.7 million, partially offset by repayment of principal on our long-term debt of $10.2 million.</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generated $70.4 million of cash from financing activities during 2011 primarily from proceeds of $77.0 million from our initial public offering, net of underwriting commissions and issuance costs, and proceeds from the exercise of stock options of $1.3 million, partially offset by principal payments on our long-term debt of $4.7 million and repayment of our bank line of credit balance of $3.1 million.</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generated $3.8 million of cash from financing activities during 2010 primarily from proceeds from our line of credit of $3.1 million and proceeds from exercises of preferred stock warrants and stock options of $0.7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December 31, 2012, December 31, 2011, and December 31, 2010, our working capital was $89.6 million, $49.9 million, and $2.4 million, respectively, including cash and cash equivalents of $58.6 million, $13.6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and $5.7 million, respectively, and short-term and long-term investments of $25.0 million and $41.4 million at December 31, 2012 and December 31, 2011, respectively. There were no investments at December 31, 2010. In January 2011, we raised $5.0 million through the issuance of subordinated secured promissory notes and warrants to our existing stockholders. In February and March 2011, we repaid the $5.0 million in promissory notes issued by us in January 2011.</w:t>
      </w:r>
    </w:p>
    <w:p>
      <w:pPr>
        <w:spacing w:after="0" w:line="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Beginning in March 2011, we began making principal payments on our long-term debt, following the end of the interest-only period in February 2011. Commencing in March 2011, monthly payments increased from interest payments of $0.2 million to principal and interest payments of $0.6 million. During 2012, we paid the remaining balance due on our long-term debt. Principal payments on our long-term debt were $10.2 million and $4.7 million in 2012 and 2011, respectively. During 2012, 2011, and 2010, our capital expenditures were $2.4 million, $1.7 million, and $1.5 million, respectively. We are estimating capital expenditures to be higher in 2013 primarily to continue our improvements in manufacturing productivity, sales demonstration and loaner equipment to service the growth in our global customer base, and computer equipment and software to support our growth.</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expand the commercialization of our products, expand and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commitments or agreements relating to any such acquisitions.</w:t>
      </w:r>
    </w:p>
    <w:p>
      <w:pPr>
        <w:spacing w:after="0" w:line="12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Since our inception, we have not had any off-balance sheet arrangements as defined in Item 303(a)(4) of the Securities and Exchange Commission’s Regulation 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contractual obligations as of December 31, 2012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7"/>
              </w:rPr>
              <w:t>Payments Due by Period</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Less than 1</w:t>
            </w:r>
          </w:p>
        </w:tc>
        <w:tc>
          <w:tcPr>
            <w:tcW w:w="1100" w:type="dxa"/>
            <w:vAlign w:val="bottom"/>
            <w:gridSpan w:val="2"/>
          </w:tcPr>
          <w:p>
            <w:pPr>
              <w:jc w:val="center"/>
              <w:ind w:left="526"/>
              <w:spacing w:after="0" w:line="129" w:lineRule="exact"/>
              <w:rPr>
                <w:sz w:val="20"/>
                <w:szCs w:val="20"/>
                <w:color w:val="auto"/>
              </w:rPr>
            </w:pPr>
            <w:r>
              <w:rPr>
                <w:rFonts w:ascii="Arial" w:cs="Arial" w:eastAsia="Arial" w:hAnsi="Arial"/>
                <w:sz w:val="14"/>
                <w:szCs w:val="14"/>
                <w:b w:val="1"/>
                <w:bCs w:val="1"/>
                <w:color w:val="auto"/>
                <w:w w:val="79"/>
              </w:rPr>
              <w:t>1-</w:t>
            </w:r>
          </w:p>
        </w:tc>
        <w:tc>
          <w:tcPr>
            <w:tcW w:w="600" w:type="dxa"/>
            <w:vAlign w:val="bottom"/>
          </w:tcPr>
          <w:p>
            <w:pPr>
              <w:spacing w:after="0"/>
              <w:rPr>
                <w:sz w:val="11"/>
                <w:szCs w:val="11"/>
                <w:color w:val="auto"/>
              </w:rPr>
            </w:pPr>
          </w:p>
        </w:tc>
        <w:tc>
          <w:tcPr>
            <w:tcW w:w="420" w:type="dxa"/>
            <w:vAlign w:val="bottom"/>
          </w:tcPr>
          <w:p>
            <w:pPr>
              <w:jc w:val="right"/>
              <w:ind w:right="60"/>
              <w:spacing w:after="0" w:line="129" w:lineRule="exact"/>
              <w:rPr>
                <w:sz w:val="20"/>
                <w:szCs w:val="20"/>
                <w:color w:val="auto"/>
              </w:rPr>
            </w:pPr>
            <w:r>
              <w:rPr>
                <w:rFonts w:ascii="Arial" w:cs="Arial" w:eastAsia="Arial" w:hAnsi="Arial"/>
                <w:sz w:val="14"/>
                <w:szCs w:val="14"/>
                <w:b w:val="1"/>
                <w:bCs w:val="1"/>
                <w:color w:val="auto"/>
              </w:rPr>
              <w:t>3-</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240" w:type="dxa"/>
            <w:vAlign w:val="bottom"/>
          </w:tcPr>
          <w:p>
            <w:pPr>
              <w:spacing w:after="0"/>
              <w:rPr>
                <w:sz w:val="14"/>
                <w:szCs w:val="14"/>
                <w:color w:val="auto"/>
              </w:rPr>
            </w:pP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7"/>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3 Years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0"/>
              </w:rPr>
              <w:t>5 Years</w:t>
            </w:r>
          </w:p>
        </w:tc>
        <w:tc>
          <w:tcPr>
            <w:tcW w:w="6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r>
      <w:tr>
        <w:trPr>
          <w:trHeight w:val="210"/>
        </w:trPr>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$3,027</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$1,545</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Purchase obligations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60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6,903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170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1,545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0"/>
        </w:trPr>
        <w:tc>
          <w:tcPr>
            <w:tcW w:w="6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operating lease obligations relate to a lease for our current headquarters and leases for office space for our foreign subsidiaries. Purchase obligations consist of contractual and legally binding commitments to purchase goods.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If we elect to maintain these license agreements, we will pay aggregate annual fees of approximately $0.4 million per year until 2031. Future payments related to these license agreements have not been included in the contractual obligations table above as the period of time over which the future license payments will be required to be made, and the amount of such payments are indeterminable.</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to UAB shares of our common stock with a value equal to $1.5 million upon the achievement of a certain milestone and based upon the fair market value of our common stock at the time the milestone is achieved. We currently do not anticipate achieving this milestone in the foreseeable future and do not anticipate issuing these shares.</w:t>
      </w:r>
    </w:p>
    <w:p>
      <w:pPr>
        <w:spacing w:after="0" w:line="11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September 2010, we entered into a new lease for our headquarters in South San Francisco, California. The new lease expires in April 2015 and includes a renewal option for an additional three years. We received a $0.4 million lease incentive which is being recognized as a reduction of rent expense on a straight-line basis over the term of the new lease.</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currency denominated cash, receivables and payables as of December 31, 2012 and December 31, 2011 would not have been material.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entered into any material foreign currency hedging contracts although we may do so in the future.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had cash and cash equivalents of $58.6 million at December 31, 2012. These amounts were held primarily in cash on deposit with banks, money market funds, and U.S. government agency securities, which are short-term. We had $25.0 million in investments at December 31, 2012 held primarily in U.S. government agency securities. The contractual maturity periods of $22.9 million of our investments are within one year from December 31, 2012. The contractual maturity periods of our remaining investments are less than two years.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We may adopt specific hedging strategies in the future.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00" w:type="dxa"/>
            <w:vAlign w:val="bottom"/>
            <w:gridSpan w:val="8"/>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80" w:type="dxa"/>
            <w:vAlign w:val="bottom"/>
            <w:gridSpan w:val="3"/>
          </w:tcPr>
          <w:p>
            <w:pPr>
              <w:jc w:val="center"/>
              <w:ind w:right="3080"/>
              <w:spacing w:after="0"/>
              <w:rPr>
                <w:sz w:val="20"/>
                <w:szCs w:val="20"/>
                <w:color w:val="auto"/>
              </w:rPr>
            </w:pPr>
            <w:r>
              <w:rPr>
                <w:rFonts w:ascii="Arial" w:cs="Arial" w:eastAsia="Arial" w:hAnsi="Arial"/>
                <w:sz w:val="18"/>
                <w:szCs w:val="18"/>
                <w:b w:val="1"/>
                <w:bCs w:val="1"/>
                <w:color w:val="auto"/>
                <w:w w:val="87"/>
              </w:rPr>
              <w:t>Index to Consolidated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200" w:type="dxa"/>
            <w:vAlign w:val="bottom"/>
            <w:gridSpan w:val="7"/>
            <w:vMerge w:val="restart"/>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Reports of Independent Registered Public Accounting Firm</w:t>
              </w:r>
            </w:hyperlink>
          </w:p>
        </w:tc>
        <w:tc>
          <w:tcPr>
            <w:tcW w:w="6840" w:type="dxa"/>
            <w:vAlign w:val="bottom"/>
            <w:gridSpan w:val="2"/>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4200" w:type="dxa"/>
            <w:vAlign w:val="bottom"/>
            <w:tcBorders>
              <w:bottom w:val="single" w:sz="8" w:color="0000EE"/>
            </w:tcBorders>
            <w:gridSpan w:val="7"/>
            <w:vMerge w:val="continue"/>
          </w:tcPr>
          <w:p>
            <w:pPr>
              <w:spacing w:after="0"/>
              <w:rPr>
                <w:sz w:val="13"/>
                <w:szCs w:val="13"/>
                <w:color w:val="auto"/>
              </w:rPr>
            </w:pPr>
          </w:p>
        </w:tc>
        <w:tc>
          <w:tcPr>
            <w:tcW w:w="6840" w:type="dxa"/>
            <w:vAlign w:val="bottom"/>
            <w:gridSpan w:val="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18"/>
        </w:trPr>
        <w:tc>
          <w:tcPr>
            <w:tcW w:w="11040" w:type="dxa"/>
            <w:vAlign w:val="bottom"/>
            <w:gridSpan w:val="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69">
              <w:r>
                <w:rPr>
                  <w:rFonts w:ascii="Arial" w:cs="Arial" w:eastAsia="Arial" w:hAnsi="Arial"/>
                  <w:sz w:val="18"/>
                  <w:szCs w:val="18"/>
                  <w:color w:val="0000EE"/>
                  <w:w w:val="87"/>
                </w:rPr>
                <w:t>Consolidated Statements of Operations</w:t>
              </w:r>
            </w:hyperlink>
          </w:p>
        </w:tc>
        <w:tc>
          <w:tcPr>
            <w:tcW w:w="82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11040" w:type="dxa"/>
            <w:vAlign w:val="bottom"/>
            <w:gridSpan w:val="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Comprehensive Loss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Convertible Preferred Stock and Stockholders’ Equity (Deficit)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6420" w:type="dxa"/>
            <w:vAlign w:val="bottom"/>
            <w:tcBorders>
              <w:top w:val="single" w:sz="8" w:color="0000EE"/>
            </w:tcBorders>
            <w:gridSpan w:val="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Cash Flows</w:t>
              </w:r>
            </w:hyperlink>
          </w:p>
        </w:tc>
        <w:tc>
          <w:tcPr>
            <w:tcW w:w="46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83"/>
        </w:trPr>
        <w:tc>
          <w:tcPr>
            <w:tcW w:w="8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4"/>
          </w:tcPr>
          <w:p>
            <w:pPr>
              <w:spacing w:after="0"/>
              <w:rPr>
                <w:sz w:val="24"/>
                <w:szCs w:val="24"/>
                <w:color w:val="auto"/>
              </w:rPr>
            </w:pPr>
          </w:p>
        </w:tc>
        <w:tc>
          <w:tcPr>
            <w:tcW w:w="3340" w:type="dxa"/>
            <w:vAlign w:val="bottom"/>
            <w:gridSpan w:val="3"/>
          </w:tcPr>
          <w:p>
            <w:pPr>
              <w:jc w:val="right"/>
              <w:ind w:right="620"/>
              <w:spacing w:after="0"/>
              <w:rPr>
                <w:sz w:val="20"/>
                <w:szCs w:val="20"/>
                <w:color w:val="auto"/>
              </w:rPr>
            </w:pPr>
            <w:r>
              <w:rPr>
                <w:rFonts w:ascii="Arial" w:cs="Arial" w:eastAsia="Arial" w:hAnsi="Arial"/>
                <w:sz w:val="18"/>
                <w:szCs w:val="18"/>
                <w:color w:val="auto"/>
              </w:rPr>
              <w:t>62</w:t>
            </w: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500" w:firstLine="3508"/>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Fluidigm Corporation</w:t>
      </w:r>
    </w:p>
    <w:p>
      <w:pPr>
        <w:spacing w:after="0" w:line="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Fluidigm Corporation as of December 31, 2012 and 2011, and the related consolidated statements of operations, comprehensive loss, convertible preferred stock and stockholders’ equity (deficit), and cash flows for each of the three years in the period ended December 31, 2012. Our audits also included the financial statement schedule listed in the Index at Item 15(2). These financial statements and schedule are the responsibility of the Company’s management. Our responsibility is to express an opinion on these financial statements and schedule based on our audits.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Fluidigm Corporation at December 31, 2012 and 2011, and the consolidated results of its operations and its cash flows for each of the three years in the period ended December 31,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520" w:firstLine="456"/>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Fluidigm Corporation’s internal control over financial reporting as of December 31, 2012, based on criteria established in Internal Control-Integrated Framework issued by the Committee of Sponsoring Organizations of the Treadway Commission and our report dated March 12, 2013 expressed an unqualified opinion thereon.</w:t>
      </w:r>
    </w:p>
    <w:p>
      <w:pPr>
        <w:spacing w:after="0" w:line="88"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12, 2013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80" w:firstLine="3508"/>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Fluidigm Corporation</w:t>
      </w:r>
    </w:p>
    <w:p>
      <w:pPr>
        <w:spacing w:after="0" w:line="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audited Fluidigm Corporation’s internal control over financial reporting as of December 31, 2012, based on criteria established in Internal Control —Integrated Framework issued by the Committee of Sponsoring Organizations of the Treadway Commission (the COSO criteria). Fluidigm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our opinion, Fluidigm Corporation maintained, in all material respects, effective internal control over financial reporting as of December 31, 2012, based on the COSO criteria.</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Fluidigm Corporation as of December 31, 2012 and 2011, and the related consolidated statements of operations, comprehensive loss, convertible preferred stock and stockholders’ equity (deficit), and cash flows for each of the three years in the period ended December 31, 2012 of Fluidigm Corporation and our report dated March 12, 2013 expressed an unqualified opinion thereon.</w:t>
      </w:r>
    </w:p>
    <w:p>
      <w:pPr>
        <w:spacing w:after="0" w:line="14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12,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85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58,649</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13,553</w:t>
            </w: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21,362</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39,914</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Accounts receivable (net of allowances of $448 and $366 at December 31, 2012 and 2011, respectively)</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9,253</w:t>
            </w: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7,169</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5,970</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r>
      <w:tr>
        <w:trPr>
          <w:trHeight w:val="221"/>
        </w:trPr>
        <w:tc>
          <w:tcPr>
            <w:tcW w:w="85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101,211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70,033</w:t>
            </w: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4,974</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3,256</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113,732</w:t>
            </w:r>
          </w:p>
        </w:tc>
        <w:tc>
          <w:tcPr>
            <w:tcW w:w="7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79,326</w:t>
            </w: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w:t>
            </w: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2,877</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2,442</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w:t>
            </w: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Deferred revenue, current portion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1,886</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current portion</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100" w:type="dxa"/>
            <w:vAlign w:val="bottom"/>
            <w:shd w:val="clear" w:color="auto" w:fill="CCEEFF"/>
          </w:tcPr>
          <w:p>
            <w:pPr>
              <w:spacing w:after="0"/>
              <w:rPr>
                <w:sz w:val="18"/>
                <w:szCs w:val="18"/>
                <w:color w:val="auto"/>
              </w:rPr>
            </w:pPr>
          </w:p>
        </w:tc>
      </w:tr>
      <w:tr>
        <w:trPr>
          <w:trHeight w:val="221"/>
        </w:trPr>
        <w:tc>
          <w:tcPr>
            <w:tcW w:w="85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11,597</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20,171</w:t>
            </w: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r>
      <w:tr>
        <w:trPr>
          <w:trHeight w:val="221"/>
        </w:trPr>
        <w:tc>
          <w:tcPr>
            <w:tcW w:w="85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13,075</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22,429</w:t>
            </w: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Preferred stock, $0.001 par value, 10,000 shares authorized, no shares issued and outstanding at December 31,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2012 and 2011, respectively</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08"/>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w w:val="95"/>
              </w:rPr>
              <w:t>Common stock: $0.001 par value, 200,000 shares authorized at December 31, 2012 and 2011; 25,115 and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20,321 shares issued and outstanding at December 31, 2012 and 2011, respectively</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342,222</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279,428</w:t>
            </w: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(754)</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3"/>
              </w:rPr>
              <w:t>(240,821)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(221,797)</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100,657</w:t>
            </w:r>
          </w:p>
        </w:tc>
        <w:tc>
          <w:tcPr>
            <w:tcW w:w="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56,897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113,732</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79,326</w:t>
            </w: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51,488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40,581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License and collaboration revenue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Grant revenue</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52,334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42,865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33,560</w:t>
            </w: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13,191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16,602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13,936</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38,478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31,304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Litigation settlement</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70,405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61,431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w w:val="86"/>
              </w:rPr>
              <w:t>(18,071)</w:t>
            </w: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(18,566)</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(14,573)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Loss from changes in the fair value of convertible preferred stock warrants,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Gain from extinguishment of convertible preferred stock warrants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(18,888)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(22,304)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(19,024)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(22,470)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8"/>
              </w:rPr>
              <w:t>Deemed dividend related to the change in conversion rate of Series E convertible preferred stock</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(9,900)</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attributed to common stockholders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(19,024)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(32,370)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(16,902)</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attributed to common stockholders, basic and diluted</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(0.86)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used in computing net loss per share attributed to common stockholders, basic and diluted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17,847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8"/>
              </w:rPr>
              <w:t>$</w:t>
            </w:r>
            <w:r>
              <w:rPr>
                <w:rFonts w:ascii="Arial" w:cs="Arial" w:eastAsia="Arial" w:hAnsi="Arial"/>
                <w:sz w:val="18"/>
                <w:szCs w:val="18"/>
                <w:color w:val="auto"/>
                <w:w w:val="78"/>
              </w:rPr>
              <w:t xml:space="preserve"> (19,024</w:t>
            </w:r>
          </w:p>
        </w:tc>
        <w:tc>
          <w:tcPr>
            <w:tcW w:w="440" w:type="dxa"/>
            <w:vAlign w:val="bottom"/>
            <w:gridSpan w:val="2"/>
            <w:shd w:val="clear" w:color="auto" w:fill="CCEEFF"/>
          </w:tcPr>
          <w:p>
            <w:pPr>
              <w:jc w:val="right"/>
              <w:ind w:right="312"/>
              <w:spacing w:after="0"/>
              <w:rPr>
                <w:sz w:val="20"/>
                <w:szCs w:val="20"/>
                <w:color w:val="auto"/>
              </w:rPr>
            </w:pPr>
            <w:r>
              <w:rPr>
                <w:rFonts w:ascii="Arial" w:cs="Arial" w:eastAsia="Arial" w:hAnsi="Arial"/>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(22,470</w:t>
            </w:r>
          </w:p>
        </w:tc>
        <w:tc>
          <w:tcPr>
            <w:tcW w:w="44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(16,902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8480" w:type="dxa"/>
            <w:vAlign w:val="bottom"/>
            <w:gridSpan w:val="2"/>
          </w:tcPr>
          <w:p>
            <w:pPr>
              <w:spacing w:after="0"/>
              <w:rPr>
                <w:sz w:val="20"/>
                <w:szCs w:val="20"/>
                <w:color w:val="auto"/>
              </w:rPr>
            </w:pPr>
            <w:r>
              <w:rPr>
                <w:rFonts w:ascii="Arial" w:cs="Arial" w:eastAsia="Arial" w:hAnsi="Arial"/>
                <w:sz w:val="18"/>
                <w:szCs w:val="18"/>
                <w:color w:val="auto"/>
              </w:rPr>
              <w:t>Other comprehensive loss, net of tax</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gridSpan w:val="4"/>
            <w:shd w:val="clear" w:color="auto" w:fill="CCEEFF"/>
          </w:tcPr>
          <w:p>
            <w:pPr>
              <w:jc w:val="right"/>
              <w:ind w:right="312"/>
              <w:spacing w:after="0"/>
              <w:rPr>
                <w:sz w:val="20"/>
                <w:szCs w:val="20"/>
                <w:color w:val="auto"/>
              </w:rPr>
            </w:pPr>
            <w:r>
              <w:rPr>
                <w:rFonts w:ascii="Arial" w:cs="Arial" w:eastAsia="Arial" w:hAnsi="Arial"/>
                <w:sz w:val="18"/>
                <w:szCs w:val="18"/>
                <w:color w:val="auto"/>
              </w:rPr>
              <w:t>(19)</w:t>
            </w:r>
          </w:p>
        </w:tc>
        <w:tc>
          <w:tcPr>
            <w:tcW w:w="110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ind w:left="420"/>
              <w:spacing w:after="0"/>
              <w:rPr>
                <w:sz w:val="20"/>
                <w:szCs w:val="20"/>
                <w:color w:val="auto"/>
              </w:rPr>
            </w:pPr>
            <w:r>
              <w:rPr>
                <w:rFonts w:ascii="Arial" w:cs="Arial" w:eastAsia="Arial" w:hAnsi="Arial"/>
                <w:sz w:val="18"/>
                <w:szCs w:val="18"/>
                <w:color w:val="auto"/>
              </w:rPr>
              <w:t>Unrealized gain on investments, net</w:t>
            </w:r>
          </w:p>
        </w:tc>
        <w:tc>
          <w:tcPr>
            <w:tcW w:w="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(15)</w:t>
            </w:r>
          </w:p>
        </w:tc>
        <w:tc>
          <w:tcPr>
            <w:tcW w:w="110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80" w:type="dxa"/>
            <w:vAlign w:val="bottom"/>
            <w:gridSpan w:val="2"/>
            <w:vMerge w:val="continue"/>
          </w:tcPr>
          <w:p>
            <w:pPr>
              <w:spacing w:after="0"/>
              <w:rPr>
                <w:sz w:val="19"/>
                <w:szCs w:val="19"/>
                <w:color w:val="auto"/>
              </w:rPr>
            </w:pPr>
          </w:p>
        </w:tc>
        <w:tc>
          <w:tcPr>
            <w:tcW w:w="1080" w:type="dxa"/>
            <w:vAlign w:val="bottom"/>
            <w:gridSpan w:val="4"/>
          </w:tcPr>
          <w:p>
            <w:pPr>
              <w:jc w:val="right"/>
              <w:ind w:right="312"/>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(19,039)</w:t>
            </w:r>
          </w:p>
        </w:tc>
        <w:tc>
          <w:tcPr>
            <w:tcW w:w="1100" w:type="dxa"/>
            <w:vAlign w:val="bottom"/>
            <w:gridSpan w:val="2"/>
          </w:tcPr>
          <w:p>
            <w:pPr>
              <w:jc w:val="right"/>
              <w:ind w:right="298"/>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(22,446)</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(17,176)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6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64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restart"/>
          </w:tcPr>
          <w:p>
            <w:pPr>
              <w:jc w:val="right"/>
              <w:ind w:right="300"/>
              <w:spacing w:after="0" w:line="136" w:lineRule="exact"/>
              <w:rPr>
                <w:sz w:val="20"/>
                <w:szCs w:val="20"/>
                <w:color w:val="auto"/>
              </w:rPr>
            </w:pPr>
            <w:r>
              <w:rPr>
                <w:rFonts w:ascii="Arial" w:cs="Arial" w:eastAsia="Arial" w:hAnsi="Arial"/>
                <w:sz w:val="14"/>
                <w:szCs w:val="14"/>
                <w:b w:val="1"/>
                <w:bCs w:val="1"/>
                <w:color w:val="auto"/>
                <w:w w:val="89"/>
              </w:rPr>
              <w:t>Paid-in</w:t>
            </w:r>
          </w:p>
        </w:tc>
        <w:tc>
          <w:tcPr>
            <w:tcW w:w="1040" w:type="dxa"/>
            <w:vAlign w:val="bottom"/>
            <w:gridSpan w:val="3"/>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2"/>
                <w:szCs w:val="2"/>
                <w:color w:val="auto"/>
              </w:rPr>
            </w:pPr>
          </w:p>
        </w:tc>
        <w:tc>
          <w:tcPr>
            <w:tcW w:w="960" w:type="dxa"/>
            <w:vAlign w:val="bottom"/>
            <w:gridSpan w:val="2"/>
            <w:vMerge w:val="restart"/>
          </w:tcPr>
          <w:p>
            <w:pPr>
              <w:jc w:val="right"/>
              <w:ind w:right="200"/>
              <w:spacing w:after="0" w:line="136" w:lineRule="exact"/>
              <w:rPr>
                <w:sz w:val="20"/>
                <w:szCs w:val="20"/>
                <w:color w:val="auto"/>
              </w:rPr>
            </w:pPr>
            <w:r>
              <w:rPr>
                <w:rFonts w:ascii="Arial" w:cs="Arial" w:eastAsia="Arial" w:hAnsi="Arial"/>
                <w:sz w:val="14"/>
                <w:szCs w:val="14"/>
                <w:b w:val="1"/>
                <w:bCs w:val="1"/>
                <w:color w:val="auto"/>
                <w:w w:val="84"/>
              </w:rPr>
              <w:t>Accumulated</w:t>
            </w:r>
          </w:p>
        </w:tc>
        <w:tc>
          <w:tcPr>
            <w:tcW w:w="90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89"/>
        </w:trPr>
        <w:tc>
          <w:tcPr>
            <w:tcW w:w="4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Capital</w:t>
            </w: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9"/>
              </w:rPr>
              <w:t>Loss</w:t>
            </w:r>
          </w:p>
        </w:tc>
        <w:tc>
          <w:tcPr>
            <w:tcW w:w="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2009</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$ 183,845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(182,425)</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(173,619)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tcPr>
          <w:p>
            <w:pPr>
              <w:ind w:left="440"/>
              <w:spacing w:after="0"/>
              <w:rPr>
                <w:sz w:val="20"/>
                <w:szCs w:val="20"/>
                <w:color w:val="auto"/>
              </w:rPr>
            </w:pPr>
            <w:r>
              <w:rPr>
                <w:rFonts w:ascii="Arial" w:cs="Arial" w:eastAsia="Arial" w:hAnsi="Arial"/>
                <w:sz w:val="18"/>
                <w:szCs w:val="18"/>
                <w:color w:val="auto"/>
                <w:w w:val="99"/>
              </w:rPr>
              <w:t>Issuance of common stock upon exercise of stock</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660"/>
              <w:spacing w:after="0"/>
              <w:rPr>
                <w:sz w:val="20"/>
                <w:szCs w:val="20"/>
                <w:color w:val="auto"/>
              </w:rPr>
            </w:pPr>
            <w:r>
              <w:rPr>
                <w:rFonts w:ascii="Arial" w:cs="Arial" w:eastAsia="Arial" w:hAnsi="Arial"/>
                <w:sz w:val="18"/>
                <w:szCs w:val="18"/>
                <w:color w:val="auto"/>
                <w:w w:val="97"/>
              </w:rPr>
              <w:t>options for cash and for vesting of stock options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660"/>
              <w:spacing w:after="0"/>
              <w:rPr>
                <w:sz w:val="20"/>
                <w:szCs w:val="20"/>
                <w:color w:val="auto"/>
              </w:rPr>
            </w:pPr>
            <w:r>
              <w:rPr>
                <w:rFonts w:ascii="Arial" w:cs="Arial" w:eastAsia="Arial" w:hAnsi="Arial"/>
                <w:sz w:val="18"/>
                <w:szCs w:val="18"/>
                <w:color w:val="auto"/>
              </w:rPr>
              <w:t>that were exercised early</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gridSpan w:val="2"/>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gridSpan w:val="2"/>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08"/>
        </w:trPr>
        <w:tc>
          <w:tcPr>
            <w:tcW w:w="4400" w:type="dxa"/>
            <w:vAlign w:val="bottom"/>
          </w:tcPr>
          <w:p>
            <w:pPr>
              <w:ind w:left="440"/>
              <w:spacing w:after="0"/>
              <w:rPr>
                <w:sz w:val="20"/>
                <w:szCs w:val="20"/>
                <w:color w:val="auto"/>
              </w:rPr>
            </w:pPr>
            <w:r>
              <w:rPr>
                <w:rFonts w:ascii="Arial" w:cs="Arial" w:eastAsia="Arial" w:hAnsi="Arial"/>
                <w:sz w:val="18"/>
                <w:szCs w:val="18"/>
                <w:color w:val="auto"/>
                <w:w w:val="94"/>
              </w:rPr>
              <w:t>Issuance of Series E-1 convertible preferred stock in</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660"/>
              <w:spacing w:after="0"/>
              <w:rPr>
                <w:sz w:val="20"/>
                <w:szCs w:val="20"/>
                <w:color w:val="auto"/>
              </w:rPr>
            </w:pPr>
            <w:r>
              <w:rPr>
                <w:rFonts w:ascii="Arial" w:cs="Arial" w:eastAsia="Arial" w:hAnsi="Arial"/>
                <w:sz w:val="18"/>
                <w:szCs w:val="18"/>
                <w:color w:val="auto"/>
                <w:w w:val="96"/>
              </w:rPr>
              <w:t>connection with warrant amendment and related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660"/>
              <w:spacing w:after="0"/>
              <w:rPr>
                <w:sz w:val="20"/>
                <w:szCs w:val="20"/>
                <w:color w:val="auto"/>
              </w:rPr>
            </w:pPr>
            <w:r>
              <w:rPr>
                <w:rFonts w:ascii="Arial" w:cs="Arial" w:eastAsia="Arial" w:hAnsi="Arial"/>
                <w:sz w:val="18"/>
                <w:szCs w:val="18"/>
                <w:color w:val="auto"/>
                <w:w w:val="90"/>
              </w:rPr>
              <w:t>exercise of convertible preferred stock warrants, net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660"/>
              <w:spacing w:after="0"/>
              <w:rPr>
                <w:sz w:val="20"/>
                <w:szCs w:val="20"/>
                <w:color w:val="auto"/>
              </w:rPr>
            </w:pPr>
            <w:r>
              <w:rPr>
                <w:rFonts w:ascii="Arial" w:cs="Arial" w:eastAsia="Arial" w:hAnsi="Arial"/>
                <w:sz w:val="18"/>
                <w:szCs w:val="18"/>
                <w:color w:val="auto"/>
              </w:rPr>
              <w:t>of issuance costs of $66</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705</w:t>
            </w:r>
          </w:p>
        </w:tc>
        <w:tc>
          <w:tcPr>
            <w:tcW w:w="120" w:type="dxa"/>
            <w:vAlign w:val="bottom"/>
            <w:tcBorders>
              <w:right w:val="single" w:sz="8" w:color="auto"/>
            </w:tcBorders>
            <w:gridSpan w:val="2"/>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common stock upon exercise of</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convertible preferred stock warrants</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gridSpan w:val="2"/>
            <w:shd w:val="clear" w:color="auto" w:fill="CCEEFF"/>
          </w:tcPr>
          <w:p>
            <w:pPr>
              <w:spacing w:after="0"/>
              <w:rPr>
                <w:sz w:val="19"/>
                <w:szCs w:val="19"/>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gridSpan w:val="2"/>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(16,902)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auto"/>
            </w:tcBorders>
            <w:gridSpan w:val="2"/>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Balance as of December 31, 2010</w:t>
            </w:r>
          </w:p>
        </w:tc>
        <w:tc>
          <w:tcPr>
            <w:tcW w:w="580" w:type="dxa"/>
            <w:vAlign w:val="bottom"/>
          </w:tcPr>
          <w:p>
            <w:pPr>
              <w:jc w:val="right"/>
              <w:spacing w:after="0"/>
              <w:rPr>
                <w:sz w:val="20"/>
                <w:szCs w:val="20"/>
                <w:color w:val="auto"/>
              </w:rPr>
            </w:pPr>
            <w:r>
              <w:rPr>
                <w:rFonts w:ascii="Arial" w:cs="Arial" w:eastAsia="Arial" w:hAnsi="Arial"/>
                <w:sz w:val="18"/>
                <w:szCs w:val="18"/>
                <w:color w:val="auto"/>
              </w:rPr>
              <w:t>10,296</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$ 184,550</w:t>
            </w:r>
          </w:p>
        </w:tc>
        <w:tc>
          <w:tcPr>
            <w:tcW w:w="120" w:type="dxa"/>
            <w:vAlign w:val="bottom"/>
            <w:tcBorders>
              <w:right w:val="single" w:sz="8" w:color="auto"/>
            </w:tcBorders>
            <w:gridSpan w:val="2"/>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1,937</w:t>
            </w:r>
          </w:p>
        </w:tc>
        <w:tc>
          <w:tcPr>
            <w:tcW w:w="380" w:type="dxa"/>
            <w:vAlign w:val="bottom"/>
          </w:tcPr>
          <w:p>
            <w:pPr>
              <w:jc w:val="right"/>
              <w:ind w:right="199"/>
              <w:spacing w:after="0"/>
              <w:rPr>
                <w:sz w:val="20"/>
                <w:szCs w:val="20"/>
                <w:color w:val="auto"/>
              </w:rPr>
            </w:pPr>
            <w:r>
              <w:rPr>
                <w:rFonts w:ascii="Arial" w:cs="Arial" w:eastAsia="Arial" w:hAnsi="Arial"/>
                <w:sz w:val="18"/>
                <w:szCs w:val="18"/>
                <w:color w:val="auto"/>
                <w:w w:val="79"/>
              </w:rPr>
              <w:t>$</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10,936</w:t>
            </w: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(778)</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 (199,327)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(189,167)</w:t>
            </w:r>
          </w:p>
        </w:tc>
        <w:tc>
          <w:tcPr>
            <w:tcW w:w="0" w:type="dxa"/>
            <w:vAlign w:val="bottom"/>
          </w:tcPr>
          <w:p>
            <w:pPr>
              <w:spacing w:after="0"/>
              <w:rPr>
                <w:sz w:val="1"/>
                <w:szCs w:val="1"/>
                <w:color w:val="auto"/>
              </w:rPr>
            </w:pPr>
          </w:p>
        </w:tc>
      </w:tr>
      <w:tr>
        <w:trPr>
          <w:trHeight w:val="363"/>
        </w:trPr>
        <w:tc>
          <w:tcPr>
            <w:tcW w:w="4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-384175</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7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720" w:type="dxa"/>
            <w:vAlign w:val="bottom"/>
            <w:gridSpan w:val="5"/>
          </w:tcPr>
          <w:p>
            <w:pPr>
              <w:jc w:val="right"/>
              <w:ind w:right="500"/>
              <w:spacing w:after="0" w:line="149" w:lineRule="exact"/>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380" w:type="dxa"/>
            <w:vAlign w:val="bottom"/>
            <w:gridSpan w:val="5"/>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Common Stock</w:t>
            </w: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vMerge w:val="restart"/>
          </w:tcPr>
          <w:p>
            <w:pPr>
              <w:jc w:val="right"/>
              <w:ind w:right="360"/>
              <w:spacing w:after="0" w:line="136" w:lineRule="exact"/>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2"/>
                <w:szCs w:val="2"/>
                <w:color w:val="auto"/>
              </w:rPr>
            </w:pPr>
          </w:p>
        </w:tc>
        <w:tc>
          <w:tcPr>
            <w:tcW w:w="960" w:type="dxa"/>
            <w:vAlign w:val="bottom"/>
            <w:gridSpan w:val="2"/>
            <w:vMerge w:val="restart"/>
          </w:tcPr>
          <w:p>
            <w:pPr>
              <w:jc w:val="right"/>
              <w:ind w:right="200"/>
              <w:spacing w:after="0" w:line="136" w:lineRule="exact"/>
              <w:rPr>
                <w:sz w:val="20"/>
                <w:szCs w:val="20"/>
                <w:color w:val="auto"/>
              </w:rPr>
            </w:pPr>
            <w:r>
              <w:rPr>
                <w:rFonts w:ascii="Arial" w:cs="Arial" w:eastAsia="Arial" w:hAnsi="Arial"/>
                <w:sz w:val="14"/>
                <w:szCs w:val="14"/>
                <w:b w:val="1"/>
                <w:bCs w:val="1"/>
                <w:color w:val="auto"/>
                <w:w w:val="84"/>
              </w:rPr>
              <w:t>Accumulated</w:t>
            </w:r>
          </w:p>
        </w:tc>
        <w:tc>
          <w:tcPr>
            <w:tcW w:w="120" w:type="dxa"/>
            <w:vAlign w:val="bottom"/>
          </w:tcPr>
          <w:p>
            <w:pPr>
              <w:spacing w:after="0"/>
              <w:rPr>
                <w:sz w:val="2"/>
                <w:szCs w:val="2"/>
                <w:color w:val="auto"/>
              </w:rPr>
            </w:pPr>
          </w:p>
        </w:tc>
        <w:tc>
          <w:tcPr>
            <w:tcW w:w="780" w:type="dxa"/>
            <w:vAlign w:val="bottom"/>
            <w:gridSpan w:val="2"/>
            <w:vMerge w:val="restart"/>
          </w:tcPr>
          <w:p>
            <w:pPr>
              <w:jc w:val="center"/>
              <w:ind w:right="260"/>
              <w:spacing w:after="0" w:line="136"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left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4"/>
                <w:szCs w:val="14"/>
                <w:b w:val="1"/>
                <w:bCs w:val="1"/>
                <w:color w:val="auto"/>
                <w:w w:val="94"/>
              </w:rPr>
              <w:t>Shares</w:t>
            </w:r>
          </w:p>
        </w:tc>
        <w:tc>
          <w:tcPr>
            <w:tcW w:w="1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9"/>
              </w:rPr>
              <w:t>Loss</w:t>
            </w:r>
          </w:p>
        </w:tc>
        <w:tc>
          <w:tcPr>
            <w:tcW w:w="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2010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184,550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left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(199,327)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(189,167)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Issuance of common stock from initial public</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offering, net of issuance costs of $9,346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6,392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76,940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76,946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Change in conversion rate of Series E convertible</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preferred stock</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(9,900)</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Conversion of convertible preferred stock into</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common stock at initial public offering</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(10,296)</w:t>
            </w: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(194,450)</w:t>
            </w:r>
          </w:p>
        </w:tc>
        <w:tc>
          <w:tcPr>
            <w:tcW w:w="80" w:type="dxa"/>
            <w:vAlign w:val="bottom"/>
          </w:tcPr>
          <w:p>
            <w:pPr>
              <w:spacing w:after="0"/>
              <w:rPr>
                <w:sz w:val="19"/>
                <w:szCs w:val="19"/>
                <w:color w:val="auto"/>
              </w:rPr>
            </w:pPr>
          </w:p>
        </w:tc>
        <w:tc>
          <w:tcPr>
            <w:tcW w:w="64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11,480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194,438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194,450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upon exercise of</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warrants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w w:val="93"/>
              </w:rPr>
              <w:t>Conversion of warrants from warrants for preferred</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stock to warrants for common stock</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Issuance of common stock upon exercise of stock</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options for cash and for vesting of stock options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that were early exercised</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(22,470)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Other comprehensive loss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20,321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279,428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(754)</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 (221,797)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56,897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-384175</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5"/>
              </w:rPr>
              <w:t>Preferred 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Additional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vMerge w:val="restart"/>
          </w:tcPr>
          <w:p>
            <w:pPr>
              <w:jc w:val="right"/>
              <w:ind w:right="44"/>
              <w:spacing w:after="0" w:line="136"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2"/>
                <w:szCs w:val="2"/>
                <w:color w:val="auto"/>
              </w:rPr>
            </w:pPr>
          </w:p>
        </w:tc>
        <w:tc>
          <w:tcPr>
            <w:tcW w:w="1040" w:type="dxa"/>
            <w:vAlign w:val="bottom"/>
            <w:gridSpan w:val="3"/>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2"/>
                <w:szCs w:val="2"/>
                <w:color w:val="auto"/>
              </w:rPr>
            </w:pPr>
          </w:p>
        </w:tc>
        <w:tc>
          <w:tcPr>
            <w:tcW w:w="102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84"/>
              </w:rPr>
              <w:t>Accumulated</w:t>
            </w:r>
          </w:p>
        </w:tc>
        <w:tc>
          <w:tcPr>
            <w:tcW w:w="900" w:type="dxa"/>
            <w:vAlign w:val="bottom"/>
            <w:gridSpan w:val="3"/>
            <w:vMerge w:val="restart"/>
          </w:tcPr>
          <w:p>
            <w:pPr>
              <w:spacing w:after="0" w:line="136"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Shares</w:t>
            </w: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2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4"/>
                <w:szCs w:val="14"/>
                <w:color w:val="auto"/>
              </w:rPr>
            </w:pPr>
          </w:p>
        </w:tc>
        <w:tc>
          <w:tcPr>
            <w:tcW w:w="680" w:type="dxa"/>
            <w:vAlign w:val="bottom"/>
          </w:tcPr>
          <w:p>
            <w:pPr>
              <w:jc w:val="right"/>
              <w:ind w:right="44"/>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2011</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20,321</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$279,428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(221,797)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w w:val="95"/>
              </w:rPr>
              <w:t>Issuance of common stock, net of issuance costs of</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ind w:left="660"/>
              <w:spacing w:after="0"/>
              <w:rPr>
                <w:sz w:val="20"/>
                <w:szCs w:val="20"/>
                <w:color w:val="auto"/>
              </w:rPr>
            </w:pPr>
            <w:r>
              <w:rPr>
                <w:rFonts w:ascii="Arial" w:cs="Arial" w:eastAsia="Arial" w:hAnsi="Arial"/>
                <w:sz w:val="18"/>
                <w:szCs w:val="18"/>
                <w:color w:val="auto"/>
              </w:rPr>
              <w:t>$3,970</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0</w:t>
            </w:r>
          </w:p>
        </w:tc>
        <w:tc>
          <w:tcPr>
            <w:tcW w:w="120" w:type="dxa"/>
            <w:vAlign w:val="bottom"/>
            <w:tcBorders>
              <w:right w:val="single" w:sz="8" w:color="auto"/>
            </w:tcBorders>
            <w:gridSpan w:val="2"/>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4,209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56,004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56,008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Issuance of common stock upon exercise of stock</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options for cash</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0</w:t>
            </w:r>
          </w:p>
        </w:tc>
        <w:tc>
          <w:tcPr>
            <w:tcW w:w="120" w:type="dxa"/>
            <w:vAlign w:val="bottom"/>
            <w:tcBorders>
              <w:right w:val="single" w:sz="8" w:color="auto"/>
            </w:tcBorders>
            <w:gridSpan w:val="2"/>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0</w:t>
            </w:r>
          </w:p>
        </w:tc>
        <w:tc>
          <w:tcPr>
            <w:tcW w:w="120" w:type="dxa"/>
            <w:vAlign w:val="bottom"/>
            <w:tcBorders>
              <w:right w:val="single" w:sz="8" w:color="auto"/>
            </w:tcBorders>
            <w:gridSpan w:val="2"/>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0</w:t>
            </w:r>
          </w:p>
        </w:tc>
        <w:tc>
          <w:tcPr>
            <w:tcW w:w="120" w:type="dxa"/>
            <w:vAlign w:val="bottom"/>
            <w:tcBorders>
              <w:right w:val="single" w:sz="8" w:color="auto"/>
            </w:tcBorders>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(19,024)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Other comprehensive loss</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25,115</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342,222</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 (240,821)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100,657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-179705</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3684270</wp:posOffset>
            </wp:positionH>
            <wp:positionV relativeFrom="paragraph">
              <wp:posOffset>-25400</wp:posOffset>
            </wp:positionV>
            <wp:extent cx="88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4"/>
              </w:rPr>
              <w:t>(19,024)</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(22,470)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8"/>
              </w:rPr>
              <w:t>(16,902)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2,139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1,410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4,088</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Loss from changes in the fair value of convertible preferred stock warrants, net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1,483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(gain) on disposal of property and equipment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Gain from extinguishment of convertible preferred stock warrants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(765)</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Write-off of debt discount upon note repayment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Amortization of debt discount and issuance cost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(3,702)</w:t>
            </w:r>
          </w:p>
        </w:tc>
        <w:tc>
          <w:tcPr>
            <w:tcW w:w="2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(1,222)</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(1,682)</w:t>
            </w:r>
          </w:p>
        </w:tc>
        <w:tc>
          <w:tcPr>
            <w:tcW w:w="2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(1,077)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 and other assets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(471)</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(1,815)</w:t>
            </w: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449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916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1,790</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operating activities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w w:val="84"/>
              </w:rPr>
              <w:t>(17,478)</w:t>
            </w:r>
          </w:p>
        </w:tc>
        <w:tc>
          <w:tcPr>
            <w:tcW w:w="2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(17,542)</w:t>
            </w: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w w:val="88"/>
              </w:rPr>
              <w:t>(11,508)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4"/>
              </w:rPr>
              <w:t>(35,385)</w:t>
            </w:r>
          </w:p>
        </w:tc>
        <w:tc>
          <w:tcPr>
            <w:tcW w:w="2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(71,379)</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sales and maturities of investments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51,770</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29,966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6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(2,384)</w:t>
            </w:r>
          </w:p>
        </w:tc>
        <w:tc>
          <w:tcPr>
            <w:tcW w:w="2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(1,676)</w:t>
            </w:r>
          </w:p>
        </w:tc>
        <w:tc>
          <w:tcPr>
            <w:tcW w:w="8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License agreement rights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Proceeds from disposal of property and equipment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restricted cash</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investing activities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14,001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(45,110)</w:t>
            </w:r>
          </w:p>
        </w:tc>
        <w:tc>
          <w:tcPr>
            <w:tcW w:w="8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 net of issuance costs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56,008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76,946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2,703</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Proceeds from exercise of convertible preferred stock warrants and issuance of convertible preferred stock, net of issuance costs</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note</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Repayment of note</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long-term debt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4"/>
              </w:rPr>
              <w:t>(10,190)</w:t>
            </w:r>
          </w:p>
        </w:tc>
        <w:tc>
          <w:tcPr>
            <w:tcW w:w="2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(4,742)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Proceeds from line of credit</w:t>
            </w: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1,875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line of credit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(1,875)</w:t>
            </w:r>
          </w:p>
        </w:tc>
        <w:tc>
          <w:tcPr>
            <w:tcW w:w="20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(3,125)</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48,521</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70,367</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foreign exchange rate fluctuations on cash and cash equivalents</w:t>
            </w: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40" w:type="dxa"/>
            <w:vAlign w:val="bottom"/>
            <w:gridSpan w:val="2"/>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45,096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7,830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(8,879)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13,553</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5,723</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14,602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24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58,649</w:t>
            </w:r>
          </w:p>
        </w:tc>
        <w:tc>
          <w:tcPr>
            <w:tcW w:w="160" w:type="dxa"/>
            <w:vAlign w:val="bottom"/>
          </w:tcPr>
          <w:p>
            <w:pPr>
              <w:spacing w:after="0"/>
              <w:rPr>
                <w:sz w:val="13"/>
                <w:szCs w:val="13"/>
                <w:color w:val="auto"/>
              </w:rPr>
            </w:pP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13,553</w:t>
            </w:r>
          </w:p>
        </w:tc>
        <w:tc>
          <w:tcPr>
            <w:tcW w:w="30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5,723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1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1,715</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2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Non-cash investing and financing activities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line="149" w:lineRule="exact"/>
              <w:rPr>
                <w:sz w:val="20"/>
                <w:szCs w:val="20"/>
                <w:color w:val="auto"/>
              </w:rPr>
            </w:pPr>
            <w:r>
              <w:rPr>
                <w:rFonts w:ascii="Arial" w:cs="Arial" w:eastAsia="Arial" w:hAnsi="Arial"/>
                <w:sz w:val="14"/>
                <w:szCs w:val="14"/>
                <w:color w:val="auto"/>
              </w:rPr>
              <w:t>Conversion of convertible preferred stock to common stock upon initial public offering</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184,550</w:t>
            </w:r>
          </w:p>
        </w:tc>
        <w:tc>
          <w:tcPr>
            <w:tcW w:w="3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Conversion of convertible preferred stock warrants to common stock warrants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1,535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Issuance of convertible preferred stock warrants in connection with note and warrant agreement and long-term debt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24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2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1,157</w:t>
            </w:r>
          </w:p>
        </w:tc>
        <w:tc>
          <w:tcPr>
            <w:tcW w:w="3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common stock in connection with net exercise of convertible preferred stock warrants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1,392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Extinguishment of convertible preferred stock warrants upon initial public offering</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24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0</w:t>
            </w:r>
          </w:p>
        </w:tc>
        <w:tc>
          <w:tcPr>
            <w:tcW w:w="160" w:type="dxa"/>
            <w:vAlign w:val="bottom"/>
          </w:tcPr>
          <w:p>
            <w:pPr>
              <w:spacing w:after="0"/>
              <w:rPr>
                <w:sz w:val="12"/>
                <w:szCs w:val="12"/>
                <w:color w:val="auto"/>
              </w:rPr>
            </w:pPr>
          </w:p>
        </w:tc>
        <w:tc>
          <w:tcPr>
            <w:tcW w:w="2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3" w:lineRule="exact"/>
              <w:rPr>
                <w:sz w:val="20"/>
                <w:szCs w:val="20"/>
                <w:color w:val="auto"/>
              </w:rPr>
            </w:pPr>
            <w:r>
              <w:rPr>
                <w:rFonts w:ascii="Arial" w:cs="Arial" w:eastAsia="Arial" w:hAnsi="Arial"/>
                <w:sz w:val="14"/>
                <w:szCs w:val="14"/>
                <w:color w:val="auto"/>
              </w:rPr>
              <w:t>765</w:t>
            </w:r>
          </w:p>
        </w:tc>
        <w:tc>
          <w:tcPr>
            <w:tcW w:w="30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Extinguishment of convertible preferred stock warrants as part of preferred stock warrant exchange and exercise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19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Fluidigm Corporation (we, our, or us) was incorporated in the state of California on May 19, 1999, to commercialize microfluidic technology initially developed at the California Institute of Technology. In July 2007, we were reincorporated in Delaware. Our headquarters are located in South San Francisco, California.</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develop, manufacture, and market microfluidic systems consisting of instruments and consumables, including integrated fluidic circuits (IFCs), assays, and other reagents, to leading academic institutions, clinical laboratories, and pharmaceutical, biotechnology, and agricultural biotechnology (Ag-Bio) companies. Our proprietary microfluidic systems are designed to simplify experimental workflow, increase throughput, reduce costs, and provide quality data.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February 9, 2011, our registration statement on Form S-1 relating to an initial public offering (IPO) of our common stock was declared effective by the Securities and Exchange Commission (SEC). Upon the closing of the IPO on February 15, 2011, we sold 6,392,083 shares of common stock and received cash proceeds of approximately $77.0 million, net of underwriting commissions and issuance costs. Concurrently, all outstanding shares of convertible preferred stock converted by their terms into approximately 11,480,000 shares of common stock and the related carrying value of approximately $184.6 million, plus $9.9 million of deemed dividend (see Note 2), was reclassified to common stock and additional paid-in capital.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Offering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August 21, 2012, we closed an underwritten public offering of 4,209,000 shares of our common stock and received cash proceeds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$56.0 million, net of underwriting commissions and issuance costs. The shares were issued pursuant to a registration statement on Form S-3 declared effective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SEC on May 10, 2012.</w:t>
      </w:r>
    </w:p>
    <w:p>
      <w:pPr>
        <w:spacing w:after="0" w:line="280" w:lineRule="exact"/>
        <w:rPr>
          <w:sz w:val="20"/>
          <w:szCs w:val="20"/>
          <w:color w:val="auto"/>
        </w:rPr>
      </w:pPr>
    </w:p>
    <w:p>
      <w:pPr>
        <w:ind w:right="7660" w:firstLine="8"/>
        <w:spacing w:after="0" w:line="391" w:lineRule="auto"/>
        <w:tabs>
          <w:tab w:leader="none" w:pos="446"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 and Consolidation</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accompanying consolidated financial statements have been prepared in conformity with U.S. generally accepted accounting principles (US GAAP) and include the accounts of our wholly-owned subsidiaries. We have wholly-owned subsidiaries in Singapore, the Netherlands, Japan, France, the United Kingdom, and China.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6"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In February 2011, we amended and restated our Certificate of Incorporation to increase the total number of shares of stock authorized for issuance from 29,595,999 to 210,000,000, consisting of an increase in the number of shares of common stock authorized for issuance from 18,327,000 to 200,000,000 and a decrease in the number of shares of preferred stock authorized for issuance from 11,268,999 to 10,000,000.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January 2011, we amended and restated our Certificate of Incorporation to decrease the conversion price of our Series E convertible preferred stock from $24.22 to $18.63 per share. As a result, we recognized a deemed dividend of $9.9 million, reflecting the fair value of the additional shares of common stock to be issued as a result of the change in conversion price of the Series E convertible preferred stock. The deemed dividend increased the net loss attributed to common stockholders in the calculation of basic and diluted net loss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Certain items previously reported in the consolidated statement of cash flows have been reclassified to conform to the current period presentation. Such reclassifications do not impact previously reported net cash used in operating activities, net cash used in investing activities, net cash provided by financing activities, or net increase in cash and cash equivalents.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Assets and liabilities of non-U.S. subsidiaries that use the local currency as their functional currency are translated into U.S. dollars at exchange rates in effect on the balance sheet date. The adjustments resulting from the foreign currency translations are recorded in accumulated other comprehensive loss, a separate component of stockholders’ equity (deficit). Income and expense accounts are translated at monthly average exchange rates during the year. Transaction gains and losses have not been material.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consider all highly liquid financial instruments with maturities at the time of purchase of three months or less to be cash equivalents. Cash and cash equivalents may consist of cash on deposit with banks, money market funds, and notes from government-sponsored agencies.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Short and long-term investments are comprised of notes from government-sponsored agencies. All investments are recorded at estimated fair value. Any unrealized gains and losses from investments are reported in accumulated other comprehensive loss, a separate component of stockholders’ equity (deficit). We evaluate our investments to assess whether investments with unrealized loss positions are other than temporarily impaired. An investment is considered to be other than temporarily impaired if the impairment is related to deterioration in credit risk or if it is likely that we will sell the securities before the recovery of their cost basis. No investment has been assessed as other than temporarily impaired, and realized gains and losses were immaterial during the years presented. The cost of securities sold or the amount reclassified out of accumulated other comprehensive income into earnings is based on the specific-identification method.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financial instruments consist primarily of cash and cash equivalents, investments, accounts receivable, accounts payable, and long-term debt. Our cash equivalents, investments, accounts receivable, and accounts payable have short maturity or repayment periods. Accordingly, their carrying values approximated their fair values at December 31, 2012 and 2011. Our long-term debt, which was fully repaid in September 2012, had a fair value of approximately $10.6 million at December 31, 2011. The fair value of our long-term debt was determined using a model that discounted the contractual cash flows based upon a market rate of interest for an equivalent borrowing at the reporting date. As a basis for considering fair value, we follow a three-tier value hierarchy, which prioritizes the inputs used in measuring fair value as follows: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us to develop our own assumptions.</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Our cash equivalents, which include money market funds, are classified as Level I because they are valued using quoted market prices. Our investments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 Our convertible preferred stock warrants were valued using Level III inputs, the valuation of which is discussed in Note 9.</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financial instruments that were measured at fair value by level within the fair value hierarchy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6"/>
              </w:rPr>
              <w:t>December 31, 2012</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December 31, 2011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Level I</w:t>
            </w:r>
          </w:p>
        </w:tc>
        <w:tc>
          <w:tcPr>
            <w:tcW w:w="3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II</w:t>
            </w:r>
          </w:p>
        </w:tc>
        <w:tc>
          <w:tcPr>
            <w:tcW w:w="300" w:type="dxa"/>
            <w:vAlign w:val="bottom"/>
          </w:tcPr>
          <w:p>
            <w:pPr>
              <w:spacing w:after="0"/>
              <w:rPr>
                <w:sz w:val="12"/>
                <w:szCs w:val="12"/>
                <w:color w:val="auto"/>
              </w:rPr>
            </w:pPr>
          </w:p>
        </w:tc>
        <w:tc>
          <w:tcPr>
            <w:tcW w:w="66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3"/>
              </w:rPr>
              <w:t>Level III</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I</w:t>
            </w:r>
          </w:p>
        </w:tc>
        <w:tc>
          <w:tcPr>
            <w:tcW w:w="3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II</w:t>
            </w:r>
          </w:p>
        </w:tc>
        <w:tc>
          <w:tcPr>
            <w:tcW w:w="300" w:type="dxa"/>
            <w:vAlign w:val="bottom"/>
          </w:tcPr>
          <w:p>
            <w:pPr>
              <w:spacing w:after="0"/>
              <w:rPr>
                <w:sz w:val="12"/>
                <w:szCs w:val="12"/>
                <w:color w:val="auto"/>
              </w:rPr>
            </w:pPr>
          </w:p>
        </w:tc>
        <w:tc>
          <w:tcPr>
            <w:tcW w:w="66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93"/>
              </w:rPr>
              <w:t>Level III</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Money market funds (See Note 4)</w:t>
            </w:r>
          </w:p>
        </w:tc>
        <w:tc>
          <w:tcPr>
            <w:tcW w:w="13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$1,799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26,579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26,579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41,414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1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vMerge w:val="continue"/>
          </w:tcPr>
          <w:p>
            <w:pPr>
              <w:spacing w:after="0"/>
              <w:rPr>
                <w:sz w:val="19"/>
                <w:szCs w:val="19"/>
                <w:color w:val="auto"/>
              </w:rPr>
            </w:pPr>
          </w:p>
        </w:tc>
        <w:tc>
          <w:tcPr>
            <w:tcW w:w="13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26,579</w:t>
            </w:r>
          </w:p>
        </w:tc>
        <w:tc>
          <w:tcPr>
            <w:tcW w:w="5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26,596</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1,799</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41,414</w:t>
            </w:r>
          </w:p>
        </w:tc>
        <w:tc>
          <w:tcPr>
            <w:tcW w:w="7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0</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3"/>
          </w:tcPr>
          <w:p>
            <w:pPr>
              <w:jc w:val="right"/>
              <w:ind w:right="397"/>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Upon the closing of our IPO, then outstanding convertible preferred stock warrants were net exercised, converted into warrants to purchase common stock, or expired unexercised. We did not have any outstanding convertible preferred stock warrants in 2012. Changes in the value of convertible preferred stock warrants as of December 31, 2011 were as follows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$ 1,052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80" w:type="dxa"/>
            <w:vAlign w:val="bottom"/>
          </w:tcPr>
          <w:p>
            <w:pPr>
              <w:ind w:left="440"/>
              <w:spacing w:after="0"/>
              <w:rPr>
                <w:sz w:val="20"/>
                <w:szCs w:val="20"/>
                <w:color w:val="auto"/>
              </w:rPr>
            </w:pPr>
            <w:r>
              <w:rPr>
                <w:rFonts w:ascii="Arial" w:cs="Arial" w:eastAsia="Arial" w:hAnsi="Arial"/>
                <w:sz w:val="18"/>
                <w:szCs w:val="18"/>
                <w:color w:val="auto"/>
              </w:rPr>
              <w:t>Issuances</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Exercises</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(1,392)</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80" w:type="dxa"/>
            <w:vAlign w:val="bottom"/>
          </w:tcPr>
          <w:p>
            <w:pPr>
              <w:ind w:left="440"/>
              <w:spacing w:after="0"/>
              <w:rPr>
                <w:sz w:val="20"/>
                <w:szCs w:val="20"/>
                <w:color w:val="auto"/>
              </w:rPr>
            </w:pPr>
            <w:r>
              <w:rPr>
                <w:rFonts w:ascii="Arial" w:cs="Arial" w:eastAsia="Arial" w:hAnsi="Arial"/>
                <w:sz w:val="18"/>
                <w:szCs w:val="18"/>
                <w:color w:val="auto"/>
              </w:rPr>
              <w:t>Changes in fair value</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Expiration of warrants</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80" w:type="dxa"/>
            <w:vAlign w:val="bottom"/>
          </w:tcPr>
          <w:p>
            <w:pPr>
              <w:ind w:left="440"/>
              <w:spacing w:after="0"/>
              <w:rPr>
                <w:sz w:val="20"/>
                <w:szCs w:val="20"/>
                <w:color w:val="auto"/>
              </w:rPr>
            </w:pPr>
            <w:r>
              <w:rPr>
                <w:rFonts w:ascii="Arial" w:cs="Arial" w:eastAsia="Arial" w:hAnsi="Arial"/>
                <w:sz w:val="18"/>
                <w:szCs w:val="18"/>
                <w:color w:val="auto"/>
              </w:rPr>
              <w:t>Conversion to common stock warrants</w:t>
            </w: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(1,535)</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5"/>
            <w:vMerge w:val="restart"/>
          </w:tcPr>
          <w:p>
            <w:pPr>
              <w:spacing w:after="0"/>
              <w:rPr>
                <w:sz w:val="20"/>
                <w:szCs w:val="20"/>
                <w:color w:val="auto"/>
              </w:rPr>
            </w:pPr>
            <w:r>
              <w:rPr>
                <w:rFonts w:ascii="Arial" w:cs="Arial" w:eastAsia="Arial" w:hAnsi="Arial"/>
                <w:sz w:val="18"/>
                <w:szCs w:val="18"/>
                <w:color w:val="auto"/>
                <w:w w:val="91"/>
              </w:rPr>
              <w:t>The following is a summary of investments and cash equivalents at December 31, 2012 (in thousands):</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50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jc w:val="center"/>
              <w:ind w:left="67"/>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3"/>
              </w:rPr>
              <w:t>Gross</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4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Amortized</w:t>
            </w: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420" w:type="dxa"/>
            <w:vAlign w:val="bottom"/>
          </w:tcPr>
          <w:p>
            <w:pPr>
              <w:spacing w:after="0"/>
              <w:rPr>
                <w:sz w:val="12"/>
                <w:szCs w:val="12"/>
                <w:color w:val="auto"/>
              </w:rPr>
            </w:pPr>
          </w:p>
        </w:tc>
        <w:tc>
          <w:tcPr>
            <w:tcW w:w="70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66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800" w:type="dxa"/>
            <w:vAlign w:val="bottom"/>
          </w:tcPr>
          <w:p>
            <w:pPr>
              <w:spacing w:after="0"/>
              <w:rPr>
                <w:sz w:val="14"/>
                <w:szCs w:val="14"/>
                <w:color w:val="auto"/>
              </w:rPr>
            </w:pPr>
          </w:p>
        </w:tc>
        <w:tc>
          <w:tcPr>
            <w:tcW w:w="520" w:type="dxa"/>
            <w:vAlign w:val="bottom"/>
          </w:tcPr>
          <w:p>
            <w:pPr>
              <w:jc w:val="center"/>
              <w:ind w:left="67"/>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5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U.S. government and agency securities</w:t>
            </w:r>
          </w:p>
        </w:tc>
        <w:tc>
          <w:tcPr>
            <w:tcW w:w="62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vMerge w:val="continue"/>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$ 26,575</w:t>
            </w:r>
          </w:p>
        </w:tc>
        <w:tc>
          <w:tcPr>
            <w:tcW w:w="80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ind w:right="347"/>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w:t>
            </w:r>
          </w:p>
        </w:tc>
        <w:tc>
          <w:tcPr>
            <w:tcW w:w="40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6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2"/>
              </w:rPr>
              <w:t>$ 26,579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contractual maturity periods of $22.9 million of our investments are within one year from December 31, 2012. The contractual maturity periods of our remaining securities are less than two years from 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Trade accounts receivable are recorded at net invoice value. We review our exposure to accounts receivable and reserve specific amounts if collectability is no longer reasonably assured based on historical experience and specific customer collection issues. We evaluate such reserves on a regular basis and adjust our reserves as needed.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9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primarily in securities issued by the U.S. government. The goals of our investment policy, in order of priority, are as follows: preservation of capital, meet liquidity needs, and optimize returns.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generally do not require collateral to support credit sales. To reduce credit risk, we perform credit evaluations of our customers. No single customer represented more than 10% of total revenue for 2012, 2011, or 2010, and no single customer represented more than 10% of total accounts receivable at December 31, 2012, or 2011.</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products include components that are currently procured from a single source or a limited number of sources. We believe that other vendors would be able to provide similar components; however, the qualification of such vendors may require start-up time. In order to mitigate any adverse impacts from a disruption of supply, we attempt to maintain an adequate supply of critical limited-source components.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Inventories are stated at the lower of cost (on a first-in, first-out basis) or market. Inventories include raw materials, work-in-process, and finished goods. Finished goods that are used for research and development are expensed as consumed or depreciated over period of use. Provisions for slow-moving, excess, and obsolete inventories are recorded when required to reduce inventory values to their estimated net realizable values based on product life cycle, development plans, product expiration, and quality issues.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Property and equipment, including leasehold improvements, are stated at cost less accumulated depreciation. Accumulated depreciation is calculated using the straight-line method over the estimated useful lives of the assets, which range from three to five years. Leasehold improvements are amortized using the straight-line method over the estimated useful lives of the assets or the remaining term of the lease, whichever is shorter.</w:t>
      </w:r>
    </w:p>
    <w:p>
      <w:pPr>
        <w:spacing w:after="0" w:line="107" w:lineRule="exact"/>
        <w:rPr>
          <w:sz w:val="20"/>
          <w:szCs w:val="20"/>
          <w:color w:val="auto"/>
        </w:rPr>
      </w:pPr>
    </w:p>
    <w:p>
      <w:pPr>
        <w:jc w:val="both"/>
        <w:ind w:right="180" w:firstLine="456"/>
        <w:spacing w:after="0" w:line="255" w:lineRule="auto"/>
        <w:rPr>
          <w:sz w:val="20"/>
          <w:szCs w:val="20"/>
          <w:color w:val="auto"/>
        </w:rPr>
      </w:pPr>
      <w:r>
        <w:rPr>
          <w:rFonts w:ascii="Arial" w:cs="Arial" w:eastAsia="Arial" w:hAnsi="Arial"/>
          <w:sz w:val="18"/>
          <w:szCs w:val="18"/>
          <w:color w:val="auto"/>
        </w:rPr>
        <w:t>We evaluate our long-lived assets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long-lived assets for any of the periods presented herein.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96"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We have a minority equity investment in Verinata Health, Inc. (Verinata), a privately-held company, that is accounted for under the cost method of accounting. Under the cost method of accounting, the investment is carried at cost and is adjusted only for other than temporary declines in value. No such declines have been identified and the carrying value of the investment at December 31, 2012 was $1.3 million.</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January 2013, Illumina, Inc. entered into an agreement to acquire Verinata for $350 million in cash. Based upon this acquisition agreement, which closed on February 21, 2013, we estimated the fair value of our investment to be $3.1 million at December 31, 2012. Illumina, Inc. also agreed to pay an additional $100 million to Verinata shareholders upon achievement of milestones related to the acquired business through 2015; however, we did not factor these milestones into our determination of fair value since we do not have the ability to assess the probability or timing of any payments therefrom. The fair value of this investment was measured using Level II inputs.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Product Warranties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generally provide a one-year warranty on our instruments. We review our exposure to estimated warranty expense associated with instrument sales and establish an accrual based on historical product failure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rates and actual warranty costs incurred. This expense is recorded as a component of cost of product revenue in the consolidated statements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Warranty accrual balance was $0.3 million at December 31, 2012 and 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generate revenue from sales of our products, license and collaboration agreements, and government grants. Our products consist of instruments and consumables, including IFCs, assays, and other reagents, related to our microfluidic systems. Product revenue includes services for instrument installation, training, and customer support services.</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recognize revenue when persuasive evidence of an arrangement exists, delivery has occurred or services have been rendered, the price to the customer is fixed or determinable, and collectability is reasonably assured. We assess collectability based on factors such as the customer’s creditworthiness and past collection history, if applicable. If collection is not reasonably assured, revenue recognition is deferred until receipt of payment. We also assess whether a price is fixed or determinable by, among other things, reviewing contractual terms and conditions related to payment. Delivery occurs when there is a transfer of title and risk of loss passes to the customer.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Certain of our sales contracts involve the delivery of multiple products and services within contractually binding arrangements. Significant judgment is sometimes required to determine the 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sales contracts that include multiple deliverables, we allocate the contract consideration at the inception of the contract to each unit of accounting based upon its relative selling prices. We may use our best estimate of selling price for individual deliverables when vendor specific objective evidence or third-party evidence is unavailable. A delivered item is considered to be a separate unit of accounting when it has value to the customer on a stand-alone basis.</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products, other than service contracts, are delivered within a short time frame, generally within one to three months, of the contract date. Service contracts are entered into for one to two-year terms, following the expiration of the warranty period.</w:t>
      </w:r>
    </w:p>
    <w:p>
      <w:pPr>
        <w:spacing w:after="0" w:line="13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For transactions entered into prior to 2011 that included multiple elements, we allocated revenue to each unit of accounting based on its relative fair value, and recognized revenue for each unit of accounting when the applicable revenue recognition criteria were met. When objective and reliable evidence of fair value existed for the undelivered items but not for the delivered items, the residual method was used to allocate arrangement consideration. Under the residual method, the amount of arrangement consideration allocated to the delivered items equaled the total arrangement consideration less the aggregate fair value of the undelivered items. When we were unable to establish stand-alone value for delivered items or when fair value of undelivered items had not been established, revenue was deferred until all elements were delivered and services had been performed, or until fair value could objectively be determined for any remaining undelivered elements.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products are sold without the right of return. Accruals are provided for estimated warranty expenses at the time the associated revenue is recognized.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Amounts received before revenue recognition criteria are met are classified as deferred revenue in the consolidated balance sheets.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Revenue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License and royalty revenue from license agreements is recognized when received, which is generally in the quarter following the quarter in which the corresponding sales occur.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entered into collaboration agreements with third parties that provided us with up-front and periodic milestone payments. Upfront payments are generally recognized over the term of the underlying agreement. Revenue associated with substantive at-risk milestones is recognized based upon the achievement of the milestones as defined in the agreement.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receive grants from various governmental entities for research and related activities. Grants provide us with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we have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Shipping and handling costs incurred for product shipments are included within cost of product revenue in the consolidated statements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recognize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expense advertising costs as incurred. We incurred advertising costs of $1.3 million, $0.7 million, and $0.5 million during 2012, 2011, and 2010,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use the asset and liability method to account for income taxes, whereby deferred income taxes reflect the impact of temporary differences for items recognized for financial reporting purposes over different periods than for income tax purposes. Valuation allowances are provided when the expected realization of deferred tax assets does not meet a “more likely than not” criterion.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income tax provision.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account for stock options granted to employees, directors, and consultants based on the fair value of the award. We recognize stock-based compensation expense on a straight-line basis over the requisite service periods. For performance-based stock options, we recognize stock-based compensation expense over the requisite service period using the accelerated attribution method.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Comprehensive loss is comprised of net loss and other comprehensive income (loss). Other comprehensive income (loss) consists of unrealized gains and losses on our investments and foreign currency translation adjustments. Total comprehensive loss for all periods presented has been disclosed in the consolidated statements of comprehensive loss.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Attributed to Common Stockholders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basic net loss per share attributed to common stockholders is calculated by dividing net loss attributed to common stockholders by the weighted-average number of shares of common stock outstanding for the period. Shares subject to repurchase rights due to the early exercise of unvested stock options are excluded from the weighted-average number of shares of common stock calculation, as such shares are not deemed to be issued for accounting purposes until the repurchase rights lapse. Diluted net loss per share attributed to common stockholders is computed by dividing net loss attributed to common stockholders by the weighted-average number of potential common shares outstanding for the period as determined using the treasury-stock method. For purposes of this calculation, convertible preferred stock, options to purchase common stock, and warrants to purchase convertible preferred stock are excluded from the calculation of diluted net loss per share attributed to common stockholders, as their effect is anti-dilutive for all periods presented.</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computations of net loss per share attributed to common stockholders for the periods presented because including them would have been anti-dilutive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46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76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5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2,945</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2,491</w:t>
            </w:r>
          </w:p>
        </w:tc>
        <w:tc>
          <w:tcPr>
            <w:tcW w:w="540" w:type="dxa"/>
            <w:vAlign w:val="bottom"/>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convertible preferred stock</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r>
    </w:tbl>
    <w:p>
      <w:pPr>
        <w:spacing w:after="0" w:line="269" w:lineRule="exact"/>
        <w:rPr>
          <w:sz w:val="20"/>
          <w:szCs w:val="20"/>
          <w:color w:val="auto"/>
        </w:rPr>
      </w:pPr>
    </w:p>
    <w:p>
      <w:pPr>
        <w:ind w:right="6380" w:firstLine="8"/>
        <w:spacing w:after="0" w:line="347" w:lineRule="auto"/>
        <w:tabs>
          <w:tab w:leader="none" w:pos="446"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License, Development, Collaboration, and Grant Agreements License Agreements</w:t>
      </w:r>
    </w:p>
    <w:p>
      <w:pPr>
        <w:spacing w:after="0" w:line="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June 30, 2011, we settled certain litigation and entered into a series of patent license agreements with Life Technologies Corporation and its subsidiary, Applied Biosystems, LLC (collectively, Life). These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agreements settled litigation filed by us against Life on June 29, 2011 in United States District Court for the Northern District of California and litigation filed by Life against us on June 29, 2011 in United States District Court for the District of Delaware. The agreements resulted in a net $3.0 million payment by us to Life, which was recognized as a litigation settlement expense in our consolidated statement of operations because the amount paid by us was principally attributable to resolving Life’s litigation claims with respect to a specific expiring U.S. patent and its foreign counterparts. The agreements also provide for various royalty payments on future sales of certain products by each of the parties. Such royalty payments or receipts have not been and are not expected to be material to us.</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Under the terms of the agreements, each party had the option, exercisable for 30 days from the date of the agreements, to limit or preclude certain patent litigation between the parties for a period of two to four years. These rights were subject to certain exceptions and required an additional payment by the party exercising the option at the time of exercise. In July 2011, we exercised our option and paid Life $2.0 million. As a result, subject to certain exceptions, Life may not initiate litigation under its patents existing as of June 30, 2011 against our customers for a period of two years, and against us, with respect to its current products and equivalent future products, for a period of four years. The additional payment was included in other assets and is being amortized to selling, general and administrative expense over four years on a straight-line basis beginning in July 2011. The additional payment is being amortized to selling, general and administrative expense because it precludes Life from initiating litigation for a period of four years under its relevant patents for any alleged prior and future infringement by us, and because such preclusion relates to our equivalent future products. Life elected not to exercise its option. We recognized $0.5 million and $0.3 million of amortization expense during 2012 and 2011, respectively.</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May 2011, we entered into an agreement with Caliper Life Sciences, Inc. which subsequently became a PerkinElmer company (Caliper), to license Caliper’s existing patent portfolio in certain fields, including non-invasive prenatal diagnostics, and obtained an option to extend this license to cover additional fields. Additional payments are due if we exercise our option to extend the license. Under this agreement, we made an up-front payment of $0.6 million and our obligation to pay royalties to Caliper commenced in January 2012. In August 2011, we entered into an amendment to the agreement with Caliper and made an additional up-front payment of $0.5 million. Pursuant to the amendment, the rates for royalties payable to Caliper were substantially reduced and the period for which we are obligated to make royalty payments was shortened, with the last payment due in mid-2018 for our existing products at the time of amendment and their future equivalents. If any of our future products are determined to infringe Caliper’s patents, the same reduced royalty rates will apply until the respective patents expire. The aggregate $1.1 million of payments to Caliper are being amortized to cost of product revenue on a straight-line basis through July 2018, when our royalty payment obligations are expected to terminate based upon our current products. We recognized $0.3 million and $0.1 million in cost of product revenue during 2012 and 2011, respectively. Our future royalty payments are not expected to be material.</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March 2003, we entered into a license agreement to obtain an exclusive worldwide license for certain technology regarding nanovolume crystallization arrays. Unless canceled by us with 30 days’ notice, as may be determined by us in our sole discretion, the license terminates at the end of the life of the last licensed patent to expire. Under the terms of this agreement, we are obligated to issue $1.5 million worth of shares of our common stock if a certain milestone is achieved. As of December 31, 2012, the milestone has not been achieved.</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December 2003, we entered into a license agreement to obtain a nonexclusive worldwide license for certain technology regarding submicroliter protein crystallization. We made quarterly payments in the amount of $25,000 through December 31, 2010 that were recorded as research and development expense. In March 2011, we terminated the license agreement.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May 2010, we entered into a collaboration agreement with Novartis Vaccines &amp; Diagnostics, Inc. (Novartis V&amp;D) to develop a new product and received an up-front payment of $0.7 million. Additionally, the collaboration agreement provided for payments to us upon the achievement of multiple defined milestones related to the design and development of product prototypes. The agreement set forth a detailed scope of work, tasks, and metrics for each milestone. These product prototypes had not been previously produced by us and the achievement of these and other future milestones was uncertain at the time we entered into the collaboration agreement. We considered each of the milestones to be substantive and, accordingly, we recognized payments received from meeting such milestones as revenue, when each milestone was achieved.</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March 2011, we entered into an amendment to the collaboration agreement and received an additional $0.3 million. Under the amendment, certain milestones were modified and payment terms related to this agreement associated with satisfaction of the milestones were revised.</w:t>
      </w:r>
    </w:p>
    <w:p>
      <w:pPr>
        <w:spacing w:after="0" w:line="8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During 2011 and 2010, we recognized $1.0 million and $1.3 million, respectively, of milestone revenue related to this agreement. All our performance obligations under this agreement were satisfied at December 31, 2011 and there are no other agreements with potential future milestone. The collaboration agreement terminated in accordance with its terms, effective May 1,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California Institute for Regenerative Medicine</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April 2009, we were awarded a grant from the California Institute for Regenerative Medicine (CIRM) in the amount of $0.8 million to be earned over a two-year period. Under this grant, we designed and developed prototype microfluidic systems for use in stem cell research. The final payment under this grant was received in September 2011. In May 2011, we were awarded a second grant from CIRM in the amount of $1.9 million to be earned over a three-year period. Under this grant, we continue to design and develop prototype microfluidic systems for use in stem cell research. The CIRM grant revenue is recognized as the related research and development services are performed and costs associated with this grant were recognized as research and development expense during the period incurred. During 2012 and 2011, we recognized total CIRM grant revenue of $0.6 million and $0.5 million, respectively.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 Economic Development Board</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October 2005, we entered into a letter agreement providing for up to SG$10.0 million (approximately US$8.2 million using the December 31, 2012 exchange rate) in grants from the Singapore Economic Development Board (EDB). The grants were payable from August 1, 2005 through July 31, 2010 in connection with the establishment and operation by Fluidigm Singapore Pte Ltd. (Fluidigm Singapore), our wholly-owned subsidiary, of a research, development, and manufacturing center for IFCs in Singapore. In January 2006, Fluidigm Singapore and EDB entered into a supplement to the October 2005 letter agreement to create a process whereby Fluidigm Singapore and EDB would agree on new quarterly development targets at the start of each year. Grant payments were calculated as a portion of qualifying expenses incurred in Singapore relating to salaries, overhead, outsourcing and subcontracting expenses, operating expenses, and raw material purchases. In July 2010, Fluidigm Singapore submitted its final progress report and evidence of achievement of its development targets under the letter agreement. In October 2010, we received confirmation from EDB that all of our obligations under the letter agreement had been met and, received our final grant payment.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February 2007, Fluidigm Singapore entered into a second letter agreement with EDB which provided for up to an additional SG$3.7 million (approximately US$3.0 million using the December 31, 2012 exchange rate) in grants. The terms and conditions of this letter agreement are substantially the same as the October 2005 letter agreement with the exception of the size of the potential grant, the term of the agreement, and the specific levels of research, development, and manufacturing activities required to maintain eligibility for such grants. The primary focus of this letter agreement was the ongoing development and manufacture in Singapore of certain instrumentation. This letter agreement applied to research, development, and manufacturing activity by Fluidigm Singapore in Singapore from June 1, 2006 through May 31, 2011. We believe that all of our obligations under the letter agreement have been met. We received our final grant payment under the letter agreement in July 2011.</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Fluidigm Singapore’s continued eligibility for grants from the EDB is subject to its compliance with the following conditions: increasing levels of research; continuing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our business strategy for our Singapore operations. All ownership rights in the intellectual property developed by us in Singapore remain with Fluidigm Singapore, and no such rights are conveyed to EDB under the agreements.</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These agreements further provided EDB with the right to demand repayment of a portion of past grants in the event we did not meet our obligations under the agreements. Based on correspondence with EDB, we believe that we have fulfilled our obligations under the grants and will, therefore, not have to repay any of the grant proceeds received through December 31,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recognized revenue of $46,000 and $1.1 million related to EDB grants during 2011 and 2010, respectively.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2012</w:t>
      </w:r>
    </w:p>
    <w:p>
      <w:pPr>
        <w:spacing w:after="0" w:line="145" w:lineRule="exact"/>
        <w:rPr>
          <w:sz w:val="20"/>
          <w:szCs w:val="20"/>
          <w:color w:val="auto"/>
        </w:rPr>
      </w:pPr>
    </w:p>
    <w:p>
      <w:pPr>
        <w:ind w:right="8139" w:firstLine="8"/>
        <w:spacing w:after="0" w:line="417" w:lineRule="auto"/>
        <w:tabs>
          <w:tab w:leader="none" w:pos="446"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Balance Sheet Data Cash and Cash Equivalents</w:t>
      </w: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The following are summaries of cash and cash equivalents (in thousands):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860" w:type="dxa"/>
            <w:vAlign w:val="bottom"/>
            <w:gridSpan w:val="4"/>
          </w:tcPr>
          <w:p>
            <w:pPr>
              <w:ind w:left="1840"/>
              <w:spacing w:after="0"/>
              <w:rPr>
                <w:sz w:val="20"/>
                <w:szCs w:val="20"/>
                <w:color w:val="auto"/>
              </w:rPr>
            </w:pPr>
            <w:r>
              <w:rPr>
                <w:rFonts w:ascii="Arial" w:cs="Arial" w:eastAsia="Arial" w:hAnsi="Arial"/>
                <w:sz w:val="14"/>
                <w:szCs w:val="14"/>
                <w:b w:val="1"/>
                <w:bCs w:val="1"/>
                <w:color w:val="auto"/>
                <w:w w:val="96"/>
              </w:rPr>
              <w:t>Amortized Cost</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2012:</w:t>
            </w:r>
          </w:p>
        </w:tc>
        <w:tc>
          <w:tcPr>
            <w:tcW w:w="1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Cash</w:t>
            </w:r>
          </w:p>
        </w:tc>
        <w:tc>
          <w:tcPr>
            <w:tcW w:w="2020" w:type="dxa"/>
            <w:vAlign w:val="bottom"/>
            <w:gridSpan w:val="2"/>
          </w:tcPr>
          <w:p>
            <w:pPr>
              <w:ind w:left="18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and agency security</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As of December 31, 2011:</w:t>
            </w:r>
          </w:p>
        </w:tc>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w:t>
            </w:r>
          </w:p>
        </w:tc>
        <w:tc>
          <w:tcPr>
            <w:tcW w:w="202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18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 as of:</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Pr>
          <w:p>
            <w:pPr>
              <w:spacing w:after="0"/>
              <w:rPr>
                <w:sz w:val="13"/>
                <w:szCs w:val="13"/>
                <w:color w:val="auto"/>
              </w:rPr>
            </w:pPr>
          </w:p>
        </w:tc>
        <w:tc>
          <w:tcPr>
            <w:tcW w:w="9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Work-in-process</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1,369</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7,169</w:t>
            </w:r>
          </w:p>
        </w:tc>
        <w:tc>
          <w:tcPr>
            <w:tcW w:w="110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2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gridSpan w:val="2"/>
          </w:tcPr>
          <w:p>
            <w:pPr>
              <w:ind w:left="460"/>
              <w:spacing w:after="0"/>
              <w:rPr>
                <w:sz w:val="20"/>
                <w:szCs w:val="20"/>
                <w:color w:val="auto"/>
              </w:rPr>
            </w:pPr>
            <w:r>
              <w:rPr>
                <w:rFonts w:ascii="Arial" w:cs="Arial" w:eastAsia="Arial" w:hAnsi="Arial"/>
                <w:sz w:val="18"/>
                <w:szCs w:val="18"/>
                <w:color w:val="auto"/>
                <w:w w:val="90"/>
              </w:rPr>
              <w:t>Property and equipment consists of the following (in thousands) as of:</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700" w:type="dxa"/>
            <w:vAlign w:val="bottom"/>
            <w:gridSpan w:val="5"/>
          </w:tcPr>
          <w:p>
            <w:pPr>
              <w:ind w:left="1820"/>
              <w:spacing w:after="0"/>
              <w:rPr>
                <w:sz w:val="20"/>
                <w:szCs w:val="20"/>
                <w:color w:val="auto"/>
              </w:rPr>
            </w:pPr>
            <w:r>
              <w:rPr>
                <w:rFonts w:ascii="Arial" w:cs="Arial" w:eastAsia="Arial" w:hAnsi="Arial"/>
                <w:sz w:val="14"/>
                <w:szCs w:val="14"/>
                <w:b w:val="1"/>
                <w:bCs w:val="1"/>
                <w:color w:val="auto"/>
                <w:w w:val="94"/>
              </w:rPr>
              <w:t>December 31,</w:t>
            </w:r>
          </w:p>
        </w:tc>
        <w:tc>
          <w:tcPr>
            <w:tcW w:w="1840" w:type="dxa"/>
            <w:vAlign w:val="bottom"/>
            <w:gridSpan w:val="6"/>
          </w:tcPr>
          <w:p>
            <w:pPr>
              <w:ind w:left="9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Laboratory and manufacturing equipment</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12,845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(12,953)</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(11,583)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20" w:type="dxa"/>
            <w:vAlign w:val="bottom"/>
            <w:gridSpan w:val="2"/>
          </w:tcPr>
          <w:p>
            <w:pPr>
              <w:ind w:left="1380"/>
              <w:spacing w:after="0"/>
              <w:rPr>
                <w:sz w:val="20"/>
                <w:szCs w:val="20"/>
                <w:color w:val="auto"/>
              </w:rPr>
            </w:pPr>
            <w:r>
              <w:rPr>
                <w:rFonts w:ascii="Arial" w:cs="Arial" w:eastAsia="Arial" w:hAnsi="Arial"/>
                <w:sz w:val="18"/>
                <w:szCs w:val="18"/>
                <w:color w:val="auto"/>
              </w:rPr>
              <w:t>Property and equipment, net</w:t>
            </w:r>
          </w:p>
        </w:tc>
        <w:tc>
          <w:tcPr>
            <w:tcW w:w="1900" w:type="dxa"/>
            <w:vAlign w:val="bottom"/>
            <w:gridSpan w:val="2"/>
          </w:tcPr>
          <w:p>
            <w:pPr>
              <w:ind w:left="182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4,974</w:t>
            </w:r>
          </w:p>
        </w:tc>
        <w:tc>
          <w:tcPr>
            <w:tcW w:w="80" w:type="dxa"/>
            <w:vAlign w:val="bottom"/>
          </w:tcPr>
          <w:p>
            <w:pPr>
              <w:spacing w:after="0"/>
              <w:rPr>
                <w:sz w:val="19"/>
                <w:szCs w:val="19"/>
                <w:color w:val="auto"/>
              </w:rPr>
            </w:pPr>
          </w:p>
        </w:tc>
        <w:tc>
          <w:tcPr>
            <w:tcW w:w="110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20" w:type="dxa"/>
            <w:vAlign w:val="bottom"/>
            <w:vMerge w:val="restart"/>
          </w:tcPr>
          <w:p>
            <w:pPr>
              <w:jc w:val="right"/>
              <w:ind w:right="1460"/>
              <w:spacing w:after="0"/>
              <w:rPr>
                <w:sz w:val="20"/>
                <w:szCs w:val="20"/>
                <w:color w:val="auto"/>
              </w:rPr>
            </w:pPr>
            <w:r>
              <w:rPr>
                <w:rFonts w:ascii="Arial" w:cs="Arial" w:eastAsia="Arial" w:hAnsi="Arial"/>
                <w:sz w:val="18"/>
                <w:szCs w:val="18"/>
                <w:color w:val="auto"/>
              </w:rPr>
              <w:t>83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14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entered into a long-term loan agreement in March 2005 that was subsequently amended in 2006, 2008, 2009, and 2010 (as amended, the Loan Agreement). In connection with the Loan Agreement, we issued warrants to purchase a total of 209,960 shares of our convertible preferred stock to the lender. Upon the closing of our IPO in February 2011, the warrants to purchase 209,960 shares of our convertible preferred stock that were held by the lender were converted to warrants to purchase shares of common stock. In July 2011, the lender net exercised these warrants at an exercise price of $12.11 per share and was issued 70,731 shares of common stock.</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Commencing in March 2011, we made principal and interest payments of $0.6 million per month and, as required under the Loan Agreement, we made an additional principal payment of $2.3 million in March 2012. Using the effective interest method, a majority of the March 2012 payment was accrued as interest expense in periods prior to 2010 with the remainder being recognized through the maturity date. In June 2012, we elected to make an additional principal payment in the amount of $1.9 million using proceeds from our Line of Credit (see Note 6) and we paid the remaining balance due of $2.1 million in September 2012.</w:t>
      </w:r>
    </w:p>
    <w:p>
      <w:pPr>
        <w:spacing w:after="0" w:line="258"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2010, we entered into a two-year bank line of credit agreement (as amended, the Line of Credit) that provided us with the ability to borrow up to $7.0 million, subject to certain covenants and other restrictions, and bore interest at a rate equal to the greater of (i) 4.25% or (ii) the prime rate plus 1.00% per year. In December 2012, the Line of Credit was amended to extend the term for an additional two years and provide us with the ability to borrow up to $10.0 million, of which $6.0 million is available on a non-formula basis, subject to certain covenants and other restrictions. The balance of $4.0 million is available based on eligible receivables. The Line of Credit is collateralized by our assets, excluding our intellectual property, and bears interest at a rate equal to the greater of (i) 3.75% or (ii) the prime rate plus 0.50% per year. At December 31, 2012, there was no outstanding balance on the Line of Credit and we were in compliance with all applicable covenants.</w:t>
      </w:r>
    </w:p>
    <w:p>
      <w:pPr>
        <w:spacing w:after="0" w:line="263" w:lineRule="exact"/>
        <w:rPr>
          <w:sz w:val="20"/>
          <w:szCs w:val="20"/>
          <w:color w:val="auto"/>
        </w:rPr>
      </w:pPr>
    </w:p>
    <w:p>
      <w:pPr>
        <w:ind w:right="8460" w:firstLine="8"/>
        <w:spacing w:after="0" w:line="347" w:lineRule="auto"/>
        <w:tabs>
          <w:tab w:leader="none" w:pos="44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spacing w:after="0" w:line="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entered into various long-term non-cancelable operating leases for equipment and facilities. Our lease for our headquarters in South San Francisco, California, expires in April 2015. The lease agreement includes a renewal option that provides us with the ability to extend the lease term for an additional three years. Upon entering into this agreement in September 2010, we received a $0.4 million lease incentive payment that is being recognized as a reduction of rent expense on a straight-line basis over the term of the lease. We also lease office and manufacturing space under non-cancelable leases in Singapore, Japan, China, and France, with various expiration dates through March 2016. Certain facility leases also contain rent escalation clauses. We also have operating leases for office equipment, with various expiration dates through November 2015. Future minimum lease payments under non-cancelable operating leases as of December 31, 2012 are as follows (in thousands):</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4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2013</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2014</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440"/>
              <w:spacing w:after="0"/>
              <w:rPr>
                <w:sz w:val="20"/>
                <w:szCs w:val="20"/>
                <w:color w:val="auto"/>
              </w:rPr>
            </w:pPr>
            <w:r>
              <w:rPr>
                <w:rFonts w:ascii="Arial" w:cs="Arial" w:eastAsia="Arial" w:hAnsi="Arial"/>
                <w:sz w:val="18"/>
                <w:szCs w:val="18"/>
                <w:color w:val="auto"/>
              </w:rPr>
              <w:t>2015</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2016</w:t>
            </w:r>
          </w:p>
        </w:tc>
        <w:tc>
          <w:tcPr>
            <w:tcW w:w="4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00" w:type="dxa"/>
            <w:vAlign w:val="bottom"/>
          </w:tcPr>
          <w:p>
            <w:pPr>
              <w:ind w:left="440"/>
              <w:spacing w:after="0"/>
              <w:rPr>
                <w:sz w:val="20"/>
                <w:szCs w:val="20"/>
                <w:color w:val="auto"/>
              </w:rPr>
            </w:pPr>
            <w:r>
              <w:rPr>
                <w:rFonts w:ascii="Arial" w:cs="Arial" w:eastAsia="Arial" w:hAnsi="Arial"/>
                <w:sz w:val="18"/>
                <w:szCs w:val="18"/>
                <w:color w:val="auto"/>
              </w:rPr>
              <w:t>Total minimum payments</w:t>
            </w:r>
          </w:p>
        </w:tc>
        <w:tc>
          <w:tcPr>
            <w:tcW w:w="4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160" w:type="dxa"/>
            <w:vAlign w:val="bottom"/>
            <w:vMerge w:val="restart"/>
          </w:tcPr>
          <w:p>
            <w:pPr>
              <w:jc w:val="right"/>
              <w:ind w:right="3112"/>
              <w:spacing w:after="0"/>
              <w:rPr>
                <w:sz w:val="20"/>
                <w:szCs w:val="20"/>
                <w:color w:val="auto"/>
              </w:rPr>
            </w:pPr>
            <w:r>
              <w:rPr>
                <w:rFonts w:ascii="Arial" w:cs="Arial" w:eastAsia="Arial" w:hAnsi="Arial"/>
                <w:sz w:val="18"/>
                <w:szCs w:val="18"/>
                <w:color w:val="auto"/>
              </w:rPr>
              <w:t>84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lease payments are expensed on a straight-line basis over the life of the lease. Rental expense under operating leases, net of amortization of lease incentive, totaled $1.9 million, $1.6 million, and $1.9 million for 2012, 2011, and 2010,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the normal course of business, we enter into various contractual and legally binding purchase commitments primarily related to certain inventory related items. As of December 31, 2012, these commitments for the next year were approximately $3.9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and directors. We have not incurred material costs to defend lawsuits or settle claims related to these indemnification provisions. As of December 31, 2012, we had no accrued liabilities for these indemnification provisions.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 No such amounts are accrued at December 31, 2012.</w:t>
      </w:r>
    </w:p>
    <w:p>
      <w:pPr>
        <w:spacing w:after="0" w:line="25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Promissory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and Warrant Purchase Agreement</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January 2011, we entered into a note and warrant purchase agreement (the Note Agreement) with existing stockholders, including certain of our officers and directors, under which we issued subordinated secured promissory notes (the Notes) with an aggregate principal amount of $5.0 million bearing interest at a rate of 8% per year. Our obligations under the Notes were secured by our assets, excluding intellectual property, and were subordinated to senior indebtedness under the Loan Agreement (see Note 5) and the Line of Credit (see Note 6). Notes issued under the Note Agreement matured on the earliest to occur of the closing of the next financing in which we issued and sold shares of capital stock of at least $25.0 million, a change of control as defined in the Note Agreement, or January 6, 2012 (the maturity date). In connection with the Note Agreement, we issued warrants to acquire a total of 103,182 shares of Series E-1 convertible preferred stock at $0.02 per share. The fair value of these warrants, based on a contemporaneous valuation, was $1.2 million and was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recognized as an original issue discount amortizable over the expected life of the borrowing. As a result of our IPO in February 2011, the warrants were net exercised for 103,182 shares of our common stock and we repaid all principal and interest outstanding under these Notes in February and March 2011. Upon repayment of the Notes, the unamortized discount of $1.2 million was immediately recognized as interest expense.</w:t>
      </w:r>
    </w:p>
    <w:p>
      <w:pPr>
        <w:spacing w:after="0" w:line="22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On February 10, 2011, we had outstanding warrants to purchase 489,880 shares of our convertible preferred stock that had been granted at various times since 2001. Warrants to purchase our convertible preferred stock were recognized at fair value using the Black-Scholes option pricing model and classified as liabilities because the warrants may have conditionally obligated us to transfer assets at some point in the future. The warrants were subject to remeasurement to fair value at each balance sheet date, and any change in fair value was recognized in the condensed consolidated statements of operations as loss from changes in the fair value of convertible preferred stock warrants. The fair value of these warrants was approximately $3.7 million at February 10, 2011, which was an increase in fair value of approximately $1.5 million since December 31, 2010. Upon the closing of our IPO, warrants for approximately 103,182 shares of our convertible preferred stock were net exercised and the related liability of $1.4 million was reclassified to additional paid-in capital; warrants to purchase 209,960 shares of our convertible preferred stock were converted into warrants to purchase common stock and the related liability of $1.5 million was reclassified to additional paid-in capital; and the remaining warrants to purchase 176,738 shares of our convertible preferred stock expired unexercised and the related liability of $0.8 million was recognized as gain from extinguishment of convertible preferred stock warrants.</w:t>
      </w:r>
    </w:p>
    <w:p>
      <w:pPr>
        <w:spacing w:after="0" w:line="238"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96"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As of December 31, 2011, there were no shares of convertible preferred stock issued or outstanding as all shares of preferred stock converted to shares of common stock upon completion of our IPO. All outstanding shares of convertible preferred stock converted by their terms into approximately 11,480,000 shares of common stock and the related carrying value of approximately $184.6 million, plus $9.9 million of deemed dividend (see Note 2), was reclassified to common stock and additional paid-in capital.</w:t>
      </w:r>
    </w:p>
    <w:p>
      <w:pPr>
        <w:spacing w:after="0" w:line="143"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Each share of convertible preferred stock converted into common stock based upon a conversion rate of one share of common stock for each share of convertible preferred stock regardless of the series, except for Series E convertible preferred stock which converted at a rate of approximately 1.3 shares of common stock for each share of Series E convertible preferred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dividends on the convertible preferred stock have been declared or paid from our inception through the conversion of the preferred stock into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80" w:lineRule="exact"/>
        <w:rPr>
          <w:sz w:val="20"/>
          <w:szCs w:val="20"/>
          <w:color w:val="auto"/>
        </w:rPr>
      </w:pPr>
    </w:p>
    <w:p>
      <w:pPr>
        <w:ind w:right="8920" w:firstLine="8"/>
        <w:spacing w:after="0" w:line="417" w:lineRule="auto"/>
        <w:tabs>
          <w:tab w:leader="none" w:pos="446"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2011 Equity Incentive Plan</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January 28, 2011, our board of directors adopted the 2011 Equity Incentive Plan (the 2011 Plan) under which incentive stock options, nonstatutory stock options, restricted stock units, stock appreciation rights, performance units, and performance shares (collectively, Awards) may be granted to our employees, directors, and consultants.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Incentive stock options and nonstatutory stock options granted under the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outstanding options vest at a rate of either 25% on the first anniversary of the option grant date and ratably each month over the remaining 36 month period, or ratably each month over 48 months. We may grant options with different vesting terms from time to time.</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board of directors sets the terms, conditions, and restrictions related to the grant of restricted stock units, including the number of restricted stock units to grant. Our board of directors also sets vesting criteria and, depending on the extent to which the criteria are met, our board of directors will determine the number of restricted stock units to be paid out.</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exercise price of any stock appreciation right shall be determined by our board of directors but will be no less than 100% of the fair market value of the underlying common stock on the date of grant. The stock appreciation rights expire upon the date determined by our board of directors but no later than ten years from the date of grant.</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the 2011 Plan had a total of 2,222,000 awards authorized for issuance.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Equity Incentive Plan and 1999 Stock Option Plan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2009 Equity Incentive Plan (the 2009 Plan) terminated on the date the 2011 Plan was adopted and the 1999 Stock Option Plan (the 1999 Plan) expired in 2009. Options granted or shares issued under the 2009 Plan and the 1999 Plan that were outstanding on the date the 2011 Plan became effective remained subject to the terms of their respective plans.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under the 2011 Plan, the 2009 Plan, and the 1999 Plan is as follows (in thousands, except per share amounts):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Outstanding Options</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96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w w:val="82"/>
              </w:rPr>
              <w:t>Shares Available</w:t>
            </w:r>
          </w:p>
        </w:tc>
        <w:tc>
          <w:tcPr>
            <w:tcW w:w="11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61"/>
        </w:trPr>
        <w:tc>
          <w:tcPr>
            <w:tcW w:w="3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96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for Grant</w:t>
            </w: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per Share</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December 31, 2011</w:t>
            </w:r>
          </w:p>
        </w:tc>
        <w:tc>
          <w:tcPr>
            <w:tcW w:w="17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Additional shares authorized</w:t>
            </w:r>
          </w:p>
        </w:tc>
        <w:tc>
          <w:tcPr>
            <w:tcW w:w="3660" w:type="dxa"/>
            <w:vAlign w:val="bottom"/>
            <w:gridSpan w:val="3"/>
          </w:tcPr>
          <w:p>
            <w:pPr>
              <w:jc w:val="right"/>
              <w:ind w:right="1000"/>
              <w:spacing w:after="0"/>
              <w:rPr>
                <w:sz w:val="20"/>
                <w:szCs w:val="20"/>
                <w:color w:val="auto"/>
              </w:rPr>
            </w:pPr>
            <w:r>
              <w:rPr>
                <w:rFonts w:ascii="Arial" w:cs="Arial" w:eastAsia="Arial" w:hAnsi="Arial"/>
                <w:sz w:val="18"/>
                <w:szCs w:val="18"/>
                <w:color w:val="auto"/>
              </w:rPr>
              <w:t>813</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granted</w:t>
            </w:r>
          </w:p>
        </w:tc>
        <w:tc>
          <w:tcPr>
            <w:tcW w:w="366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(1,118)</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Options exercised</w:t>
            </w:r>
          </w:p>
        </w:tc>
        <w:tc>
          <w:tcPr>
            <w:tcW w:w="3660" w:type="dxa"/>
            <w:vAlign w:val="bottom"/>
            <w:gridSpan w:val="3"/>
          </w:tcPr>
          <w:p>
            <w:pPr>
              <w:jc w:val="right"/>
              <w:ind w:right="100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(585)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canceled</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Arial" w:cs="Arial" w:eastAsia="Arial" w:hAnsi="Arial"/>
                <w:sz w:val="18"/>
                <w:szCs w:val="18"/>
                <w:color w:val="auto"/>
              </w:rPr>
              <w:t>Balance as of December 31, 2012</w:t>
            </w:r>
          </w:p>
        </w:tc>
        <w:tc>
          <w:tcPr>
            <w:tcW w:w="17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5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700" w:type="dxa"/>
            <w:vAlign w:val="bottom"/>
            <w:vMerge w:val="restart"/>
          </w:tcPr>
          <w:p>
            <w:pPr>
              <w:jc w:val="right"/>
              <w:ind w:right="312"/>
              <w:spacing w:after="0"/>
              <w:rPr>
                <w:sz w:val="20"/>
                <w:szCs w:val="20"/>
                <w:color w:val="auto"/>
              </w:rPr>
            </w:pPr>
            <w:r>
              <w:rPr>
                <w:rFonts w:ascii="Arial" w:cs="Arial" w:eastAsia="Arial" w:hAnsi="Arial"/>
                <w:sz w:val="18"/>
                <w:szCs w:val="18"/>
                <w:color w:val="auto"/>
              </w:rPr>
              <w:t>87</w:t>
            </w:r>
          </w:p>
        </w:tc>
        <w:tc>
          <w:tcPr>
            <w:tcW w:w="9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We determine stock-based compensation expense using the Black-Scholes option-pricing model and the following weighted-average assumptions: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Expected life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5.9 years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8"/>
                <w:szCs w:val="18"/>
                <w:color w:val="auto"/>
                <w:w w:val="83"/>
              </w:rPr>
              <w:t>5.9 years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5.8 years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Dividend yield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Expected volatility is derived from the historical volatilities of several unrelated public companies within the life sciences industry. Each company’s historical volatility is weighted based on certain qualitative factors, and combined to produce the single volatility factor used by us. The risk-free interest rate is based on the U.S. Treasury yield curve in effect at the time of grant for zero coupon U.S. Treasury notes with maturities approximately equal to the option’s expected life. Given our limited history as a public company, we used the “simplified” method to estimate expected lives of options granted to the various employee groups. The “simplified” method calculates the expected life of an option as the average of the time-to-vesting and the contractual life of the options. Forfeitures were estimated based on an analysis of actual forfeitures. We periodically evaluate the adequacy of our forfeiture rate based on actual forfeiture experience, analysis of employee turnover, and other factors. Each of these inputs is subjective and generally requires significant judgment by us.</w:t>
      </w:r>
    </w:p>
    <w:p>
      <w:pPr>
        <w:spacing w:after="0" w:line="118"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Also required to compute the fair value calculation of options is the fair value of the underlying common stock. We grant stock options at exercise prices not less than the fair value of our common stock at the date of grant. Prior to our IPO, our board of directors obtained contemporaneous valuations from an unrelated third-party valuation firm to determine the estimated fair value of common stock based on an analysis of relevant metrics, such as the price of the most recent convertible preferred stock sales to outside investors, the rights, preferences, and privileges of the convertible preferred stock, our operating and financial performance, the hiring of key personnel, the introduction of new products, the lack of marketability of the common stock, and additional factors relating to our business. There is inherent uncertainty in these estimates and if we or the valuation firm had made different assumptions, the amount of our stock-based compensation expense, net loss, and net loss per share amounts could have been significantly different. Following the completion of our IPO in February 2011, the fair value of options granted is based on the closing price of our common stock on the date of grant as quoted on the NASDAQ Global Market.</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regarding our stock options outstanding and exercisable as of December 31, 2012 is summarized in the following table:</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7"/>
              </w:rPr>
              <w:t>Options Outstanding</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2"/>
          </w:tcPr>
          <w:p>
            <w:pPr>
              <w:jc w:val="center"/>
              <w:ind w:right="1100"/>
              <w:spacing w:after="0" w:line="129" w:lineRule="exact"/>
              <w:rPr>
                <w:sz w:val="20"/>
                <w:szCs w:val="20"/>
                <w:color w:val="auto"/>
              </w:rPr>
            </w:pPr>
            <w:r>
              <w:rPr>
                <w:rFonts w:ascii="Arial" w:cs="Arial" w:eastAsia="Arial" w:hAnsi="Arial"/>
                <w:sz w:val="14"/>
                <w:szCs w:val="14"/>
                <w:b w:val="1"/>
                <w:bCs w:val="1"/>
                <w:color w:val="auto"/>
                <w:w w:val="88"/>
              </w:rPr>
              <w:t>Weighted-</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Average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0"/>
              </w:rPr>
              <w:t>Exercise Price Per Share</w:t>
            </w:r>
          </w:p>
        </w:tc>
        <w:tc>
          <w:tcPr>
            <w:tcW w:w="334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Number of</w:t>
            </w:r>
          </w:p>
        </w:tc>
        <w:tc>
          <w:tcPr>
            <w:tcW w:w="660" w:type="dxa"/>
            <w:vAlign w:val="bottom"/>
          </w:tcPr>
          <w:p>
            <w:pPr>
              <w:spacing w:after="0"/>
              <w:rPr>
                <w:sz w:val="12"/>
                <w:szCs w:val="12"/>
                <w:color w:val="auto"/>
              </w:rPr>
            </w:pPr>
          </w:p>
        </w:tc>
        <w:tc>
          <w:tcPr>
            <w:tcW w:w="1780" w:type="dxa"/>
            <w:vAlign w:val="bottom"/>
            <w:gridSpan w:val="2"/>
          </w:tcPr>
          <w:p>
            <w:pPr>
              <w:jc w:val="right"/>
              <w:ind w:right="108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155"/>
        </w:trPr>
        <w:tc>
          <w:tcPr>
            <w:tcW w:w="1520" w:type="dxa"/>
            <w:vAlign w:val="bottom"/>
            <w:vMerge w:val="continue"/>
          </w:tcPr>
          <w:p>
            <w:pPr>
              <w:spacing w:after="0"/>
              <w:rPr>
                <w:sz w:val="13"/>
                <w:szCs w:val="13"/>
                <w:color w:val="auto"/>
              </w:rPr>
            </w:pPr>
          </w:p>
        </w:tc>
        <w:tc>
          <w:tcPr>
            <w:tcW w:w="3340" w:type="dxa"/>
            <w:vAlign w:val="bottom"/>
          </w:tcPr>
          <w:p>
            <w:pPr>
              <w:spacing w:after="0"/>
              <w:rPr>
                <w:sz w:val="13"/>
                <w:szCs w:val="13"/>
                <w:color w:val="auto"/>
              </w:rPr>
            </w:pPr>
          </w:p>
        </w:tc>
        <w:tc>
          <w:tcPr>
            <w:tcW w:w="130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3"/>
                <w:szCs w:val="13"/>
                <w:color w:val="auto"/>
              </w:rPr>
            </w:pPr>
          </w:p>
        </w:tc>
        <w:tc>
          <w:tcPr>
            <w:tcW w:w="1780" w:type="dxa"/>
            <w:vAlign w:val="bottom"/>
            <w:gridSpan w:val="2"/>
          </w:tcPr>
          <w:p>
            <w:pPr>
              <w:jc w:val="center"/>
              <w:ind w:right="1100"/>
              <w:spacing w:after="0" w:line="148" w:lineRule="exact"/>
              <w:rPr>
                <w:sz w:val="20"/>
                <w:szCs w:val="20"/>
                <w:color w:val="auto"/>
              </w:rPr>
            </w:pPr>
            <w:r>
              <w:rPr>
                <w:rFonts w:ascii="Arial" w:cs="Arial" w:eastAsia="Arial" w:hAnsi="Arial"/>
                <w:sz w:val="14"/>
                <w:szCs w:val="14"/>
                <w:b w:val="1"/>
                <w:bCs w:val="1"/>
                <w:color w:val="auto"/>
                <w:w w:val="96"/>
              </w:rPr>
              <w:t>Life</w:t>
            </w:r>
          </w:p>
        </w:tc>
        <w:tc>
          <w:tcPr>
            <w:tcW w:w="9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Exercisable</w:t>
            </w:r>
          </w:p>
        </w:tc>
        <w:tc>
          <w:tcPr>
            <w:tcW w:w="0" w:type="dxa"/>
            <w:vAlign w:val="bottom"/>
          </w:tcPr>
          <w:p>
            <w:pPr>
              <w:spacing w:after="0"/>
              <w:rPr>
                <w:sz w:val="1"/>
                <w:szCs w:val="1"/>
                <w:color w:val="auto"/>
              </w:rPr>
            </w:pPr>
          </w:p>
        </w:tc>
      </w:tr>
      <w:tr>
        <w:trPr>
          <w:trHeight w:val="149"/>
        </w:trPr>
        <w:tc>
          <w:tcPr>
            <w:tcW w:w="1520" w:type="dxa"/>
            <w:vAlign w:val="bottom"/>
            <w:tcBorders>
              <w:top w:val="single" w:sz="8" w:color="auto"/>
            </w:tcBorders>
          </w:tcPr>
          <w:p>
            <w:pPr>
              <w:spacing w:after="0"/>
              <w:rPr>
                <w:sz w:val="12"/>
                <w:szCs w:val="12"/>
                <w:color w:val="auto"/>
              </w:rPr>
            </w:pPr>
          </w:p>
        </w:tc>
        <w:tc>
          <w:tcPr>
            <w:tcW w:w="33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(In Years)</w:t>
            </w:r>
          </w:p>
        </w:tc>
        <w:tc>
          <w:tcPr>
            <w:tcW w:w="10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$1.82 - $3.39</w:t>
            </w:r>
          </w:p>
        </w:tc>
        <w:tc>
          <w:tcPr>
            <w:tcW w:w="4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95</w:t>
            </w:r>
          </w:p>
        </w:tc>
        <w:tc>
          <w:tcPr>
            <w:tcW w:w="24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$4.08 - $4.08</w:t>
            </w:r>
          </w:p>
        </w:tc>
        <w:tc>
          <w:tcPr>
            <w:tcW w:w="4640" w:type="dxa"/>
            <w:vAlign w:val="bottom"/>
            <w:gridSpan w:val="3"/>
          </w:tcPr>
          <w:p>
            <w:pPr>
              <w:jc w:val="right"/>
              <w:ind w:right="420"/>
              <w:spacing w:after="0"/>
              <w:rPr>
                <w:sz w:val="20"/>
                <w:szCs w:val="20"/>
                <w:color w:val="auto"/>
              </w:rPr>
            </w:pPr>
            <w:r>
              <w:rPr>
                <w:rFonts w:ascii="Arial" w:cs="Arial" w:eastAsia="Arial" w:hAnsi="Arial"/>
                <w:sz w:val="18"/>
                <w:szCs w:val="18"/>
                <w:color w:val="auto"/>
              </w:rPr>
              <w:t>148</w:t>
            </w:r>
          </w:p>
        </w:tc>
        <w:tc>
          <w:tcPr>
            <w:tcW w:w="2440" w:type="dxa"/>
            <w:vAlign w:val="bottom"/>
            <w:gridSpan w:val="3"/>
          </w:tcPr>
          <w:p>
            <w:pPr>
              <w:jc w:val="right"/>
              <w:ind w:right="1080"/>
              <w:spacing w:after="0"/>
              <w:rPr>
                <w:sz w:val="20"/>
                <w:szCs w:val="20"/>
                <w:color w:val="auto"/>
              </w:rPr>
            </w:pPr>
            <w:r>
              <w:rPr>
                <w:rFonts w:ascii="Arial" w:cs="Arial" w:eastAsia="Arial" w:hAnsi="Arial"/>
                <w:sz w:val="18"/>
                <w:szCs w:val="18"/>
                <w:color w:val="auto"/>
              </w:rPr>
              <w:t>6.9</w:t>
            </w: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$4.45 - $5.03</w:t>
            </w:r>
          </w:p>
        </w:tc>
        <w:tc>
          <w:tcPr>
            <w:tcW w:w="4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614</w:t>
            </w:r>
          </w:p>
        </w:tc>
        <w:tc>
          <w:tcPr>
            <w:tcW w:w="24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7.1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$8.23 - $8.37</w:t>
            </w:r>
          </w:p>
        </w:tc>
        <w:tc>
          <w:tcPr>
            <w:tcW w:w="4640" w:type="dxa"/>
            <w:vAlign w:val="bottom"/>
            <w:gridSpan w:val="3"/>
          </w:tcPr>
          <w:p>
            <w:pPr>
              <w:jc w:val="right"/>
              <w:ind w:right="420"/>
              <w:spacing w:after="0"/>
              <w:rPr>
                <w:sz w:val="20"/>
                <w:szCs w:val="20"/>
                <w:color w:val="auto"/>
              </w:rPr>
            </w:pPr>
            <w:r>
              <w:rPr>
                <w:rFonts w:ascii="Arial" w:cs="Arial" w:eastAsia="Arial" w:hAnsi="Arial"/>
                <w:sz w:val="18"/>
                <w:szCs w:val="18"/>
                <w:color w:val="auto"/>
              </w:rPr>
              <w:t>338</w:t>
            </w:r>
          </w:p>
        </w:tc>
        <w:tc>
          <w:tcPr>
            <w:tcW w:w="2440" w:type="dxa"/>
            <w:vAlign w:val="bottom"/>
            <w:gridSpan w:val="3"/>
          </w:tcPr>
          <w:p>
            <w:pPr>
              <w:jc w:val="right"/>
              <w:ind w:right="1080"/>
              <w:spacing w:after="0"/>
              <w:rPr>
                <w:sz w:val="20"/>
                <w:szCs w:val="20"/>
                <w:color w:val="auto"/>
              </w:rPr>
            </w:pPr>
            <w:r>
              <w:rPr>
                <w:rFonts w:ascii="Arial" w:cs="Arial" w:eastAsia="Arial" w:hAnsi="Arial"/>
                <w:sz w:val="18"/>
                <w:szCs w:val="18"/>
                <w:color w:val="auto"/>
              </w:rPr>
              <w:t>8.0</w:t>
            </w:r>
          </w:p>
        </w:tc>
        <w:tc>
          <w:tcPr>
            <w:tcW w:w="8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$13.01 - $13.98</w:t>
            </w:r>
          </w:p>
        </w:tc>
        <w:tc>
          <w:tcPr>
            <w:tcW w:w="4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368</w:t>
            </w:r>
          </w:p>
        </w:tc>
        <w:tc>
          <w:tcPr>
            <w:tcW w:w="24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9.0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$14.00 - $14.90</w:t>
            </w:r>
          </w:p>
        </w:tc>
        <w:tc>
          <w:tcPr>
            <w:tcW w:w="4640" w:type="dxa"/>
            <w:vAlign w:val="bottom"/>
            <w:gridSpan w:val="3"/>
          </w:tcPr>
          <w:p>
            <w:pPr>
              <w:jc w:val="right"/>
              <w:ind w:right="420"/>
              <w:spacing w:after="0"/>
              <w:rPr>
                <w:sz w:val="20"/>
                <w:szCs w:val="20"/>
                <w:color w:val="auto"/>
              </w:rPr>
            </w:pPr>
            <w:r>
              <w:rPr>
                <w:rFonts w:ascii="Arial" w:cs="Arial" w:eastAsia="Arial" w:hAnsi="Arial"/>
                <w:sz w:val="18"/>
                <w:szCs w:val="18"/>
                <w:color w:val="auto"/>
              </w:rPr>
              <w:t>875</w:t>
            </w:r>
          </w:p>
        </w:tc>
        <w:tc>
          <w:tcPr>
            <w:tcW w:w="2440" w:type="dxa"/>
            <w:vAlign w:val="bottom"/>
            <w:gridSpan w:val="3"/>
          </w:tcPr>
          <w:p>
            <w:pPr>
              <w:jc w:val="right"/>
              <w:ind w:right="1080"/>
              <w:spacing w:after="0"/>
              <w:rPr>
                <w:sz w:val="20"/>
                <w:szCs w:val="20"/>
                <w:color w:val="auto"/>
              </w:rPr>
            </w:pPr>
            <w:r>
              <w:rPr>
                <w:rFonts w:ascii="Arial" w:cs="Arial" w:eastAsia="Arial" w:hAnsi="Arial"/>
                <w:sz w:val="18"/>
                <w:szCs w:val="18"/>
                <w:color w:val="auto"/>
              </w:rPr>
              <w:t>8.9</w:t>
            </w: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$15.04 - $21.98</w:t>
            </w:r>
          </w:p>
        </w:tc>
        <w:tc>
          <w:tcPr>
            <w:tcW w:w="3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507</w:t>
            </w:r>
          </w:p>
        </w:tc>
        <w:tc>
          <w:tcPr>
            <w:tcW w:w="2440" w:type="dxa"/>
            <w:vAlign w:val="bottom"/>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9.1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gridSpan w:val="3"/>
            <w:vMerge w:val="restart"/>
          </w:tcPr>
          <w:p>
            <w:pPr>
              <w:jc w:val="right"/>
              <w:ind w:right="1080"/>
              <w:spacing w:after="0"/>
              <w:rPr>
                <w:sz w:val="20"/>
                <w:szCs w:val="20"/>
                <w:color w:val="auto"/>
              </w:rPr>
            </w:pPr>
            <w:r>
              <w:rPr>
                <w:rFonts w:ascii="Arial" w:cs="Arial" w:eastAsia="Arial" w:hAnsi="Arial"/>
                <w:sz w:val="18"/>
                <w:szCs w:val="18"/>
                <w:color w:val="auto"/>
              </w:rPr>
              <w:t>8.1</w:t>
            </w: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5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2,945</w:t>
            </w:r>
          </w:p>
        </w:tc>
        <w:tc>
          <w:tcPr>
            <w:tcW w:w="2440" w:type="dxa"/>
            <w:vAlign w:val="bottom"/>
            <w:gridSpan w:val="3"/>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20" w:type="dxa"/>
            <w:vAlign w:val="bottom"/>
          </w:tcPr>
          <w:p>
            <w:pPr>
              <w:spacing w:after="0"/>
              <w:rPr>
                <w:sz w:val="24"/>
                <w:szCs w:val="24"/>
                <w:color w:val="auto"/>
              </w:rPr>
            </w:pPr>
          </w:p>
        </w:tc>
        <w:tc>
          <w:tcPr>
            <w:tcW w:w="4220" w:type="dxa"/>
            <w:vAlign w:val="bottom"/>
            <w:gridSpan w:val="2"/>
          </w:tcPr>
          <w:p>
            <w:pPr>
              <w:jc w:val="right"/>
              <w:ind w:right="784"/>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Options exercisable as of December 31, 2012 had a weighted-average remaining contractual life of 7.4 years, a weighted-average exercise price per share of $8.37, and an aggregate intrinsic value of $9.1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outstanding that have vested as of December 31, 2012 or are expected to vest in the future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Weighted-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3"/>
              </w:rPr>
              <w:t>Average</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Exercise</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Remaining</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Pr>
          <w:p>
            <w:pPr>
              <w:jc w:val="right"/>
              <w:ind w:right="62"/>
              <w:spacing w:after="0" w:line="149" w:lineRule="exact"/>
              <w:rPr>
                <w:sz w:val="20"/>
                <w:szCs w:val="20"/>
                <w:color w:val="auto"/>
              </w:rPr>
            </w:pPr>
            <w:r>
              <w:rPr>
                <w:rFonts w:ascii="Arial" w:cs="Arial" w:eastAsia="Arial" w:hAnsi="Arial"/>
                <w:sz w:val="14"/>
                <w:szCs w:val="14"/>
                <w:b w:val="1"/>
                <w:bCs w:val="1"/>
                <w:color w:val="auto"/>
              </w:rPr>
              <w:t>Number of</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Price</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00" w:type="dxa"/>
            <w:vAlign w:val="bottom"/>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10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Life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Value (1)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 Years)</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Expected to vest, net of forfeitures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120" w:type="dxa"/>
            <w:vAlign w:val="bottom"/>
            <w:gridSpan w:val="2"/>
          </w:tcPr>
          <w:p>
            <w:pPr>
              <w:ind w:left="10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13.41</w:t>
            </w:r>
          </w:p>
        </w:tc>
        <w:tc>
          <w:tcPr>
            <w:tcW w:w="102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vested and expected to vest, net of forfeitures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5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Aggregate intrinsic value was calculated as the difference between the closing stock price on the last trading day of 2012, which was $14.31, and the exercise price of the options, multiplied by the number of in-the-money options.</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total intrinsic value of options exercised during 2012, 2011, and 2010 was $5.5 million, $3.1 million, and $0.1 million, respectively.</w:t>
      </w:r>
    </w:p>
    <w:p>
      <w:pPr>
        <w:spacing w:after="0" w:line="17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There were no stock-based compensation tax benefits recognized during 2012, 2011, or 2010. Capitalized stock-based compensation costs were insignificant at December 31, 2012, 2011, and 2010.</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of December 31, 2012, there was $10.5 million of total unrecognized compensation cost related to stock-based compensation arrangements that is expected to be recognized over an average period of three years.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February and April 2008, we granted 94,133 performance-based options (the 2008 performance awards) to certain executives. These awards vest over an approximately four-year period based on continuing service and were subject to accelerated vesting if specified corporate and departmental performance goals were met for the fiscal year ended December 27, 2008. Based upon achievement of 2008 departmental performance goals, vesting for 34,846 options was accelerated. In March 2009, the compensation committee of our board of directors accelerated the vesting of 28,240 options based upon the achievement of 2008 corporate performance goals. Stock-based compensation expense for the 2008 performance awards is recognized as expense over the requisite performance periods using an accelerated attribution method. We recognized $6,000, $41,000, and $66,000 of stock-based compensation expense during 2012, 2011, and 2010, respectively, relating to these 2008 performance options.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November 2009, we granted 89,017 performance-based options (the 2009 performance awards) to certain executives with performance conditions substantially similar to the 2008 performance options. Based on achievement of 2009 departmental goals, vesting for 25,723 options was accelerated in December 2009. Based on achievement of 2009 corporate goals, vesting for 27,150 options was accelerated in December 2009. We recognized $5,000, $15,000, and $32,000 of stock-based compensation expense during 2012, 2011, and 2010, respectively, relating to these 2009 performance options.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January 2011, we granted 94,972 performance-based options (the 2010 performance awards) to certain executives with performance conditions substantially similar to the 2008 and 2009 performance options. Based on achievement of 2010 departmental and corporate goals, vesting for 66,480 options was accelerated in March 2011. We recognized $20,000 and $0.4 million of stock-based compensation expense during 2012 and 2011, respectively, relating to these 2010 performance options.</w:t>
      </w: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loss before income taxes consists of the following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8"/>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64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12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12"/>
                <w:szCs w:val="12"/>
                <w:color w:val="auto"/>
              </w:rPr>
            </w:pPr>
          </w:p>
        </w:tc>
        <w:tc>
          <w:tcPr>
            <w:tcW w:w="66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(18,017)</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(20,815)</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(18,543)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International</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(871)</w:t>
            </w:r>
          </w:p>
        </w:tc>
        <w:tc>
          <w:tcPr>
            <w:tcW w:w="1680" w:type="dxa"/>
            <w:vAlign w:val="bottom"/>
            <w:gridSpan w:val="3"/>
          </w:tcPr>
          <w:p>
            <w:pPr>
              <w:jc w:val="right"/>
              <w:ind w:right="500"/>
              <w:spacing w:after="0"/>
              <w:rPr>
                <w:sz w:val="20"/>
                <w:szCs w:val="20"/>
                <w:color w:val="auto"/>
              </w:rPr>
            </w:pPr>
            <w:r>
              <w:rPr>
                <w:rFonts w:ascii="Arial" w:cs="Arial" w:eastAsia="Arial" w:hAnsi="Arial"/>
                <w:sz w:val="18"/>
                <w:szCs w:val="18"/>
                <w:color w:val="auto"/>
              </w:rPr>
              <w:t>(1,489)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r>
      <w:tr>
        <w:trPr>
          <w:trHeight w:val="27"/>
        </w:trPr>
        <w:tc>
          <w:tcPr>
            <w:tcW w:w="6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(18,888)</w:t>
            </w:r>
          </w:p>
        </w:tc>
        <w:tc>
          <w:tcPr>
            <w:tcW w:w="16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(22,304)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(16,819)</w:t>
            </w:r>
          </w:p>
        </w:tc>
      </w:tr>
      <w:tr>
        <w:trPr>
          <w:trHeight w:val="20"/>
        </w:trPr>
        <w:tc>
          <w:tcPr>
            <w:tcW w:w="6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our provision for income taxes are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State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(10)</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(124)</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0"/>
              </w:rPr>
              <w:t>(162)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Total provision for income taxes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85"/>
              </w:rPr>
              <w:t>(136)</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w w:val="90"/>
              </w:rPr>
              <w:t>(166)</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 (83)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Reconciliation of income taxes at the statutory rate to the provision for income taxes recorded in the statements of operations is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29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benefit at federal statutory rate</w:t>
            </w:r>
          </w:p>
        </w:tc>
        <w:tc>
          <w:tcPr>
            <w:tcW w:w="29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34.0%</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Foreign rate difference</w:t>
            </w:r>
          </w:p>
        </w:tc>
        <w:tc>
          <w:tcPr>
            <w:tcW w:w="4160" w:type="dxa"/>
            <w:vAlign w:val="bottom"/>
            <w:gridSpan w:val="3"/>
          </w:tcPr>
          <w:p>
            <w:pPr>
              <w:jc w:val="right"/>
              <w:ind w:right="612"/>
              <w:spacing w:after="0"/>
              <w:rPr>
                <w:sz w:val="20"/>
                <w:szCs w:val="20"/>
                <w:color w:val="auto"/>
              </w:rPr>
            </w:pPr>
            <w:r>
              <w:rPr>
                <w:rFonts w:ascii="Arial" w:cs="Arial" w:eastAsia="Arial" w:hAnsi="Arial"/>
                <w:sz w:val="18"/>
                <w:szCs w:val="18"/>
                <w:color w:val="auto"/>
              </w:rPr>
              <w:t>(0.9)</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(3.0)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1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(28.0)</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(32.2)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(34.1)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Other, net</w:t>
            </w:r>
          </w:p>
        </w:tc>
        <w:tc>
          <w:tcPr>
            <w:tcW w:w="2980" w:type="dxa"/>
            <w:vAlign w:val="bottom"/>
          </w:tcPr>
          <w:p>
            <w:pPr>
              <w:spacing w:after="0"/>
              <w:rPr>
                <w:sz w:val="18"/>
                <w:szCs w:val="18"/>
                <w:color w:val="auto"/>
              </w:rPr>
            </w:pPr>
          </w:p>
        </w:tc>
        <w:tc>
          <w:tcPr>
            <w:tcW w:w="1180" w:type="dxa"/>
            <w:vAlign w:val="bottom"/>
            <w:gridSpan w:val="2"/>
          </w:tcPr>
          <w:p>
            <w:pPr>
              <w:jc w:val="right"/>
              <w:ind w:right="612"/>
              <w:spacing w:after="0"/>
              <w:rPr>
                <w:sz w:val="20"/>
                <w:szCs w:val="20"/>
                <w:color w:val="auto"/>
              </w:rPr>
            </w:pPr>
            <w:r>
              <w:rPr>
                <w:rFonts w:ascii="Arial" w:cs="Arial" w:eastAsia="Arial" w:hAnsi="Arial"/>
                <w:sz w:val="18"/>
                <w:szCs w:val="18"/>
                <w:color w:val="auto"/>
              </w:rPr>
              <w:t>(5.8)</w:t>
            </w: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0.4</w:t>
            </w: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9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(0.7)%</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980" w:type="dxa"/>
            <w:vAlign w:val="bottom"/>
            <w:vMerge w:val="restart"/>
          </w:tcPr>
          <w:p>
            <w:pPr>
              <w:jc w:val="right"/>
              <w:ind w:right="1592"/>
              <w:spacing w:after="0"/>
              <w:rPr>
                <w:sz w:val="20"/>
                <w:szCs w:val="20"/>
                <w:color w:val="auto"/>
              </w:rPr>
            </w:pPr>
            <w:r>
              <w:rPr>
                <w:rFonts w:ascii="Arial" w:cs="Arial" w:eastAsia="Arial" w:hAnsi="Arial"/>
                <w:sz w:val="18"/>
                <w:szCs w:val="18"/>
                <w:color w:val="auto"/>
              </w:rPr>
              <w:t>90</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our deferred tax assets and liabilities are as follows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Net operating loss carryforwards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79,797</w:t>
            </w:r>
          </w:p>
        </w:tc>
        <w:tc>
          <w:tcPr>
            <w:tcW w:w="9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75,677</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Reserves and accruals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355</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credit carryforwards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6,235</w:t>
            </w:r>
          </w:p>
        </w:tc>
      </w:tr>
      <w:tr>
        <w:trPr>
          <w:trHeight w:val="223"/>
        </w:trPr>
        <w:tc>
          <w:tcPr>
            <w:tcW w:w="69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90,612</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85,322</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19"/>
                <w:szCs w:val="19"/>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w w:val="98"/>
              </w:rPr>
              <w:t>(90,612)</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(85,322)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evaluate a number of factors to determine the realizability of our deferred tax assets. Recognition of deferred tax assets is appropriate when realization of these assets is more likely than not. Assessing the realizability of deferred tax assets is dependent upon several factors including historical financial results. The net deferred tax assets have been fully offset by a valuation allowance because we have incurred losses since our inception. The valuation allowance increased by $5.3 million and $7.2 million during 2012 and 2011, respectively. The change in valuation allowance is mainly due to the current year’s taxable loss and the current year’s research and development credit.</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of December 31, 2012, we had net operating loss carryforwards for U.S. federal income tax purposes of $221.4 million, which expire in the years 2020 through 2033, and U.S. federal research and development tax credits of $4.3 million, which expire in the years 2020 through 2032. As of December 31, 2012, we had net operating loss carryforwards for California state income tax purposes of $143.1 million, which expire in the years 2013 through 2033, and state research and development tax credits of $5.5 million, which do not expire. In addition, we have approximately $20.1 million in other state net operating loss carryovers which have various expiration dates from 2013 through 2033. As of December 31, 2012, we had foreign net operating loss carryforwards of $2.6 million, which expire in the years 2015 through 2022.</w:t>
      </w:r>
    </w:p>
    <w:p>
      <w:pPr>
        <w:spacing w:after="0" w:line="14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Utilization of the net operating loss carryforwards and credits may be subject to a substantial annual limitation due to the ownership change limitations provided by Section 382 of the Internal Revenue Code of 1986, as amended (Section 382), and similar state provisions. The annual limitation may result in the expiration of net operating losses and credits before utilization. We previously completed a Section 382 analysis for the period from our inception in May 1999 through June 30, 2011, and determined that an ownership change as defined under Section 382 occurred in November 2001, which resulted in a reduction to our U.S. federal and California net operating losses by $1.2 million and $0.7 million, respectively. We completed a subsequent Section 382 analysis for the period from July 1, 2011 through December 31, 2012 and determined that an ownership change did not occur during such period.</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not provided for U.S. federal and state income taxes on all of our non-U.S. subsidiaries’ undistributed earnings as of December 31, 2012 because such earnings are intended to be indefinitely reinvested. Upon distribution of those earnings in the form of dividends or otherwise, we may be subject to U.S. federal and state income taxes, the determination of which is not practical as it is dependent on the amount of U.S. tax losses or other tax attributes available at the time of the repatriation. Undistributed earnings of our foreign subsidiaries amounted to approximately $0.9 million at December 31, 2012.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2012</w:t>
      </w:r>
    </w:p>
    <w:p>
      <w:pPr>
        <w:spacing w:after="0" w:line="1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Effective January 1, 2010, we obtained approval for Pioneer Tax Status in Singapore. The Pioneer Tax Status allows a full exemption from Singapore corporate tax related to contract manufacturing activities through the effective period subject to the achievement of certain milestones which will be reviewed by the Singapore government. If we continue to meet or exceed the negotiated milestones, we will maintain Pioneer Tax Status until December 31, 2019. Due to available capital allowances, we have not benefited from the tax exemption through December 31, 2012 and may never benefit if we do not achieve the required milestones.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January 2, 2013, the American Taxpayer Relief Act of 2012 (H.R.8) was signed into law. This law retroactively extended the federal research and development credits (R&amp;D credits) for amounts incurred from January 1, 2012 through December 31, 2013. As a result of the retroactive extension, we estimate that our tax credit for 2012 would have been approximately $0.6 million, which we will recognize as a discrete benefit that will be fully offset by a valuation allowance in the first quarter of 2013.</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February 2009, the California 2009-2010 budget legislation was signed into law allowing companies to elect single sales factor apportionment for fiscal years 2012 and 2013. The passage of California Proposition 39 in November 2012 makes this apportionment method mandatory for fiscal years beginning on or after January 1, 2013. The application of the single sales factor is expected to lower our future allocable California taxable losses and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w w:val="88"/>
              </w:rPr>
              <w:t>The aggregate changes in the balance of our gross unrecognized tax benefits during 2012, 2011, and 2010 were as follows (in thousands):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Increases in balances related to tax positions taken during prior period</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interest and penalties related to unrecognized tax benefits were included in the income tax provision and were immaterial.</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2012, the total amount of unrecognized tax benefits that, if recognized, would affect our effective tax rate is zero. We do not anticipate that our existing unrecognized tax benefits will significantly increase or decrease within the next 12 months.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file income tax returns in the United States, various states, and certain foreign jurisdictions. As a result of net operating loss carryforwards, all of our tax years are open to federal and state examination in the United States. Tax years from 2010 are open to examination in Singapore.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14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sponsor a 401(k) savings plan for our employees in the United States that stipulates that eligible employees may elect to contribute to the plan, subject to certain limitations, up to the lesser of 60% of eligible compensation or the maximum amount allowed by the U.S. Internal Revenue Service. We have not made contributions to this plan since its inception.</w:t>
      </w:r>
    </w:p>
    <w:p>
      <w:pPr>
        <w:spacing w:after="0" w:line="256"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About Geographic Areas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operate in one reporting segment, which is the development, manufacturing, and commercialization of microfluidic systems for the life science and Ag-Bio industries.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represents our product revenue by geography based on the billing address of our customers for each year presented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0"/>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1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$27,325</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$21,644</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Europe</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13,086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10,499</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7,577</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Asia-Pacific</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Japan</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3,840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3,942</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51,488</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40,581</w:t>
            </w: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30,462</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grant revenue is generated in Singapore and the United States and license and collaboration revenue is primarily generated in the United States.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had long-lived assets consisting of property and equipment, net of accumulated depreciation, in the following geographic areas (in thousands) as of:</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220" w:type="dxa"/>
            <w:vAlign w:val="bottom"/>
            <w:gridSpan w:val="3"/>
          </w:tcPr>
          <w:p>
            <w:pPr>
              <w:ind w:left="3420"/>
              <w:spacing w:after="0"/>
              <w:rPr>
                <w:sz w:val="20"/>
                <w:szCs w:val="20"/>
                <w:color w:val="auto"/>
              </w:rPr>
            </w:pPr>
            <w:r>
              <w:rPr>
                <w:rFonts w:ascii="Arial" w:cs="Arial" w:eastAsia="Arial" w:hAnsi="Arial"/>
                <w:sz w:val="14"/>
                <w:szCs w:val="14"/>
                <w:b w:val="1"/>
                <w:bCs w:val="1"/>
                <w:color w:val="auto"/>
                <w:w w:val="85"/>
              </w:rPr>
              <w:t>December 31,</w:t>
            </w:r>
          </w:p>
        </w:tc>
        <w:tc>
          <w:tcPr>
            <w:tcW w:w="1860" w:type="dxa"/>
            <w:vAlign w:val="bottom"/>
            <w:gridSpan w:val="4"/>
          </w:tcPr>
          <w:p>
            <w:pPr>
              <w:ind w:left="9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3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Singapore</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2,961</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Europe</w:t>
            </w:r>
          </w:p>
        </w:tc>
        <w:tc>
          <w:tcPr>
            <w:tcW w:w="3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1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20" w:type="dxa"/>
            <w:vAlign w:val="bottom"/>
            <w:vMerge w:val="restart"/>
          </w:tcPr>
          <w:p>
            <w:pPr>
              <w:jc w:val="right"/>
              <w:ind w:right="1519"/>
              <w:spacing w:after="0"/>
              <w:rPr>
                <w:sz w:val="20"/>
                <w:szCs w:val="20"/>
                <w:color w:val="auto"/>
              </w:rPr>
            </w:pPr>
            <w:r>
              <w:rPr>
                <w:rFonts w:ascii="Arial" w:cs="Arial" w:eastAsia="Arial" w:hAnsi="Arial"/>
                <w:sz w:val="18"/>
                <w:szCs w:val="18"/>
                <w:color w:val="auto"/>
              </w:rPr>
              <w:t>93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14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Selected quarterly results of operations for the years ended December 31, 2012 and 2011 are as follows (in thousands, except for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89"/>
              </w:rPr>
              <w:t>2012</w:t>
            </w:r>
          </w:p>
        </w:tc>
        <w:tc>
          <w:tcPr>
            <w:tcW w:w="50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First</w:t>
            </w:r>
          </w:p>
        </w:tc>
        <w:tc>
          <w:tcPr>
            <w:tcW w:w="18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2"/>
              </w:rPr>
              <w:t>Second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Third</w:t>
            </w:r>
          </w:p>
        </w:tc>
        <w:tc>
          <w:tcPr>
            <w:tcW w:w="8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48"/>
        </w:trPr>
        <w:tc>
          <w:tcPr>
            <w:tcW w:w="300" w:type="dxa"/>
            <w:vAlign w:val="bottom"/>
            <w:gridSpan w:val="2"/>
            <w:vMerge w:val="continue"/>
          </w:tcPr>
          <w:p>
            <w:pPr>
              <w:spacing w:after="0"/>
              <w:rPr>
                <w:sz w:val="12"/>
                <w:szCs w:val="12"/>
                <w:color w:val="auto"/>
              </w:rPr>
            </w:pPr>
          </w:p>
        </w:tc>
        <w:tc>
          <w:tcPr>
            <w:tcW w:w="50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Quarter</w:t>
            </w:r>
          </w:p>
        </w:tc>
        <w:tc>
          <w:tcPr>
            <w:tcW w:w="180" w:type="dxa"/>
            <w:vAlign w:val="bottom"/>
          </w:tcPr>
          <w:p>
            <w:pPr>
              <w:spacing w:after="0"/>
              <w:rPr>
                <w:sz w:val="12"/>
                <w:szCs w:val="12"/>
                <w:color w:val="auto"/>
              </w:rPr>
            </w:pPr>
          </w:p>
        </w:tc>
        <w:tc>
          <w:tcPr>
            <w:tcW w:w="840" w:type="dxa"/>
            <w:vAlign w:val="bottom"/>
            <w:gridSpan w:val="3"/>
          </w:tcPr>
          <w:p>
            <w:pPr>
              <w:jc w:val="center"/>
              <w:ind w:right="240"/>
              <w:spacing w:after="0" w:line="148" w:lineRule="exact"/>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12"/>
                <w:szCs w:val="12"/>
                <w:color w:val="auto"/>
              </w:rPr>
            </w:pPr>
          </w:p>
        </w:tc>
        <w:tc>
          <w:tcPr>
            <w:tcW w:w="1020" w:type="dxa"/>
            <w:vAlign w:val="bottom"/>
            <w:gridSpan w:val="3"/>
          </w:tcPr>
          <w:p>
            <w:pPr>
              <w:jc w:val="center"/>
              <w:ind w:right="440"/>
              <w:spacing w:after="0" w:line="148" w:lineRule="exact"/>
              <w:rPr>
                <w:sz w:val="20"/>
                <w:szCs w:val="20"/>
                <w:color w:val="auto"/>
              </w:rPr>
            </w:pPr>
            <w:r>
              <w:rPr>
                <w:rFonts w:ascii="Arial" w:cs="Arial" w:eastAsia="Arial" w:hAnsi="Arial"/>
                <w:sz w:val="14"/>
                <w:szCs w:val="14"/>
                <w:b w:val="1"/>
                <w:bCs w:val="1"/>
                <w:color w:val="auto"/>
                <w:w w:val="90"/>
              </w:rPr>
              <w:t>Quarter</w:t>
            </w:r>
          </w:p>
        </w:tc>
        <w:tc>
          <w:tcPr>
            <w:tcW w:w="68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10,945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$12,948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$12,782</w:t>
            </w:r>
          </w:p>
        </w:tc>
        <w:tc>
          <w:tcPr>
            <w:tcW w:w="4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$15,659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Net loss attributed to common stockholders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(6,690)</w:t>
            </w: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 (4,580)</w:t>
            </w:r>
          </w:p>
        </w:tc>
        <w:tc>
          <w:tcPr>
            <w:tcW w:w="1200" w:type="dxa"/>
            <w:vAlign w:val="bottom"/>
            <w:gridSpan w:val="4"/>
          </w:tcPr>
          <w:p>
            <w:pPr>
              <w:jc w:val="right"/>
              <w:ind w:right="380"/>
              <w:spacing w:after="0"/>
              <w:rPr>
                <w:sz w:val="20"/>
                <w:szCs w:val="20"/>
                <w:color w:val="auto"/>
              </w:rPr>
            </w:pPr>
            <w:r>
              <w:rPr>
                <w:rFonts w:ascii="Arial" w:cs="Arial" w:eastAsia="Arial" w:hAnsi="Arial"/>
                <w:sz w:val="18"/>
                <w:szCs w:val="18"/>
                <w:color w:val="auto"/>
              </w:rPr>
              <w:t>$ (4,152)</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85"/>
              </w:rPr>
              <w:t>$ (3,602)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Net loss per share attributed to common stockholders, basic and diluted</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352"/>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89"/>
              </w:rPr>
              <w:t>2011</w:t>
            </w:r>
          </w:p>
        </w:tc>
        <w:tc>
          <w:tcPr>
            <w:tcW w:w="5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First</w:t>
            </w:r>
          </w:p>
        </w:tc>
        <w:tc>
          <w:tcPr>
            <w:tcW w:w="180" w:type="dxa"/>
            <w:vAlign w:val="bottom"/>
          </w:tcPr>
          <w:p>
            <w:pPr>
              <w:spacing w:after="0"/>
              <w:rPr>
                <w:sz w:val="24"/>
                <w:szCs w:val="2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2"/>
              </w:rPr>
              <w:t>Second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Third</w:t>
            </w:r>
          </w:p>
        </w:tc>
        <w:tc>
          <w:tcPr>
            <w:tcW w:w="80" w:type="dxa"/>
            <w:vAlign w:val="bottom"/>
          </w:tcPr>
          <w:p>
            <w:pPr>
              <w:spacing w:after="0"/>
              <w:rPr>
                <w:sz w:val="24"/>
                <w:szCs w:val="2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48"/>
        </w:trPr>
        <w:tc>
          <w:tcPr>
            <w:tcW w:w="300" w:type="dxa"/>
            <w:vAlign w:val="bottom"/>
            <w:gridSpan w:val="2"/>
            <w:vMerge w:val="continue"/>
          </w:tcPr>
          <w:p>
            <w:pPr>
              <w:spacing w:after="0"/>
              <w:rPr>
                <w:sz w:val="12"/>
                <w:szCs w:val="12"/>
                <w:color w:val="auto"/>
              </w:rPr>
            </w:pPr>
          </w:p>
        </w:tc>
        <w:tc>
          <w:tcPr>
            <w:tcW w:w="50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Quarter</w:t>
            </w:r>
          </w:p>
        </w:tc>
        <w:tc>
          <w:tcPr>
            <w:tcW w:w="180" w:type="dxa"/>
            <w:vAlign w:val="bottom"/>
          </w:tcPr>
          <w:p>
            <w:pPr>
              <w:spacing w:after="0"/>
              <w:rPr>
                <w:sz w:val="12"/>
                <w:szCs w:val="12"/>
                <w:color w:val="auto"/>
              </w:rPr>
            </w:pPr>
          </w:p>
        </w:tc>
        <w:tc>
          <w:tcPr>
            <w:tcW w:w="840" w:type="dxa"/>
            <w:vAlign w:val="bottom"/>
            <w:gridSpan w:val="3"/>
          </w:tcPr>
          <w:p>
            <w:pPr>
              <w:jc w:val="center"/>
              <w:ind w:right="240"/>
              <w:spacing w:after="0" w:line="148" w:lineRule="exact"/>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12"/>
                <w:szCs w:val="12"/>
                <w:color w:val="auto"/>
              </w:rPr>
            </w:pPr>
          </w:p>
        </w:tc>
        <w:tc>
          <w:tcPr>
            <w:tcW w:w="1020" w:type="dxa"/>
            <w:vAlign w:val="bottom"/>
            <w:gridSpan w:val="3"/>
          </w:tcPr>
          <w:p>
            <w:pPr>
              <w:jc w:val="center"/>
              <w:ind w:right="440"/>
              <w:spacing w:after="0" w:line="148" w:lineRule="exact"/>
              <w:rPr>
                <w:sz w:val="20"/>
                <w:szCs w:val="20"/>
                <w:color w:val="auto"/>
              </w:rPr>
            </w:pPr>
            <w:r>
              <w:rPr>
                <w:rFonts w:ascii="Arial" w:cs="Arial" w:eastAsia="Arial" w:hAnsi="Arial"/>
                <w:sz w:val="14"/>
                <w:szCs w:val="14"/>
                <w:b w:val="1"/>
                <w:bCs w:val="1"/>
                <w:color w:val="auto"/>
                <w:w w:val="90"/>
              </w:rPr>
              <w:t>Quarter</w:t>
            </w:r>
          </w:p>
        </w:tc>
        <w:tc>
          <w:tcPr>
            <w:tcW w:w="68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8,697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$10,576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$10,596</w:t>
            </w:r>
          </w:p>
        </w:tc>
        <w:tc>
          <w:tcPr>
            <w:tcW w:w="4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$12,996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Net loss attributed to common stockholders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(17,238)</w:t>
            </w: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 (7,186)</w:t>
            </w:r>
          </w:p>
        </w:tc>
        <w:tc>
          <w:tcPr>
            <w:tcW w:w="1200" w:type="dxa"/>
            <w:vAlign w:val="bottom"/>
            <w:gridSpan w:val="4"/>
          </w:tcPr>
          <w:p>
            <w:pPr>
              <w:jc w:val="right"/>
              <w:ind w:right="380"/>
              <w:spacing w:after="0"/>
              <w:rPr>
                <w:sz w:val="20"/>
                <w:szCs w:val="20"/>
                <w:color w:val="auto"/>
              </w:rPr>
            </w:pPr>
            <w:r>
              <w:rPr>
                <w:rFonts w:ascii="Arial" w:cs="Arial" w:eastAsia="Arial" w:hAnsi="Arial"/>
                <w:sz w:val="18"/>
                <w:szCs w:val="18"/>
                <w:color w:val="auto"/>
              </w:rPr>
              <w:t>$ (4,489)</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85"/>
              </w:rPr>
              <w:t>$ (3,457)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Net loss per share attributed to common stockholders, basic and diluted</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(0.36)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300" w:type="dxa"/>
            <w:vAlign w:val="bottom"/>
          </w:tcPr>
          <w:p>
            <w:pPr>
              <w:jc w:val="right"/>
              <w:ind w:right="17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jc w:val="right"/>
        <w:ind w:right="7580"/>
        <w:spacing w:after="0"/>
        <w:tabs>
          <w:tab w:leader="none" w:pos="10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jc w:val="right"/>
        <w:ind w:right="7600"/>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1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2012, our Chief Executive Officer and Chief Financial Officer concluded that, as of such date, our disclosure controls and procedures were effective at the reasonable assurance level.</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0"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GAAP. Management assessed our internal control over financial reporting as of December 31, 2012. Management based its assessment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Based on our assessment, management has</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our internal control over financial reporting was effective as of December 31, 2012. The certifications of our principal executive officer and principal financial officer attached as Exhibits 31.1 and 31.2 to this report include, in paragraph 4 of such certifications, information concerning our disclosure controls and procedures and internal controls over financial reporting.</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2012 has been audited by Ernst &amp; Young LLP, an independent registered public accounting firm, as stated in its report included in this Annual Report on Form 10-K.</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December 31, 2012 that have materially affected, or are reasonably likely to materially affect, our internal control over financial reporting.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9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General Instruction G(3) of Form 10-K, the information required by this Item 10 relating to our executive officers is included under the caption “Executive Officers” in Part I of this Form 10-K.</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other information required by this Item 10 is incorporated by reference to our Proxy Statement for the 2013 Annual Meeting of Stockholders (to be filed with the Securities and Exchange Commission within 120 days of our December 31, 2012 fiscal year end) under the headings “Corporate Governance and Board of Directors,” “Election of Class III Directors,” “Executive Officers” and “Related Person Transactions and Section 16(a) Beneficial Ownership Reporting Compliance.”</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information required by this Item 11 is incorporated by reference to our Proxy Statement for the 2013 Annual Meeting of Stockholders (to be filed with the Securities and Exchange Commission within 120 days of our December 31, 2012 fiscal year end) under the headings “Corporate Governance and Board of Directors” and “Executive Compensation.”</w:t>
      </w:r>
    </w:p>
    <w:p>
      <w:pPr>
        <w:spacing w:after="0" w:line="256" w:lineRule="exact"/>
        <w:rPr>
          <w:sz w:val="20"/>
          <w:szCs w:val="20"/>
          <w:color w:val="auto"/>
        </w:rPr>
      </w:pPr>
    </w:p>
    <w:p>
      <w:pPr>
        <w:ind w:left="1140" w:right="58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information required by this Item 12 is incorporated by reference to our Proxy Statement for the 2013 Annual Meeting of Stockholders (to be filed with the Securities and Exchange Commission within 120 days of our December 31, 2012 fiscal year end) under the headings “Executive Compensation” and “Security Ownership.”</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information required by this Item 13 is incorporated by reference to our Proxy Statement for the 2013 Annual Meeting of Stockholders (to be filed with the Securities and Exchange Commission within 120 days of our December 31, 2012 fiscal year end) under the headings “Corporate Governance and Board of Directors” and “Related Person Transactions and Section 16(a) Beneficial Ownership Reporting Compliance.”</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information required by this Item 14 is incorporated by reference to our Proxy Statement for the 2013 Annual Meeting of Stockholders (to be filed with the Securities and Exchange Commission within 120 days of our December 31, 2012 fiscal year end) under the heading “Ratification of Appointment of Independent Registered Public Accounting Firm.”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9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See “Index to Consolidated Financial Statements” in Part II, Item 8 of this Form 10-K.</w:t>
      </w:r>
    </w:p>
    <w:p>
      <w:pPr>
        <w:spacing w:after="0" w:line="211" w:lineRule="exact"/>
        <w:rPr>
          <w:rFonts w:ascii="Arial" w:cs="Arial" w:eastAsia="Arial" w:hAnsi="Arial"/>
          <w:sz w:val="18"/>
          <w:szCs w:val="18"/>
          <w:b w:val="1"/>
          <w:bCs w:val="1"/>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 </w:t>
      </w:r>
      <w:r>
        <w:rPr>
          <w:rFonts w:ascii="Arial" w:cs="Arial" w:eastAsia="Arial" w:hAnsi="Arial"/>
          <w:sz w:val="18"/>
          <w:szCs w:val="18"/>
          <w:color w:val="auto"/>
        </w:rPr>
        <w:t>See “Schedule II—Valuation and Qualifying Account and Reserve” in this section of this Form 10-K.</w:t>
      </w:r>
    </w:p>
    <w:p>
      <w:pPr>
        <w:spacing w:after="0" w:line="211" w:lineRule="exact"/>
        <w:rPr>
          <w:rFonts w:ascii="Arial" w:cs="Arial" w:eastAsia="Arial" w:hAnsi="Arial"/>
          <w:sz w:val="18"/>
          <w:szCs w:val="18"/>
          <w:b w:val="1"/>
          <w:bCs w:val="1"/>
          <w:color w:val="auto"/>
        </w:rPr>
      </w:pPr>
    </w:p>
    <w:p>
      <w:pPr>
        <w:ind w:left="460" w:hanging="452"/>
        <w:spacing w:after="0" w:line="275" w:lineRule="auto"/>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set forth below are filed herewith or are incorporated by reference to exhibits previously filed with the U.S.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 AND RESERVE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8"/>
              </w:rPr>
              <w:t>Balance at</w:t>
            </w:r>
          </w:p>
        </w:tc>
        <w:tc>
          <w:tcPr>
            <w:tcW w:w="13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Additions/</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Balance at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Charged to</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Period</w:t>
            </w:r>
          </w:p>
        </w:tc>
        <w:tc>
          <w:tcPr>
            <w:tcW w:w="100" w:type="dxa"/>
            <w:vAlign w:val="bottom"/>
          </w:tcPr>
          <w:p>
            <w:pPr>
              <w:spacing w:after="0"/>
              <w:rPr>
                <w:sz w:val="14"/>
                <w:szCs w:val="14"/>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79"/>
              </w:rPr>
              <w:t>Expense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2012</w:t>
            </w:r>
          </w:p>
        </w:tc>
        <w:tc>
          <w:tcPr>
            <w:tcW w:w="2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Accounts receivable allowance</w:t>
            </w:r>
          </w:p>
        </w:tc>
        <w:tc>
          <w:tcPr>
            <w:tcW w:w="270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Accounts receivable allowance</w:t>
            </w:r>
          </w:p>
        </w:tc>
        <w:tc>
          <w:tcPr>
            <w:tcW w:w="270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467</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Accounts receivable allowance</w:t>
            </w:r>
          </w:p>
        </w:tc>
        <w:tc>
          <w:tcPr>
            <w:tcW w:w="2700" w:type="dxa"/>
            <w:vAlign w:val="bottom"/>
            <w:gridSpan w:val="2"/>
          </w:tcPr>
          <w:p>
            <w:pPr>
              <w:ind w:left="25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560" w:type="dxa"/>
            <w:vAlign w:val="bottom"/>
          </w:tcPr>
          <w:p>
            <w:pPr>
              <w:jc w:val="right"/>
              <w:ind w:right="792"/>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960" w:type="dxa"/>
            <w:vAlign w:val="bottom"/>
          </w:tcPr>
          <w:p>
            <w:pPr>
              <w:ind w:left="3960"/>
              <w:spacing w:after="0"/>
              <w:rPr>
                <w:sz w:val="20"/>
                <w:szCs w:val="20"/>
                <w:color w:val="auto"/>
              </w:rPr>
            </w:pPr>
            <w:r>
              <w:rPr>
                <w:rFonts w:ascii="Arial" w:cs="Arial" w:eastAsia="Arial" w:hAnsi="Arial"/>
                <w:sz w:val="18"/>
                <w:szCs w:val="18"/>
                <w:b w:val="1"/>
                <w:bCs w:val="1"/>
                <w:color w:val="auto"/>
              </w:rPr>
              <w:t>EXHIBITS</w:t>
            </w:r>
          </w:p>
        </w:tc>
      </w:tr>
      <w:tr>
        <w:trPr>
          <w:trHeight w:val="624"/>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18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5"/>
                <w:szCs w:val="15"/>
                <w:color w:val="auto"/>
              </w:rPr>
            </w:pPr>
          </w:p>
        </w:tc>
        <w:tc>
          <w:tcPr>
            <w:tcW w:w="5960" w:type="dxa"/>
            <w:vAlign w:val="bottom"/>
          </w:tcPr>
          <w:p>
            <w:pPr>
              <w:ind w:left="264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Eighth Amended and Restated Certificate of Incorporation of Fluidigm Corporation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filed on February 15, 2011.</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420" w:type="dxa"/>
            <w:vAlign w:val="bottom"/>
          </w:tcPr>
          <w:p>
            <w:pPr>
              <w:spacing w:after="0"/>
              <w:rPr>
                <w:sz w:val="24"/>
                <w:szCs w:val="24"/>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w w:val="90"/>
              </w:rPr>
              <w:t>Amended and Restated Bylaws of Fluidigm Corporation effective as of February 9,</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2011.</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20" w:type="dxa"/>
            <w:vAlign w:val="bottom"/>
          </w:tcPr>
          <w:p>
            <w:pPr>
              <w:spacing w:after="0"/>
              <w:rPr>
                <w:sz w:val="24"/>
                <w:szCs w:val="24"/>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Specimen Common Stock Certificate of Fluidigm Corporation.</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20" w:type="dxa"/>
            <w:vAlign w:val="bottom"/>
          </w:tcPr>
          <w:p>
            <w:pPr>
              <w:spacing w:after="0"/>
              <w:rPr>
                <w:sz w:val="24"/>
                <w:szCs w:val="24"/>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420" w:type="dxa"/>
            <w:vAlign w:val="bottom"/>
          </w:tcPr>
          <w:p>
            <w:pPr>
              <w:spacing w:after="0"/>
              <w:rPr>
                <w:sz w:val="24"/>
                <w:szCs w:val="24"/>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420" w:type="dxa"/>
            <w:vAlign w:val="bottom"/>
          </w:tcPr>
          <w:p>
            <w:pPr>
              <w:spacing w:after="0"/>
              <w:rPr>
                <w:sz w:val="24"/>
                <w:szCs w:val="24"/>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Reserved.</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420" w:type="dxa"/>
            <w:vAlign w:val="bottom"/>
          </w:tcPr>
          <w:p>
            <w:pPr>
              <w:spacing w:after="0"/>
              <w:rPr>
                <w:sz w:val="24"/>
                <w:szCs w:val="24"/>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w w:val="88"/>
              </w:rPr>
              <w:t>Ninth Amended and Restated Investor Rights Agreement between the registrant and</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certain holders of the registrant’s capital stock named therein, including</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amendments No. 1, No. 2 and No. 3.</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420" w:type="dxa"/>
            <w:vAlign w:val="bottom"/>
          </w:tcPr>
          <w:p>
            <w:pPr>
              <w:spacing w:after="0"/>
              <w:rPr>
                <w:sz w:val="24"/>
                <w:szCs w:val="24"/>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420" w:type="dxa"/>
            <w:vAlign w:val="bottom"/>
          </w:tcPr>
          <w:p>
            <w:pPr>
              <w:spacing w:after="0"/>
              <w:rPr>
                <w:sz w:val="24"/>
                <w:szCs w:val="24"/>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Reserved.</w:t>
            </w: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420" w:type="dxa"/>
            <w:vAlign w:val="bottom"/>
          </w:tcPr>
          <w:p>
            <w:pPr>
              <w:spacing w:after="0"/>
              <w:rPr>
                <w:sz w:val="24"/>
                <w:szCs w:val="24"/>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w w:val="91"/>
              </w:rPr>
              <w:t>Business Financing Agreement between the registrant and Bridge Bank, National</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Association, dated as of December 16, 2010.</w:t>
            </w: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4.8A</w:t>
            </w: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w w:val="89"/>
              </w:rPr>
              <w:t>Business Financing Modification Agreement dated March 31, 2011, by and between</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Bridge Bank, National Association, and the registrant.</w:t>
            </w: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4.8B</w:t>
            </w: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w w:val="94"/>
              </w:rPr>
              <w:t>Business Financing Modification Agreement dated December 21, 2012, by and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between Bridge Bank, National Association and Fluidigm Corporation.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w w:val="94"/>
              </w:rPr>
              <w:t>Form of Indemnification Agreement between the registrant and its directors and</w:t>
            </w: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officers.</w:t>
            </w:r>
          </w:p>
        </w:tc>
      </w:tr>
      <w:tr>
        <w:trPr>
          <w:trHeight w:val="324"/>
        </w:trPr>
        <w:tc>
          <w:tcPr>
            <w:tcW w:w="500" w:type="dxa"/>
            <w:vAlign w:val="bottom"/>
          </w:tcPr>
          <w:p>
            <w:pPr>
              <w:jc w:val="center"/>
              <w:ind w:right="14"/>
              <w:spacing w:after="0"/>
              <w:rPr>
                <w:sz w:val="20"/>
                <w:szCs w:val="20"/>
                <w:color w:val="auto"/>
              </w:rPr>
            </w:pPr>
            <w:r>
              <w:rPr>
                <w:rFonts w:ascii="Arial" w:cs="Arial" w:eastAsia="Arial" w:hAnsi="Arial"/>
                <w:sz w:val="18"/>
                <w:szCs w:val="18"/>
                <w:color w:val="auto"/>
                <w:w w:val="88"/>
              </w:rPr>
              <w:t>10.2#</w:t>
            </w:r>
          </w:p>
        </w:tc>
        <w:tc>
          <w:tcPr>
            <w:tcW w:w="420" w:type="dxa"/>
            <w:vAlign w:val="bottom"/>
          </w:tcPr>
          <w:p>
            <w:pPr>
              <w:spacing w:after="0"/>
              <w:rPr>
                <w:sz w:val="24"/>
                <w:szCs w:val="24"/>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1999 Stock Option Plan of the registrant, as amended.</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10.2A#</w:t>
            </w: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Forms of agreements under the 1999 Stock Option Plan.</w:t>
            </w:r>
          </w:p>
        </w:tc>
      </w:tr>
      <w:tr>
        <w:trPr>
          <w:trHeight w:val="324"/>
        </w:trPr>
        <w:tc>
          <w:tcPr>
            <w:tcW w:w="500" w:type="dxa"/>
            <w:vAlign w:val="bottom"/>
          </w:tcPr>
          <w:p>
            <w:pPr>
              <w:jc w:val="center"/>
              <w:ind w:right="14"/>
              <w:spacing w:after="0"/>
              <w:rPr>
                <w:sz w:val="20"/>
                <w:szCs w:val="20"/>
                <w:color w:val="auto"/>
              </w:rPr>
            </w:pPr>
            <w:r>
              <w:rPr>
                <w:rFonts w:ascii="Arial" w:cs="Arial" w:eastAsia="Arial" w:hAnsi="Arial"/>
                <w:sz w:val="18"/>
                <w:szCs w:val="18"/>
                <w:color w:val="auto"/>
                <w:w w:val="88"/>
              </w:rPr>
              <w:t>10.3#</w:t>
            </w:r>
          </w:p>
        </w:tc>
        <w:tc>
          <w:tcPr>
            <w:tcW w:w="420" w:type="dxa"/>
            <w:vAlign w:val="bottom"/>
          </w:tcPr>
          <w:p>
            <w:pPr>
              <w:spacing w:after="0"/>
              <w:rPr>
                <w:sz w:val="24"/>
                <w:szCs w:val="24"/>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2009 Equity Incentive Plan of the registrant, as amended.</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10.3A#</w:t>
            </w: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Forms of agreements under the 2009 Equity Incentive Plan.</w:t>
            </w:r>
          </w:p>
        </w:tc>
      </w:tr>
      <w:tr>
        <w:trPr>
          <w:trHeight w:val="324"/>
        </w:trPr>
        <w:tc>
          <w:tcPr>
            <w:tcW w:w="500" w:type="dxa"/>
            <w:vAlign w:val="bottom"/>
          </w:tcPr>
          <w:p>
            <w:pPr>
              <w:jc w:val="center"/>
              <w:ind w:right="14"/>
              <w:spacing w:after="0"/>
              <w:rPr>
                <w:sz w:val="20"/>
                <w:szCs w:val="20"/>
                <w:color w:val="auto"/>
              </w:rPr>
            </w:pPr>
            <w:r>
              <w:rPr>
                <w:rFonts w:ascii="Arial" w:cs="Arial" w:eastAsia="Arial" w:hAnsi="Arial"/>
                <w:sz w:val="18"/>
                <w:szCs w:val="18"/>
                <w:color w:val="auto"/>
                <w:w w:val="88"/>
              </w:rPr>
              <w:t>10.4#</w:t>
            </w:r>
          </w:p>
        </w:tc>
        <w:tc>
          <w:tcPr>
            <w:tcW w:w="420" w:type="dxa"/>
            <w:vAlign w:val="bottom"/>
          </w:tcPr>
          <w:p>
            <w:pPr>
              <w:spacing w:after="0"/>
              <w:rPr>
                <w:sz w:val="24"/>
                <w:szCs w:val="24"/>
                <w:color w:val="auto"/>
              </w:rPr>
            </w:pP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2011 Equity Incentive Plan of the registrant.</w:t>
            </w: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10.4A#</w:t>
            </w:r>
          </w:p>
        </w:tc>
        <w:tc>
          <w:tcPr>
            <w:tcW w:w="6360" w:type="dxa"/>
            <w:vAlign w:val="bottom"/>
            <w:gridSpan w:val="2"/>
          </w:tcPr>
          <w:p>
            <w:pPr>
              <w:ind w:left="400"/>
              <w:spacing w:after="0"/>
              <w:rPr>
                <w:sz w:val="20"/>
                <w:szCs w:val="20"/>
                <w:color w:val="auto"/>
              </w:rPr>
            </w:pPr>
            <w:r>
              <w:rPr>
                <w:rFonts w:ascii="Arial" w:cs="Arial" w:eastAsia="Arial" w:hAnsi="Arial"/>
                <w:sz w:val="18"/>
                <w:szCs w:val="18"/>
                <w:color w:val="auto"/>
              </w:rPr>
              <w:t>Forms of agreements under the 2011 Equity Incentive Plan.</w:t>
            </w:r>
          </w:p>
        </w:tc>
      </w:tr>
      <w:tr>
        <w:trPr>
          <w:trHeight w:val="365"/>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60" w:type="dxa"/>
            <w:vAlign w:val="bottom"/>
            <w:gridSpan w:val="2"/>
          </w:tcPr>
          <w:p>
            <w:pPr>
              <w:ind w:left="466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Incorporated</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14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8"/>
              </w:rPr>
              <w:t>From Exhibit</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From Form</w:t>
            </w: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Number</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w w:val="95"/>
              </w:rPr>
              <w:t>Date Filed</w:t>
            </w:r>
          </w:p>
        </w:tc>
      </w:tr>
      <w:tr>
        <w:trPr>
          <w:trHeight w:val="216"/>
        </w:trPr>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03/28/11</w:t>
            </w:r>
          </w:p>
        </w:tc>
        <w:tc>
          <w:tcPr>
            <w:tcW w:w="20" w:type="dxa"/>
            <w:vAlign w:val="bottom"/>
          </w:tcPr>
          <w:p>
            <w:pPr>
              <w:spacing w:after="0"/>
              <w:rPr>
                <w:sz w:val="18"/>
                <w:szCs w:val="18"/>
                <w:color w:val="auto"/>
              </w:rPr>
            </w:pPr>
          </w:p>
        </w:tc>
      </w:tr>
      <w:tr>
        <w:trPr>
          <w:trHeight w:val="532"/>
        </w:trPr>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10-K</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03/28/11</w:t>
            </w:r>
          </w:p>
        </w:tc>
      </w:tr>
      <w:tr>
        <w:trPr>
          <w:trHeight w:val="540"/>
        </w:trPr>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S-1/A</w:t>
            </w: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02/07/11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0"/>
        <w:spacing w:after="0"/>
        <w:tabs>
          <w:tab w:leader="none" w:pos="1540" w:val="left"/>
          <w:tab w:leader="none" w:pos="250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12/03/10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80" w:type="dxa"/>
        <w:tblCellMar>
          <w:top w:w="0" w:type="dxa"/>
          <w:left w:w="0" w:type="dxa"/>
          <w:bottom w:w="0" w:type="dxa"/>
          <w:right w:w="0" w:type="dxa"/>
        </w:tblCellMar>
      </w:tblPr>
      <w:tr>
        <w:trPr>
          <w:trHeight w:val="222"/>
        </w:trPr>
        <w:tc>
          <w:tcPr>
            <w:tcW w:w="780" w:type="dxa"/>
            <w:vAlign w:val="bottom"/>
          </w:tcPr>
          <w:p>
            <w:pPr>
              <w:jc w:val="center"/>
              <w:ind w:right="272"/>
              <w:spacing w:after="0"/>
              <w:rPr>
                <w:sz w:val="20"/>
                <w:szCs w:val="20"/>
                <w:color w:val="auto"/>
              </w:rPr>
            </w:pPr>
            <w:r>
              <w:rPr>
                <w:rFonts w:ascii="Arial" w:cs="Arial" w:eastAsia="Arial" w:hAnsi="Arial"/>
                <w:sz w:val="18"/>
                <w:szCs w:val="18"/>
                <w:color w:val="auto"/>
                <w:w w:val="93"/>
              </w:rPr>
              <w:t>S-1/A</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4.8</w:t>
            </w:r>
          </w:p>
        </w:tc>
        <w:tc>
          <w:tcPr>
            <w:tcW w:w="1000" w:type="dxa"/>
            <w:vAlign w:val="bottom"/>
          </w:tcPr>
          <w:p>
            <w:pPr>
              <w:jc w:val="right"/>
              <w:spacing w:after="0"/>
              <w:rPr>
                <w:sz w:val="20"/>
                <w:szCs w:val="20"/>
                <w:color w:val="auto"/>
              </w:rPr>
            </w:pPr>
            <w:r>
              <w:rPr>
                <w:rFonts w:ascii="Arial" w:cs="Arial" w:eastAsia="Arial" w:hAnsi="Arial"/>
                <w:sz w:val="18"/>
                <w:szCs w:val="18"/>
                <w:color w:val="auto"/>
              </w:rPr>
              <w:t>01/28/11</w:t>
            </w:r>
          </w:p>
        </w:tc>
      </w:tr>
      <w:tr>
        <w:trPr>
          <w:trHeight w:val="540"/>
        </w:trPr>
        <w:tc>
          <w:tcPr>
            <w:tcW w:w="780" w:type="dxa"/>
            <w:vAlign w:val="bottom"/>
          </w:tcPr>
          <w:p>
            <w:pPr>
              <w:jc w:val="center"/>
              <w:ind w:right="292"/>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4.8A</w:t>
            </w:r>
          </w:p>
        </w:tc>
        <w:tc>
          <w:tcPr>
            <w:tcW w:w="1000" w:type="dxa"/>
            <w:vAlign w:val="bottom"/>
          </w:tcPr>
          <w:p>
            <w:pPr>
              <w:jc w:val="right"/>
              <w:spacing w:after="0"/>
              <w:rPr>
                <w:sz w:val="20"/>
                <w:szCs w:val="20"/>
                <w:color w:val="auto"/>
              </w:rPr>
            </w:pPr>
            <w:r>
              <w:rPr>
                <w:rFonts w:ascii="Arial" w:cs="Arial" w:eastAsia="Arial" w:hAnsi="Arial"/>
                <w:sz w:val="18"/>
                <w:szCs w:val="18"/>
                <w:color w:val="auto"/>
              </w:rPr>
              <w:t>04/04/11</w:t>
            </w:r>
          </w:p>
        </w:tc>
      </w:tr>
      <w:tr>
        <w:trPr>
          <w:trHeight w:val="540"/>
        </w:trPr>
        <w:tc>
          <w:tcPr>
            <w:tcW w:w="780" w:type="dxa"/>
            <w:vAlign w:val="bottom"/>
          </w:tcPr>
          <w:p>
            <w:pPr>
              <w:jc w:val="center"/>
              <w:ind w:right="292"/>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4.8AB</w:t>
            </w:r>
          </w:p>
        </w:tc>
        <w:tc>
          <w:tcPr>
            <w:tcW w:w="1000" w:type="dxa"/>
            <w:vAlign w:val="bottom"/>
          </w:tcPr>
          <w:p>
            <w:pPr>
              <w:jc w:val="right"/>
              <w:spacing w:after="0"/>
              <w:rPr>
                <w:sz w:val="20"/>
                <w:szCs w:val="20"/>
                <w:color w:val="auto"/>
              </w:rPr>
            </w:pPr>
            <w:r>
              <w:rPr>
                <w:rFonts w:ascii="Arial" w:cs="Arial" w:eastAsia="Arial" w:hAnsi="Arial"/>
                <w:sz w:val="18"/>
                <w:szCs w:val="18"/>
                <w:color w:val="auto"/>
              </w:rPr>
              <w:t>12/27/12</w:t>
            </w:r>
          </w:p>
        </w:tc>
      </w:tr>
      <w:tr>
        <w:trPr>
          <w:trHeight w:val="540"/>
        </w:trPr>
        <w:tc>
          <w:tcPr>
            <w:tcW w:w="780" w:type="dxa"/>
            <w:vAlign w:val="bottom"/>
          </w:tcPr>
          <w:p>
            <w:pPr>
              <w:jc w:val="center"/>
              <w:ind w:right="272"/>
              <w:spacing w:after="0"/>
              <w:rPr>
                <w:sz w:val="20"/>
                <w:szCs w:val="20"/>
                <w:color w:val="auto"/>
              </w:rPr>
            </w:pPr>
            <w:r>
              <w:rPr>
                <w:rFonts w:ascii="Arial" w:cs="Arial" w:eastAsia="Arial" w:hAnsi="Arial"/>
                <w:sz w:val="18"/>
                <w:szCs w:val="18"/>
                <w:color w:val="auto"/>
                <w:w w:val="93"/>
              </w:rPr>
              <w:t>S-1/A</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10.1</w:t>
            </w:r>
          </w:p>
        </w:tc>
        <w:tc>
          <w:tcPr>
            <w:tcW w:w="1000" w:type="dxa"/>
            <w:vAlign w:val="bottom"/>
          </w:tcPr>
          <w:p>
            <w:pPr>
              <w:jc w:val="right"/>
              <w:spacing w:after="0"/>
              <w:rPr>
                <w:sz w:val="20"/>
                <w:szCs w:val="20"/>
                <w:color w:val="auto"/>
              </w:rPr>
            </w:pPr>
            <w:r>
              <w:rPr>
                <w:rFonts w:ascii="Arial" w:cs="Arial" w:eastAsia="Arial" w:hAnsi="Arial"/>
                <w:sz w:val="18"/>
                <w:szCs w:val="18"/>
                <w:color w:val="auto"/>
              </w:rPr>
              <w:t>01/28/11</w:t>
            </w:r>
          </w:p>
        </w:tc>
      </w:tr>
      <w:tr>
        <w:trPr>
          <w:trHeight w:val="540"/>
        </w:trPr>
        <w:tc>
          <w:tcPr>
            <w:tcW w:w="780" w:type="dxa"/>
            <w:vAlign w:val="bottom"/>
          </w:tcPr>
          <w:p>
            <w:pPr>
              <w:jc w:val="center"/>
              <w:ind w:right="292"/>
              <w:spacing w:after="0"/>
              <w:rPr>
                <w:sz w:val="20"/>
                <w:szCs w:val="20"/>
                <w:color w:val="auto"/>
              </w:rPr>
            </w:pPr>
            <w:r>
              <w:rPr>
                <w:rFonts w:ascii="Arial" w:cs="Arial" w:eastAsia="Arial" w:hAnsi="Arial"/>
                <w:sz w:val="18"/>
                <w:szCs w:val="18"/>
                <w:color w:val="auto"/>
                <w:w w:val="85"/>
              </w:rPr>
              <w:t>S-1</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10.2</w:t>
            </w:r>
          </w:p>
        </w:tc>
        <w:tc>
          <w:tcPr>
            <w:tcW w:w="1000" w:type="dxa"/>
            <w:vAlign w:val="bottom"/>
          </w:tcPr>
          <w:p>
            <w:pPr>
              <w:jc w:val="right"/>
              <w:spacing w:after="0"/>
              <w:rPr>
                <w:sz w:val="20"/>
                <w:szCs w:val="20"/>
                <w:color w:val="auto"/>
              </w:rPr>
            </w:pPr>
            <w:r>
              <w:rPr>
                <w:rFonts w:ascii="Arial" w:cs="Arial" w:eastAsia="Arial" w:hAnsi="Arial"/>
                <w:sz w:val="18"/>
                <w:szCs w:val="18"/>
                <w:color w:val="auto"/>
              </w:rPr>
              <w:t>12/03/10</w:t>
            </w:r>
          </w:p>
        </w:tc>
      </w:tr>
      <w:tr>
        <w:trPr>
          <w:trHeight w:val="324"/>
        </w:trPr>
        <w:tc>
          <w:tcPr>
            <w:tcW w:w="780" w:type="dxa"/>
            <w:vAlign w:val="bottom"/>
          </w:tcPr>
          <w:p>
            <w:pPr>
              <w:jc w:val="center"/>
              <w:ind w:right="292"/>
              <w:spacing w:after="0"/>
              <w:rPr>
                <w:sz w:val="20"/>
                <w:szCs w:val="20"/>
                <w:color w:val="auto"/>
              </w:rPr>
            </w:pPr>
            <w:r>
              <w:rPr>
                <w:rFonts w:ascii="Arial" w:cs="Arial" w:eastAsia="Arial" w:hAnsi="Arial"/>
                <w:sz w:val="18"/>
                <w:szCs w:val="18"/>
                <w:color w:val="auto"/>
                <w:w w:val="85"/>
              </w:rPr>
              <w:t>S-1</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10.2A</w:t>
            </w:r>
          </w:p>
        </w:tc>
        <w:tc>
          <w:tcPr>
            <w:tcW w:w="1000" w:type="dxa"/>
            <w:vAlign w:val="bottom"/>
          </w:tcPr>
          <w:p>
            <w:pPr>
              <w:jc w:val="right"/>
              <w:spacing w:after="0"/>
              <w:rPr>
                <w:sz w:val="20"/>
                <w:szCs w:val="20"/>
                <w:color w:val="auto"/>
              </w:rPr>
            </w:pPr>
            <w:r>
              <w:rPr>
                <w:rFonts w:ascii="Arial" w:cs="Arial" w:eastAsia="Arial" w:hAnsi="Arial"/>
                <w:sz w:val="18"/>
                <w:szCs w:val="18"/>
                <w:color w:val="auto"/>
              </w:rPr>
              <w:t>12/03/10</w:t>
            </w:r>
          </w:p>
        </w:tc>
      </w:tr>
      <w:tr>
        <w:trPr>
          <w:trHeight w:val="324"/>
        </w:trPr>
        <w:tc>
          <w:tcPr>
            <w:tcW w:w="780" w:type="dxa"/>
            <w:vAlign w:val="bottom"/>
          </w:tcPr>
          <w:p>
            <w:pPr>
              <w:jc w:val="center"/>
              <w:ind w:right="292"/>
              <w:spacing w:after="0"/>
              <w:rPr>
                <w:sz w:val="20"/>
                <w:szCs w:val="20"/>
                <w:color w:val="auto"/>
              </w:rPr>
            </w:pPr>
            <w:r>
              <w:rPr>
                <w:rFonts w:ascii="Arial" w:cs="Arial" w:eastAsia="Arial" w:hAnsi="Arial"/>
                <w:sz w:val="18"/>
                <w:szCs w:val="18"/>
                <w:color w:val="auto"/>
                <w:w w:val="85"/>
              </w:rPr>
              <w:t>S-1</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10.3</w:t>
            </w:r>
          </w:p>
        </w:tc>
        <w:tc>
          <w:tcPr>
            <w:tcW w:w="1000" w:type="dxa"/>
            <w:vAlign w:val="bottom"/>
          </w:tcPr>
          <w:p>
            <w:pPr>
              <w:jc w:val="right"/>
              <w:spacing w:after="0"/>
              <w:rPr>
                <w:sz w:val="20"/>
                <w:szCs w:val="20"/>
                <w:color w:val="auto"/>
              </w:rPr>
            </w:pPr>
            <w:r>
              <w:rPr>
                <w:rFonts w:ascii="Arial" w:cs="Arial" w:eastAsia="Arial" w:hAnsi="Arial"/>
                <w:sz w:val="18"/>
                <w:szCs w:val="18"/>
                <w:color w:val="auto"/>
              </w:rPr>
              <w:t>12/03/10</w:t>
            </w:r>
          </w:p>
        </w:tc>
      </w:tr>
      <w:tr>
        <w:trPr>
          <w:trHeight w:val="324"/>
        </w:trPr>
        <w:tc>
          <w:tcPr>
            <w:tcW w:w="780" w:type="dxa"/>
            <w:vAlign w:val="bottom"/>
          </w:tcPr>
          <w:p>
            <w:pPr>
              <w:jc w:val="center"/>
              <w:ind w:right="292"/>
              <w:spacing w:after="0"/>
              <w:rPr>
                <w:sz w:val="20"/>
                <w:szCs w:val="20"/>
                <w:color w:val="auto"/>
              </w:rPr>
            </w:pPr>
            <w:r>
              <w:rPr>
                <w:rFonts w:ascii="Arial" w:cs="Arial" w:eastAsia="Arial" w:hAnsi="Arial"/>
                <w:sz w:val="18"/>
                <w:szCs w:val="18"/>
                <w:color w:val="auto"/>
                <w:w w:val="85"/>
              </w:rPr>
              <w:t>S-1</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10.3A</w:t>
            </w:r>
          </w:p>
        </w:tc>
        <w:tc>
          <w:tcPr>
            <w:tcW w:w="1000" w:type="dxa"/>
            <w:vAlign w:val="bottom"/>
          </w:tcPr>
          <w:p>
            <w:pPr>
              <w:jc w:val="right"/>
              <w:spacing w:after="0"/>
              <w:rPr>
                <w:sz w:val="20"/>
                <w:szCs w:val="20"/>
                <w:color w:val="auto"/>
              </w:rPr>
            </w:pPr>
            <w:r>
              <w:rPr>
                <w:rFonts w:ascii="Arial" w:cs="Arial" w:eastAsia="Arial" w:hAnsi="Arial"/>
                <w:sz w:val="18"/>
                <w:szCs w:val="18"/>
                <w:color w:val="auto"/>
              </w:rPr>
              <w:t>12/03/10</w:t>
            </w:r>
          </w:p>
        </w:tc>
      </w:tr>
      <w:tr>
        <w:trPr>
          <w:trHeight w:val="324"/>
        </w:trPr>
        <w:tc>
          <w:tcPr>
            <w:tcW w:w="780" w:type="dxa"/>
            <w:vAlign w:val="bottom"/>
          </w:tcPr>
          <w:p>
            <w:pPr>
              <w:jc w:val="center"/>
              <w:ind w:right="272"/>
              <w:spacing w:after="0"/>
              <w:rPr>
                <w:sz w:val="20"/>
                <w:szCs w:val="20"/>
                <w:color w:val="auto"/>
              </w:rPr>
            </w:pPr>
            <w:r>
              <w:rPr>
                <w:rFonts w:ascii="Arial" w:cs="Arial" w:eastAsia="Arial" w:hAnsi="Arial"/>
                <w:sz w:val="18"/>
                <w:szCs w:val="18"/>
                <w:color w:val="auto"/>
                <w:w w:val="93"/>
              </w:rPr>
              <w:t>S-1/A</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10.4</w:t>
            </w:r>
          </w:p>
        </w:tc>
        <w:tc>
          <w:tcPr>
            <w:tcW w:w="1000" w:type="dxa"/>
            <w:vAlign w:val="bottom"/>
          </w:tcPr>
          <w:p>
            <w:pPr>
              <w:jc w:val="right"/>
              <w:spacing w:after="0"/>
              <w:rPr>
                <w:sz w:val="20"/>
                <w:szCs w:val="20"/>
                <w:color w:val="auto"/>
              </w:rPr>
            </w:pPr>
            <w:r>
              <w:rPr>
                <w:rFonts w:ascii="Arial" w:cs="Arial" w:eastAsia="Arial" w:hAnsi="Arial"/>
                <w:sz w:val="18"/>
                <w:szCs w:val="18"/>
                <w:color w:val="auto"/>
              </w:rPr>
              <w:t>01/28/11</w:t>
            </w:r>
          </w:p>
        </w:tc>
      </w:tr>
      <w:tr>
        <w:trPr>
          <w:trHeight w:val="324"/>
        </w:trPr>
        <w:tc>
          <w:tcPr>
            <w:tcW w:w="780" w:type="dxa"/>
            <w:vAlign w:val="bottom"/>
          </w:tcPr>
          <w:p>
            <w:pPr>
              <w:jc w:val="center"/>
              <w:ind w:right="272"/>
              <w:spacing w:after="0"/>
              <w:rPr>
                <w:sz w:val="20"/>
                <w:szCs w:val="20"/>
                <w:color w:val="auto"/>
              </w:rPr>
            </w:pPr>
            <w:r>
              <w:rPr>
                <w:rFonts w:ascii="Arial" w:cs="Arial" w:eastAsia="Arial" w:hAnsi="Arial"/>
                <w:sz w:val="18"/>
                <w:szCs w:val="18"/>
                <w:color w:val="auto"/>
                <w:w w:val="93"/>
              </w:rPr>
              <w:t>S-1/A</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10.4A</w:t>
            </w:r>
          </w:p>
        </w:tc>
        <w:tc>
          <w:tcPr>
            <w:tcW w:w="1000" w:type="dxa"/>
            <w:vAlign w:val="bottom"/>
          </w:tcPr>
          <w:p>
            <w:pPr>
              <w:jc w:val="right"/>
              <w:spacing w:after="0"/>
              <w:rPr>
                <w:sz w:val="20"/>
                <w:szCs w:val="20"/>
                <w:color w:val="auto"/>
              </w:rPr>
            </w:pPr>
            <w:r>
              <w:rPr>
                <w:rFonts w:ascii="Arial" w:cs="Arial" w:eastAsia="Arial" w:hAnsi="Arial"/>
                <w:sz w:val="18"/>
                <w:szCs w:val="18"/>
                <w:color w:val="auto"/>
              </w:rPr>
              <w:t>01/28/11</w:t>
            </w:r>
          </w:p>
        </w:tc>
      </w:tr>
    </w:tbl>
    <w:p>
      <w:pPr>
        <w:sectPr>
          <w:pgSz w:w="11900" w:h="16838" w:orient="portrait"/>
          <w:cols w:equalWidth="0" w:num="2">
            <w:col w:w="7280" w:space="560"/>
            <w:col w:w="3140"/>
          </w:cols>
          <w:pgMar w:left="240" w:top="459" w:right="6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20" w:type="dxa"/>
            <w:vAlign w:val="bottom"/>
          </w:tcPr>
          <w:p>
            <w:pPr>
              <w:spacing w:after="0"/>
              <w:rPr>
                <w:sz w:val="14"/>
                <w:szCs w:val="14"/>
                <w:color w:val="auto"/>
              </w:rPr>
            </w:pPr>
          </w:p>
        </w:tc>
      </w:tr>
      <w:tr>
        <w:trPr>
          <w:trHeight w:val="18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820" w:type="dxa"/>
            <w:vAlign w:val="bottom"/>
          </w:tcPr>
          <w:p>
            <w:pPr>
              <w:ind w:left="25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10.5†</w:t>
            </w:r>
          </w:p>
        </w:tc>
        <w:tc>
          <w:tcPr>
            <w:tcW w:w="880" w:type="dxa"/>
            <w:vAlign w:val="bottom"/>
          </w:tcPr>
          <w:p>
            <w:pPr>
              <w:spacing w:after="0"/>
              <w:rPr>
                <w:sz w:val="16"/>
                <w:szCs w:val="16"/>
                <w:color w:val="auto"/>
              </w:rPr>
            </w:pPr>
          </w:p>
        </w:tc>
        <w:tc>
          <w:tcPr>
            <w:tcW w:w="5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Second Amended and Restated License Agreement by and between California</w:t>
            </w:r>
          </w:p>
        </w:tc>
      </w:tr>
      <w:tr>
        <w:trPr>
          <w:trHeight w:val="222"/>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Institute of Technology and the registrant effective as of May 1, 2004.</w:t>
            </w:r>
          </w:p>
        </w:tc>
      </w:tr>
      <w:tr>
        <w:trPr>
          <w:trHeight w:val="318"/>
        </w:trPr>
        <w:tc>
          <w:tcPr>
            <w:tcW w:w="1380" w:type="dxa"/>
            <w:vAlign w:val="bottom"/>
            <w:gridSpan w:val="2"/>
          </w:tcPr>
          <w:p>
            <w:pPr>
              <w:spacing w:after="0"/>
              <w:rPr>
                <w:sz w:val="20"/>
                <w:szCs w:val="20"/>
                <w:color w:val="auto"/>
              </w:rPr>
            </w:pPr>
            <w:r>
              <w:rPr>
                <w:rFonts w:ascii="Arial" w:cs="Arial" w:eastAsia="Arial" w:hAnsi="Arial"/>
                <w:sz w:val="18"/>
                <w:szCs w:val="18"/>
                <w:color w:val="auto"/>
              </w:rPr>
              <w:t>10.5A†</w:t>
            </w:r>
          </w:p>
        </w:tc>
        <w:tc>
          <w:tcPr>
            <w:tcW w:w="5820" w:type="dxa"/>
            <w:vAlign w:val="bottom"/>
          </w:tcPr>
          <w:p>
            <w:pPr>
              <w:spacing w:after="0"/>
              <w:rPr>
                <w:sz w:val="20"/>
                <w:szCs w:val="20"/>
                <w:color w:val="auto"/>
              </w:rPr>
            </w:pPr>
            <w:r>
              <w:rPr>
                <w:rFonts w:ascii="Arial" w:cs="Arial" w:eastAsia="Arial" w:hAnsi="Arial"/>
                <w:sz w:val="18"/>
                <w:szCs w:val="18"/>
                <w:color w:val="auto"/>
                <w:w w:val="98"/>
              </w:rPr>
              <w:t>First Addendum, effective as of March 29, 2007, to Second Amended and</w:t>
            </w:r>
          </w:p>
        </w:tc>
      </w:tr>
      <w:tr>
        <w:trPr>
          <w:trHeight w:val="216"/>
        </w:trPr>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1"/>
              </w:rPr>
              <w:t>Restated License Agreement by and between California Institute of Technology</w:t>
            </w:r>
          </w:p>
        </w:tc>
      </w:tr>
      <w:tr>
        <w:trPr>
          <w:trHeight w:val="222"/>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and the registrant effective as of May 1, 2004.</w:t>
            </w:r>
          </w:p>
        </w:tc>
      </w:tr>
      <w:tr>
        <w:trPr>
          <w:trHeight w:val="318"/>
        </w:trPr>
        <w:tc>
          <w:tcPr>
            <w:tcW w:w="1380" w:type="dxa"/>
            <w:vAlign w:val="bottom"/>
            <w:gridSpan w:val="2"/>
          </w:tcPr>
          <w:p>
            <w:pPr>
              <w:spacing w:after="0"/>
              <w:rPr>
                <w:sz w:val="20"/>
                <w:szCs w:val="20"/>
                <w:color w:val="auto"/>
              </w:rPr>
            </w:pPr>
            <w:r>
              <w:rPr>
                <w:rFonts w:ascii="Arial" w:cs="Arial" w:eastAsia="Arial" w:hAnsi="Arial"/>
                <w:sz w:val="18"/>
                <w:szCs w:val="18"/>
                <w:color w:val="auto"/>
              </w:rPr>
              <w:t>10.6†</w:t>
            </w:r>
          </w:p>
        </w:tc>
        <w:tc>
          <w:tcPr>
            <w:tcW w:w="5820" w:type="dxa"/>
            <w:vAlign w:val="bottom"/>
          </w:tcPr>
          <w:p>
            <w:pPr>
              <w:spacing w:after="0"/>
              <w:rPr>
                <w:sz w:val="20"/>
                <w:szCs w:val="20"/>
                <w:color w:val="auto"/>
              </w:rPr>
            </w:pPr>
            <w:r>
              <w:rPr>
                <w:rFonts w:ascii="Arial" w:cs="Arial" w:eastAsia="Arial" w:hAnsi="Arial"/>
                <w:sz w:val="18"/>
                <w:szCs w:val="18"/>
                <w:color w:val="auto"/>
                <w:w w:val="95"/>
              </w:rPr>
              <w:t>Co-Exclusive License Agreement between President and Fellows of Harvard</w:t>
            </w:r>
          </w:p>
        </w:tc>
      </w:tr>
      <w:tr>
        <w:trPr>
          <w:trHeight w:val="222"/>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College and the registrant effective as of October 15, 2000.</w:t>
            </w:r>
          </w:p>
        </w:tc>
      </w:tr>
      <w:tr>
        <w:trPr>
          <w:trHeight w:val="318"/>
        </w:trPr>
        <w:tc>
          <w:tcPr>
            <w:tcW w:w="1380" w:type="dxa"/>
            <w:vAlign w:val="bottom"/>
            <w:gridSpan w:val="2"/>
          </w:tcPr>
          <w:p>
            <w:pPr>
              <w:spacing w:after="0"/>
              <w:rPr>
                <w:sz w:val="20"/>
                <w:szCs w:val="20"/>
                <w:color w:val="auto"/>
              </w:rPr>
            </w:pPr>
            <w:r>
              <w:rPr>
                <w:rFonts w:ascii="Arial" w:cs="Arial" w:eastAsia="Arial" w:hAnsi="Arial"/>
                <w:sz w:val="18"/>
                <w:szCs w:val="18"/>
                <w:color w:val="auto"/>
              </w:rPr>
              <w:t>10.6A†</w:t>
            </w:r>
          </w:p>
        </w:tc>
        <w:tc>
          <w:tcPr>
            <w:tcW w:w="5820" w:type="dxa"/>
            <w:vAlign w:val="bottom"/>
          </w:tcPr>
          <w:p>
            <w:pPr>
              <w:spacing w:after="0"/>
              <w:rPr>
                <w:sz w:val="20"/>
                <w:szCs w:val="20"/>
                <w:color w:val="auto"/>
              </w:rPr>
            </w:pPr>
            <w:r>
              <w:rPr>
                <w:rFonts w:ascii="Arial" w:cs="Arial" w:eastAsia="Arial" w:hAnsi="Arial"/>
                <w:sz w:val="18"/>
                <w:szCs w:val="18"/>
                <w:color w:val="auto"/>
                <w:w w:val="94"/>
              </w:rPr>
              <w:t>First Amendment to Co-Exclusive License Agreement between President and</w:t>
            </w:r>
          </w:p>
        </w:tc>
      </w:tr>
      <w:tr>
        <w:trPr>
          <w:trHeight w:val="222"/>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2"/>
              </w:rPr>
              <w:t>Fellows of Harvard College and the registrant effective as of October 15, 2000.</w:t>
            </w:r>
          </w:p>
        </w:tc>
      </w:tr>
      <w:tr>
        <w:trPr>
          <w:trHeight w:val="318"/>
        </w:trPr>
        <w:tc>
          <w:tcPr>
            <w:tcW w:w="1380" w:type="dxa"/>
            <w:vAlign w:val="bottom"/>
            <w:gridSpan w:val="2"/>
          </w:tcPr>
          <w:p>
            <w:pPr>
              <w:spacing w:after="0"/>
              <w:rPr>
                <w:sz w:val="20"/>
                <w:szCs w:val="20"/>
                <w:color w:val="auto"/>
              </w:rPr>
            </w:pPr>
            <w:r>
              <w:rPr>
                <w:rFonts w:ascii="Arial" w:cs="Arial" w:eastAsia="Arial" w:hAnsi="Arial"/>
                <w:sz w:val="18"/>
                <w:szCs w:val="18"/>
                <w:color w:val="auto"/>
              </w:rPr>
              <w:t>10.7†</w:t>
            </w:r>
          </w:p>
        </w:tc>
        <w:tc>
          <w:tcPr>
            <w:tcW w:w="5820" w:type="dxa"/>
            <w:vAlign w:val="bottom"/>
          </w:tcPr>
          <w:p>
            <w:pPr>
              <w:spacing w:after="0"/>
              <w:rPr>
                <w:sz w:val="20"/>
                <w:szCs w:val="20"/>
                <w:color w:val="auto"/>
              </w:rPr>
            </w:pPr>
            <w:r>
              <w:rPr>
                <w:rFonts w:ascii="Arial" w:cs="Arial" w:eastAsia="Arial" w:hAnsi="Arial"/>
                <w:sz w:val="18"/>
                <w:szCs w:val="18"/>
                <w:color w:val="auto"/>
                <w:w w:val="95"/>
              </w:rPr>
              <w:t>Co-Exclusive License Agreement between President and Fellows of Harvard</w:t>
            </w:r>
          </w:p>
        </w:tc>
      </w:tr>
      <w:tr>
        <w:trPr>
          <w:trHeight w:val="222"/>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College and the registrant effective as of October 15, 2000.</w:t>
            </w:r>
          </w:p>
        </w:tc>
      </w:tr>
      <w:tr>
        <w:trPr>
          <w:trHeight w:val="318"/>
        </w:trPr>
        <w:tc>
          <w:tcPr>
            <w:tcW w:w="1380" w:type="dxa"/>
            <w:vAlign w:val="bottom"/>
            <w:gridSpan w:val="2"/>
          </w:tcPr>
          <w:p>
            <w:pPr>
              <w:spacing w:after="0"/>
              <w:rPr>
                <w:sz w:val="20"/>
                <w:szCs w:val="20"/>
                <w:color w:val="auto"/>
              </w:rPr>
            </w:pPr>
            <w:r>
              <w:rPr>
                <w:rFonts w:ascii="Arial" w:cs="Arial" w:eastAsia="Arial" w:hAnsi="Arial"/>
                <w:sz w:val="18"/>
                <w:szCs w:val="18"/>
                <w:color w:val="auto"/>
              </w:rPr>
              <w:t>10.8†</w:t>
            </w:r>
          </w:p>
        </w:tc>
        <w:tc>
          <w:tcPr>
            <w:tcW w:w="5820" w:type="dxa"/>
            <w:vAlign w:val="bottom"/>
          </w:tcPr>
          <w:p>
            <w:pPr>
              <w:spacing w:after="0"/>
              <w:rPr>
                <w:sz w:val="20"/>
                <w:szCs w:val="20"/>
                <w:color w:val="auto"/>
              </w:rPr>
            </w:pPr>
            <w:r>
              <w:rPr>
                <w:rFonts w:ascii="Arial" w:cs="Arial" w:eastAsia="Arial" w:hAnsi="Arial"/>
                <w:sz w:val="18"/>
                <w:szCs w:val="18"/>
                <w:color w:val="auto"/>
                <w:w w:val="95"/>
              </w:rPr>
              <w:t>Co-Exclusive License Agreement between President and Fellows of Harvard</w:t>
            </w:r>
          </w:p>
        </w:tc>
      </w:tr>
      <w:tr>
        <w:trPr>
          <w:trHeight w:val="222"/>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College and the registrant effective as of October 15, 2000.</w:t>
            </w:r>
          </w:p>
        </w:tc>
      </w:tr>
      <w:tr>
        <w:trPr>
          <w:trHeight w:val="318"/>
        </w:trPr>
        <w:tc>
          <w:tcPr>
            <w:tcW w:w="1380" w:type="dxa"/>
            <w:vAlign w:val="bottom"/>
            <w:gridSpan w:val="2"/>
          </w:tcPr>
          <w:p>
            <w:pPr>
              <w:spacing w:after="0"/>
              <w:rPr>
                <w:sz w:val="20"/>
                <w:szCs w:val="20"/>
                <w:color w:val="auto"/>
              </w:rPr>
            </w:pPr>
            <w:r>
              <w:rPr>
                <w:rFonts w:ascii="Arial" w:cs="Arial" w:eastAsia="Arial" w:hAnsi="Arial"/>
                <w:sz w:val="18"/>
                <w:szCs w:val="18"/>
                <w:color w:val="auto"/>
              </w:rPr>
              <w:t>10.9†</w:t>
            </w:r>
          </w:p>
        </w:tc>
        <w:tc>
          <w:tcPr>
            <w:tcW w:w="5820" w:type="dxa"/>
            <w:vAlign w:val="bottom"/>
          </w:tcPr>
          <w:p>
            <w:pPr>
              <w:spacing w:after="0"/>
              <w:rPr>
                <w:sz w:val="20"/>
                <w:szCs w:val="20"/>
                <w:color w:val="auto"/>
              </w:rPr>
            </w:pPr>
            <w:r>
              <w:rPr>
                <w:rFonts w:ascii="Arial" w:cs="Arial" w:eastAsia="Arial" w:hAnsi="Arial"/>
                <w:sz w:val="18"/>
                <w:szCs w:val="18"/>
                <w:color w:val="auto"/>
                <w:w w:val="94"/>
              </w:rPr>
              <w:t>Letter Agreement between President and Fellows of Harvard College and the</w:t>
            </w:r>
          </w:p>
        </w:tc>
      </w:tr>
      <w:tr>
        <w:trPr>
          <w:trHeight w:val="222"/>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registrant dated December 22, 2004.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8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8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Reserved.</w:t>
            </w:r>
          </w:p>
        </w:tc>
      </w:tr>
      <w:tr>
        <w:trPr>
          <w:trHeight w:val="318"/>
        </w:trPr>
        <w:tc>
          <w:tcPr>
            <w:tcW w:w="1380" w:type="dxa"/>
            <w:vAlign w:val="bottom"/>
            <w:gridSpan w:val="2"/>
          </w:tcPr>
          <w:p>
            <w:pPr>
              <w:spacing w:after="0"/>
              <w:rPr>
                <w:sz w:val="20"/>
                <w:szCs w:val="20"/>
                <w:color w:val="auto"/>
              </w:rPr>
            </w:pPr>
            <w:r>
              <w:rPr>
                <w:rFonts w:ascii="Arial" w:cs="Arial" w:eastAsia="Arial" w:hAnsi="Arial"/>
                <w:sz w:val="18"/>
                <w:szCs w:val="18"/>
                <w:color w:val="auto"/>
              </w:rPr>
              <w:t>10.12†</w:t>
            </w:r>
          </w:p>
        </w:tc>
        <w:tc>
          <w:tcPr>
            <w:tcW w:w="582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w:t>
            </w:r>
          </w:p>
        </w:tc>
      </w:tr>
      <w:tr>
        <w:trPr>
          <w:trHeight w:val="216"/>
        </w:trPr>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2"/>
              </w:rPr>
              <w:t>Under the Research Incentive Scheme for Companies (RISC) dated March 27,</w:t>
            </w:r>
          </w:p>
        </w:tc>
      </w:tr>
      <w:tr>
        <w:trPr>
          <w:trHeight w:val="216"/>
        </w:trPr>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3"/>
              </w:rPr>
              <w:t>2008 (originally dated October 7, 2005), by and between Singapore Economic</w:t>
            </w:r>
          </w:p>
        </w:tc>
      </w:tr>
      <w:tr>
        <w:trPr>
          <w:trHeight w:val="222"/>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Development Board and Fluidigm Singapore Pte. Ltd.</w:t>
            </w:r>
          </w:p>
        </w:tc>
      </w:tr>
      <w:tr>
        <w:trPr>
          <w:trHeight w:val="318"/>
        </w:trPr>
        <w:tc>
          <w:tcPr>
            <w:tcW w:w="1380" w:type="dxa"/>
            <w:vAlign w:val="bottom"/>
            <w:gridSpan w:val="2"/>
          </w:tcPr>
          <w:p>
            <w:pPr>
              <w:spacing w:after="0"/>
              <w:rPr>
                <w:sz w:val="20"/>
                <w:szCs w:val="20"/>
                <w:color w:val="auto"/>
              </w:rPr>
            </w:pPr>
            <w:r>
              <w:rPr>
                <w:rFonts w:ascii="Arial" w:cs="Arial" w:eastAsia="Arial" w:hAnsi="Arial"/>
                <w:sz w:val="18"/>
                <w:szCs w:val="18"/>
                <w:color w:val="auto"/>
              </w:rPr>
              <w:t>10.12A†</w:t>
            </w:r>
          </w:p>
        </w:tc>
        <w:tc>
          <w:tcPr>
            <w:tcW w:w="5820" w:type="dxa"/>
            <w:vAlign w:val="bottom"/>
          </w:tcPr>
          <w:p>
            <w:pPr>
              <w:spacing w:after="0"/>
              <w:rPr>
                <w:sz w:val="20"/>
                <w:szCs w:val="20"/>
                <w:color w:val="auto"/>
              </w:rPr>
            </w:pPr>
            <w:r>
              <w:rPr>
                <w:rFonts w:ascii="Arial" w:cs="Arial" w:eastAsia="Arial" w:hAnsi="Arial"/>
                <w:sz w:val="18"/>
                <w:szCs w:val="18"/>
                <w:color w:val="auto"/>
                <w:w w:val="89"/>
              </w:rPr>
              <w:t>Supplement, dated January 11, 2006, to Letter Agreement Relating to Application</w:t>
            </w:r>
          </w:p>
        </w:tc>
      </w:tr>
      <w:tr>
        <w:trPr>
          <w:trHeight w:val="216"/>
        </w:trPr>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88"/>
              </w:rPr>
              <w:t>for Incentives under the Research Incentive Scheme for Companies (RISC), dated</w:t>
            </w:r>
          </w:p>
        </w:tc>
      </w:tr>
      <w:tr>
        <w:trPr>
          <w:trHeight w:val="216"/>
        </w:trPr>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89"/>
              </w:rPr>
              <w:t>October 7, 2005 between Singapore Economic Development Board and Fluidigm</w:t>
            </w:r>
          </w:p>
        </w:tc>
      </w:tr>
      <w:tr>
        <w:trPr>
          <w:trHeight w:val="222"/>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Singapore Pte. Ltd.</w:t>
            </w:r>
          </w:p>
        </w:tc>
      </w:tr>
      <w:tr>
        <w:trPr>
          <w:trHeight w:val="318"/>
        </w:trPr>
        <w:tc>
          <w:tcPr>
            <w:tcW w:w="1380" w:type="dxa"/>
            <w:vAlign w:val="bottom"/>
            <w:gridSpan w:val="2"/>
          </w:tcPr>
          <w:p>
            <w:pPr>
              <w:spacing w:after="0"/>
              <w:rPr>
                <w:sz w:val="20"/>
                <w:szCs w:val="20"/>
                <w:color w:val="auto"/>
              </w:rPr>
            </w:pPr>
            <w:r>
              <w:rPr>
                <w:rFonts w:ascii="Arial" w:cs="Arial" w:eastAsia="Arial" w:hAnsi="Arial"/>
                <w:sz w:val="18"/>
                <w:szCs w:val="18"/>
                <w:color w:val="auto"/>
              </w:rPr>
              <w:t>10.13†</w:t>
            </w:r>
          </w:p>
        </w:tc>
        <w:tc>
          <w:tcPr>
            <w:tcW w:w="582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w:t>
            </w:r>
          </w:p>
        </w:tc>
      </w:tr>
      <w:tr>
        <w:trPr>
          <w:trHeight w:val="222"/>
        </w:trPr>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2"/>
              </w:rPr>
              <w:t>Under the Research Incentive Scheme for Companies (RISC) dated March 27,</w:t>
            </w:r>
          </w:p>
        </w:tc>
      </w:tr>
    </w:tbl>
    <w:p>
      <w:pPr>
        <w:ind w:left="1380" w:right="160"/>
        <w:spacing w:after="0" w:line="261" w:lineRule="auto"/>
        <w:rPr>
          <w:sz w:val="20"/>
          <w:szCs w:val="20"/>
          <w:color w:val="auto"/>
        </w:rPr>
      </w:pPr>
      <w:r>
        <w:rPr>
          <w:rFonts w:ascii="Arial" w:cs="Arial" w:eastAsia="Arial" w:hAnsi="Arial"/>
          <w:sz w:val="18"/>
          <w:szCs w:val="18"/>
          <w:color w:val="auto"/>
        </w:rPr>
        <w:t>2008 (originally dated February 12, 2007), by and between Singapore Economic Development Board and Fluidigm Singapore Pte. Ltd.</w:t>
      </w:r>
    </w:p>
    <w:p>
      <w:pPr>
        <w:spacing w:after="0" w:line="1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Incorporated</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6"/>
              </w:rPr>
              <w:t>Incorporated</w:t>
            </w: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From Form</w:t>
            </w: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Number</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Date Filed</w:t>
            </w:r>
          </w:p>
        </w:tc>
      </w:tr>
      <w:tr>
        <w:trPr>
          <w:trHeight w:val="216"/>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S-1</w:t>
            </w:r>
          </w:p>
        </w:tc>
        <w:tc>
          <w:tcPr>
            <w:tcW w:w="3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680" w:type="dxa"/>
            <w:vAlign w:val="bottom"/>
          </w:tcPr>
          <w:p>
            <w:pPr>
              <w:spacing w:after="0"/>
              <w:rPr>
                <w:sz w:val="18"/>
                <w:szCs w:val="18"/>
                <w:color w:val="auto"/>
              </w:rPr>
            </w:pP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5"/>
              </w:rPr>
              <w:t>12/03/10</w:t>
            </w:r>
          </w:p>
        </w:tc>
        <w:tc>
          <w:tcPr>
            <w:tcW w:w="20" w:type="dxa"/>
            <w:vAlign w:val="bottom"/>
          </w:tcPr>
          <w:p>
            <w:pPr>
              <w:spacing w:after="0"/>
              <w:rPr>
                <w:sz w:val="18"/>
                <w:szCs w:val="18"/>
                <w:color w:val="auto"/>
              </w:rPr>
            </w:pPr>
          </w:p>
        </w:tc>
      </w:tr>
      <w:tr>
        <w:trPr>
          <w:trHeight w:val="532"/>
        </w:trPr>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S-1</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10.5A</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88"/>
              </w:rPr>
              <w:t>12/03/10</w:t>
            </w:r>
          </w:p>
        </w:tc>
      </w:tr>
      <w:tr>
        <w:trPr>
          <w:trHeight w:val="756"/>
        </w:trPr>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S-1</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10.6</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88"/>
              </w:rPr>
              <w:t>12/03/10</w:t>
            </w:r>
          </w:p>
        </w:tc>
      </w:tr>
      <w:tr>
        <w:trPr>
          <w:trHeight w:val="540"/>
        </w:trPr>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S-1</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10.6A</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88"/>
              </w:rPr>
              <w:t>12/03/10</w:t>
            </w:r>
          </w:p>
        </w:tc>
      </w:tr>
      <w:tr>
        <w:trPr>
          <w:trHeight w:val="540"/>
        </w:trPr>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S-1</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10.7</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88"/>
              </w:rPr>
              <w:t>12/03/10</w:t>
            </w:r>
          </w:p>
        </w:tc>
      </w:tr>
      <w:tr>
        <w:trPr>
          <w:trHeight w:val="540"/>
        </w:trPr>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S-1</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10.8</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88"/>
              </w:rPr>
              <w:t>12/03/10</w:t>
            </w:r>
          </w:p>
        </w:tc>
      </w:tr>
      <w:tr>
        <w:trPr>
          <w:trHeight w:val="540"/>
        </w:trPr>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S-1</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10.9</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88"/>
              </w:rPr>
              <w:t>12/03/10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tabs>
          <w:tab w:leader="none" w:pos="1740" w:val="left"/>
          <w:tab w:leader="none" w:pos="60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12/03/10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tabs>
          <w:tab w:leader="none" w:pos="1860" w:val="left"/>
          <w:tab w:leader="none" w:pos="60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10.12A</w:t>
      </w:r>
      <w:r>
        <w:rPr>
          <w:sz w:val="20"/>
          <w:szCs w:val="20"/>
          <w:color w:val="auto"/>
        </w:rPr>
        <w:tab/>
      </w:r>
      <w:r>
        <w:rPr>
          <w:rFonts w:ascii="Arial" w:cs="Arial" w:eastAsia="Arial" w:hAnsi="Arial"/>
          <w:sz w:val="15"/>
          <w:szCs w:val="15"/>
          <w:color w:val="auto"/>
        </w:rPr>
        <w:t>12/03/10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tabs>
          <w:tab w:leader="none" w:pos="1740" w:val="left"/>
          <w:tab w:leader="none" w:pos="60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12/03/10</w:t>
      </w:r>
    </w:p>
    <w:p>
      <w:pPr>
        <w:sectPr>
          <w:pgSz w:w="11900" w:h="16838" w:orient="portrait"/>
          <w:cols w:equalWidth="0" w:num="2">
            <w:col w:w="7200" w:space="560"/>
            <w:col w:w="3220"/>
          </w:cols>
          <w:pgMar w:left="240" w:top="459" w:right="6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14"/>
                <w:szCs w:val="14"/>
                <w:color w:val="auto"/>
              </w:rPr>
            </w:pPr>
          </w:p>
        </w:tc>
        <w:tc>
          <w:tcPr>
            <w:tcW w:w="5240" w:type="dxa"/>
            <w:vAlign w:val="bottom"/>
          </w:tcPr>
          <w:p>
            <w:pPr>
              <w:spacing w:after="0"/>
              <w:rPr>
                <w:sz w:val="14"/>
                <w:szCs w:val="1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spacing w:after="0"/>
              <w:rPr>
                <w:sz w:val="15"/>
                <w:szCs w:val="15"/>
                <w:color w:val="auto"/>
              </w:rPr>
            </w:pPr>
          </w:p>
        </w:tc>
        <w:tc>
          <w:tcPr>
            <w:tcW w:w="52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87"/>
              </w:rPr>
              <w:t>10.14#</w:t>
            </w:r>
          </w:p>
        </w:tc>
        <w:tc>
          <w:tcPr>
            <w:tcW w:w="780" w:type="dxa"/>
            <w:vAlign w:val="bottom"/>
          </w:tcPr>
          <w:p>
            <w:pPr>
              <w:spacing w:after="0"/>
              <w:rPr>
                <w:sz w:val="16"/>
                <w:szCs w:val="16"/>
                <w:color w:val="auto"/>
              </w:rPr>
            </w:pPr>
          </w:p>
        </w:tc>
        <w:tc>
          <w:tcPr>
            <w:tcW w:w="5240" w:type="dxa"/>
            <w:vAlign w:val="bottom"/>
          </w:tcPr>
          <w:p>
            <w:pPr>
              <w:spacing w:after="0" w:line="195" w:lineRule="exact"/>
              <w:rPr>
                <w:sz w:val="20"/>
                <w:szCs w:val="20"/>
                <w:color w:val="auto"/>
              </w:rPr>
            </w:pPr>
            <w:r>
              <w:rPr>
                <w:rFonts w:ascii="Arial" w:cs="Arial" w:eastAsia="Arial" w:hAnsi="Arial"/>
                <w:sz w:val="18"/>
                <w:szCs w:val="18"/>
                <w:color w:val="auto"/>
                <w:w w:val="89"/>
              </w:rPr>
              <w:t>Form of Amended and Restated Employment and Severance Agreement</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between the registrant and each of its executive officers.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10.17#</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Offer Letter to Vikram Jog dated January 29,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10.18#</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0"/>
              </w:rPr>
              <w:t>Offer Letter dated May 3, 2010 to Fredric Walder and Addendum thereto</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dated November 8,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5"/>
              </w:rPr>
              <w:t>Lease Agreement between ARE - San Francisco No. 17 LLC and the</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registrant, dated September 14, 2010, as amended September 22,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8"/>
              </w:rPr>
              <w:t>Tenancy for Flatted Factory Space in Singapore between JTC Corporation</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and the registrant dated July 27, 2005, as amended August 12, 2008 and</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May 31,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10.25#</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Bonus Plan.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10.26†</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5"/>
              </w:rPr>
              <w:t>Acceptance Letter re Pioneer Incentive dated April 25, 2011 between</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Singapore Economic Development Board and the registrant.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Power of Attorney (contained in the signature page to this Form 10-K).</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Certification Pursuant to 18 U.S.C. Section 1350, as Adopted Pursuant to</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9"/>
              </w:rPr>
              <w:t>Section 302 of the Sarbanes-Oxley Act of 2002 of Chief Executive</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Certification Pursuant to 18 U.S.C. Section 1350, as Adopted Pursuant to</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Section 302 of the Sarbanes-Oxley Act of 2002 of Chief Financial Officer.</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Certification Pursuant to 18 U.S.C. Section 1350, as Adopted Pursuant to</w:t>
            </w: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9"/>
              </w:rPr>
              <w:t>Section 906 of the Sarbanes-Oxley Act of 2002 of Chief Executive</w:t>
            </w: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Officer.</w:t>
            </w:r>
          </w:p>
        </w:tc>
      </w:tr>
      <w:tr>
        <w:trPr>
          <w:trHeight w:val="365"/>
        </w:trPr>
        <w:tc>
          <w:tcPr>
            <w:tcW w:w="500" w:type="dxa"/>
            <w:vAlign w:val="bottom"/>
          </w:tcPr>
          <w:p>
            <w:pPr>
              <w:spacing w:after="0"/>
              <w:rPr>
                <w:sz w:val="24"/>
                <w:szCs w:val="24"/>
                <w:color w:val="auto"/>
              </w:rPr>
            </w:pPr>
          </w:p>
        </w:tc>
        <w:tc>
          <w:tcPr>
            <w:tcW w:w="6020" w:type="dxa"/>
            <w:vAlign w:val="bottom"/>
            <w:gridSpan w:val="2"/>
          </w:tcPr>
          <w:p>
            <w:pPr>
              <w:jc w:val="right"/>
              <w:ind w:right="593"/>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Incorporated</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4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14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From Form</w:t>
            </w: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Number</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Date Filed</w:t>
            </w:r>
          </w:p>
        </w:tc>
      </w:tr>
      <w:tr>
        <w:trPr>
          <w:trHeight w:val="216"/>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8-K</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5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12/11/12</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1080" w:type="dxa"/>
            <w:vAlign w:val="bottom"/>
          </w:tcPr>
          <w:p>
            <w:pPr>
              <w:jc w:val="center"/>
              <w:ind w:right="592"/>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10.17</w:t>
            </w:r>
          </w:p>
        </w:tc>
        <w:tc>
          <w:tcPr>
            <w:tcW w:w="1000" w:type="dxa"/>
            <w:vAlign w:val="bottom"/>
          </w:tcPr>
          <w:p>
            <w:pPr>
              <w:jc w:val="right"/>
              <w:spacing w:after="0"/>
              <w:rPr>
                <w:sz w:val="20"/>
                <w:szCs w:val="20"/>
                <w:color w:val="auto"/>
              </w:rPr>
            </w:pPr>
            <w:r>
              <w:rPr>
                <w:rFonts w:ascii="Arial" w:cs="Arial" w:eastAsia="Arial" w:hAnsi="Arial"/>
                <w:sz w:val="18"/>
                <w:szCs w:val="18"/>
                <w:color w:val="auto"/>
              </w:rPr>
              <w:t>12/03/10</w:t>
            </w:r>
          </w:p>
        </w:tc>
      </w:tr>
      <w:tr>
        <w:trPr>
          <w:trHeight w:val="324"/>
        </w:trPr>
        <w:tc>
          <w:tcPr>
            <w:tcW w:w="1080" w:type="dxa"/>
            <w:vAlign w:val="bottom"/>
          </w:tcPr>
          <w:p>
            <w:pPr>
              <w:jc w:val="center"/>
              <w:ind w:right="572"/>
              <w:spacing w:after="0"/>
              <w:rPr>
                <w:sz w:val="20"/>
                <w:szCs w:val="20"/>
                <w:color w:val="auto"/>
              </w:rPr>
            </w:pPr>
            <w:r>
              <w:rPr>
                <w:rFonts w:ascii="Arial" w:cs="Arial" w:eastAsia="Arial" w:hAnsi="Arial"/>
                <w:sz w:val="18"/>
                <w:szCs w:val="18"/>
                <w:color w:val="auto"/>
                <w:w w:val="92"/>
              </w:rPr>
              <w:t>8-K</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10.18</w:t>
            </w:r>
          </w:p>
        </w:tc>
        <w:tc>
          <w:tcPr>
            <w:tcW w:w="1000" w:type="dxa"/>
            <w:vAlign w:val="bottom"/>
          </w:tcPr>
          <w:p>
            <w:pPr>
              <w:jc w:val="right"/>
              <w:spacing w:after="0"/>
              <w:rPr>
                <w:sz w:val="20"/>
                <w:szCs w:val="20"/>
                <w:color w:val="auto"/>
              </w:rPr>
            </w:pPr>
            <w:r>
              <w:rPr>
                <w:rFonts w:ascii="Arial" w:cs="Arial" w:eastAsia="Arial" w:hAnsi="Arial"/>
                <w:sz w:val="18"/>
                <w:szCs w:val="18"/>
                <w:color w:val="auto"/>
              </w:rPr>
              <w:t>04/04/11</w:t>
            </w:r>
          </w:p>
        </w:tc>
      </w:tr>
      <w:tr>
        <w:trPr>
          <w:trHeight w:val="540"/>
        </w:trPr>
        <w:tc>
          <w:tcPr>
            <w:tcW w:w="1080" w:type="dxa"/>
            <w:vAlign w:val="bottom"/>
          </w:tcPr>
          <w:p>
            <w:pPr>
              <w:jc w:val="center"/>
              <w:ind w:right="572"/>
              <w:spacing w:after="0"/>
              <w:rPr>
                <w:sz w:val="20"/>
                <w:szCs w:val="20"/>
                <w:color w:val="auto"/>
              </w:rPr>
            </w:pPr>
            <w:r>
              <w:rPr>
                <w:rFonts w:ascii="Arial" w:cs="Arial" w:eastAsia="Arial" w:hAnsi="Arial"/>
                <w:sz w:val="18"/>
                <w:szCs w:val="18"/>
                <w:color w:val="auto"/>
                <w:w w:val="93"/>
              </w:rPr>
              <w:t>S-1/A</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10.19</w:t>
            </w:r>
          </w:p>
        </w:tc>
        <w:tc>
          <w:tcPr>
            <w:tcW w:w="1000" w:type="dxa"/>
            <w:vAlign w:val="bottom"/>
          </w:tcPr>
          <w:p>
            <w:pPr>
              <w:jc w:val="right"/>
              <w:spacing w:after="0"/>
              <w:rPr>
                <w:sz w:val="20"/>
                <w:szCs w:val="20"/>
                <w:color w:val="auto"/>
              </w:rPr>
            </w:pPr>
            <w:r>
              <w:rPr>
                <w:rFonts w:ascii="Arial" w:cs="Arial" w:eastAsia="Arial" w:hAnsi="Arial"/>
                <w:sz w:val="18"/>
                <w:szCs w:val="18"/>
                <w:color w:val="auto"/>
              </w:rPr>
              <w:t>01/07/11</w:t>
            </w:r>
          </w:p>
        </w:tc>
      </w:tr>
      <w:tr>
        <w:trPr>
          <w:trHeight w:val="540"/>
        </w:trPr>
        <w:tc>
          <w:tcPr>
            <w:tcW w:w="1080" w:type="dxa"/>
            <w:vAlign w:val="bottom"/>
          </w:tcPr>
          <w:p>
            <w:pPr>
              <w:jc w:val="center"/>
              <w:ind w:right="592"/>
              <w:spacing w:after="0"/>
              <w:rPr>
                <w:sz w:val="20"/>
                <w:szCs w:val="20"/>
                <w:color w:val="auto"/>
              </w:rPr>
            </w:pPr>
            <w:r>
              <w:rPr>
                <w:rFonts w:ascii="Arial" w:cs="Arial" w:eastAsia="Arial" w:hAnsi="Arial"/>
                <w:sz w:val="18"/>
                <w:szCs w:val="18"/>
                <w:color w:val="auto"/>
                <w:w w:val="85"/>
              </w:rPr>
              <w:t>S-1</w:t>
            </w:r>
          </w:p>
        </w:tc>
        <w:tc>
          <w:tcPr>
            <w:tcW w:w="1440" w:type="dxa"/>
            <w:vAlign w:val="bottom"/>
          </w:tcPr>
          <w:p>
            <w:pPr>
              <w:jc w:val="right"/>
              <w:ind w:right="292"/>
              <w:spacing w:after="0"/>
              <w:rPr>
                <w:sz w:val="20"/>
                <w:szCs w:val="20"/>
                <w:color w:val="auto"/>
              </w:rPr>
            </w:pPr>
            <w:r>
              <w:rPr>
                <w:rFonts w:ascii="Arial" w:cs="Arial" w:eastAsia="Arial" w:hAnsi="Arial"/>
                <w:sz w:val="18"/>
                <w:szCs w:val="18"/>
                <w:color w:val="auto"/>
              </w:rPr>
              <w:t>10.20</w:t>
            </w:r>
          </w:p>
        </w:tc>
        <w:tc>
          <w:tcPr>
            <w:tcW w:w="1000" w:type="dxa"/>
            <w:vAlign w:val="bottom"/>
          </w:tcPr>
          <w:p>
            <w:pPr>
              <w:jc w:val="right"/>
              <w:spacing w:after="0"/>
              <w:rPr>
                <w:sz w:val="20"/>
                <w:szCs w:val="20"/>
                <w:color w:val="auto"/>
              </w:rPr>
            </w:pPr>
            <w:r>
              <w:rPr>
                <w:rFonts w:ascii="Arial" w:cs="Arial" w:eastAsia="Arial" w:hAnsi="Arial"/>
                <w:sz w:val="18"/>
                <w:szCs w:val="18"/>
                <w:color w:val="auto"/>
              </w:rPr>
              <w:t>12/03/10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620" w:type="dxa"/>
        <w:tblCellMar>
          <w:top w:w="0" w:type="dxa"/>
          <w:left w:w="0" w:type="dxa"/>
          <w:bottom w:w="0" w:type="dxa"/>
          <w:right w:w="0" w:type="dxa"/>
        </w:tblCellMar>
      </w:tblPr>
      <w:tr>
        <w:trPr>
          <w:trHeight w:val="222"/>
        </w:trPr>
        <w:tc>
          <w:tcPr>
            <w:tcW w:w="1040" w:type="dxa"/>
            <w:vAlign w:val="bottom"/>
          </w:tcPr>
          <w:p>
            <w:pPr>
              <w:jc w:val="center"/>
              <w:ind w:right="592"/>
              <w:spacing w:after="0"/>
              <w:rPr>
                <w:sz w:val="20"/>
                <w:szCs w:val="20"/>
                <w:color w:val="auto"/>
              </w:rPr>
            </w:pPr>
            <w:r>
              <w:rPr>
                <w:rFonts w:ascii="Arial" w:cs="Arial" w:eastAsia="Arial" w:hAnsi="Arial"/>
                <w:sz w:val="18"/>
                <w:szCs w:val="18"/>
                <w:color w:val="auto"/>
                <w:w w:val="94"/>
              </w:rPr>
              <w:t>10-K</w:t>
            </w: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10.25</w:t>
            </w:r>
          </w:p>
        </w:tc>
        <w:tc>
          <w:tcPr>
            <w:tcW w:w="1000" w:type="dxa"/>
            <w:vAlign w:val="bottom"/>
          </w:tcPr>
          <w:p>
            <w:pPr>
              <w:jc w:val="right"/>
              <w:spacing w:after="0"/>
              <w:rPr>
                <w:sz w:val="20"/>
                <w:szCs w:val="20"/>
                <w:color w:val="auto"/>
              </w:rPr>
            </w:pPr>
            <w:r>
              <w:rPr>
                <w:rFonts w:ascii="Arial" w:cs="Arial" w:eastAsia="Arial" w:hAnsi="Arial"/>
                <w:sz w:val="18"/>
                <w:szCs w:val="18"/>
                <w:color w:val="auto"/>
              </w:rPr>
              <w:t>03/28/11</w:t>
            </w:r>
          </w:p>
        </w:tc>
      </w:tr>
      <w:tr>
        <w:trPr>
          <w:trHeight w:val="324"/>
        </w:trPr>
        <w:tc>
          <w:tcPr>
            <w:tcW w:w="1040" w:type="dxa"/>
            <w:vAlign w:val="bottom"/>
          </w:tcPr>
          <w:p>
            <w:pPr>
              <w:jc w:val="center"/>
              <w:ind w:right="572"/>
              <w:spacing w:after="0"/>
              <w:rPr>
                <w:sz w:val="20"/>
                <w:szCs w:val="20"/>
                <w:color w:val="auto"/>
              </w:rPr>
            </w:pPr>
            <w:r>
              <w:rPr>
                <w:rFonts w:ascii="Arial" w:cs="Arial" w:eastAsia="Arial" w:hAnsi="Arial"/>
                <w:sz w:val="18"/>
                <w:szCs w:val="18"/>
                <w:color w:val="auto"/>
                <w:w w:val="92"/>
              </w:rPr>
              <w:t>8-K</w:t>
            </w: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1000" w:type="dxa"/>
            <w:vAlign w:val="bottom"/>
          </w:tcPr>
          <w:p>
            <w:pPr>
              <w:jc w:val="right"/>
              <w:spacing w:after="0"/>
              <w:rPr>
                <w:sz w:val="20"/>
                <w:szCs w:val="20"/>
                <w:color w:val="auto"/>
              </w:rPr>
            </w:pPr>
            <w:r>
              <w:rPr>
                <w:rFonts w:ascii="Arial" w:cs="Arial" w:eastAsia="Arial" w:hAnsi="Arial"/>
                <w:sz w:val="18"/>
                <w:szCs w:val="18"/>
                <w:color w:val="auto"/>
              </w:rPr>
              <w:t>08/05/11</w:t>
            </w:r>
          </w:p>
        </w:tc>
      </w:tr>
    </w:tbl>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Furnished herewith</w:t>
      </w:r>
    </w:p>
    <w:p>
      <w:pPr>
        <w:sectPr>
          <w:pgSz w:w="11900" w:h="16838" w:orient="portrait"/>
          <w:cols w:equalWidth="0" w:num="2">
            <w:col w:w="6520" w:space="440"/>
            <w:col w:w="4120"/>
          </w:cols>
          <w:pgMar w:left="240" w:top="459" w:right="5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Incorporated</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Incorporated</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7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4"/>
              </w:rPr>
              <w:t>by Reference</w:t>
            </w:r>
          </w:p>
        </w:tc>
        <w:tc>
          <w:tcPr>
            <w:tcW w:w="12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1"/>
              </w:rPr>
              <w:t>From Exhibit</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5"/>
                <w:szCs w:val="15"/>
                <w:color w:val="auto"/>
              </w:rPr>
            </w:pPr>
          </w:p>
        </w:tc>
        <w:tc>
          <w:tcPr>
            <w:tcW w:w="6160" w:type="dxa"/>
            <w:vAlign w:val="bottom"/>
            <w:gridSpan w:val="2"/>
          </w:tcPr>
          <w:p>
            <w:pPr>
              <w:ind w:left="2340"/>
              <w:spacing w:after="0"/>
              <w:rPr>
                <w:sz w:val="20"/>
                <w:szCs w:val="20"/>
                <w:color w:val="auto"/>
              </w:rPr>
            </w:pPr>
            <w:r>
              <w:rPr>
                <w:rFonts w:ascii="Arial" w:cs="Arial" w:eastAsia="Arial" w:hAnsi="Arial"/>
                <w:sz w:val="14"/>
                <w:szCs w:val="14"/>
                <w:b w:val="1"/>
                <w:bCs w:val="1"/>
                <w:color w:val="auto"/>
              </w:rPr>
              <w:t>Description</w:t>
            </w: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From Form</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w w:val="89"/>
              </w:rPr>
              <w:t>Date Filed</w:t>
            </w:r>
          </w:p>
        </w:tc>
        <w:tc>
          <w:tcPr>
            <w:tcW w:w="0" w:type="dxa"/>
            <w:vAlign w:val="bottom"/>
          </w:tcPr>
          <w:p>
            <w:pPr>
              <w:spacing w:after="0"/>
              <w:rPr>
                <w:sz w:val="1"/>
                <w:szCs w:val="1"/>
                <w:color w:val="auto"/>
              </w:rPr>
            </w:pP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32.2~</w:t>
            </w: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Certification Pursuant to 18 U.S.C. Section 1350, as Adopted Pursuant to</w:t>
            </w:r>
          </w:p>
        </w:tc>
        <w:tc>
          <w:tcPr>
            <w:tcW w:w="80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Furnished herewith</w:t>
            </w:r>
          </w:p>
        </w:tc>
        <w:tc>
          <w:tcPr>
            <w:tcW w:w="3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Section 906 of the Sarbanes-Oxley Act of 2002 of Chief Financial Officer.</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XBRL Instance Document</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Furnished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Schema Document</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Furnished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Calculation Linkbase Document</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Furnished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Definition Linkbase Document</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Furnished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Label Document</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Furnished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Presentation Document</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Furnished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are eligible to participate.</w:t>
      </w:r>
    </w:p>
    <w:p>
      <w:pPr>
        <w:spacing w:after="0" w:line="15"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Portions of the exhibit have been omitted pursuant to an order granted by the Securities and Exchange Commission for confidential treatment.</w:t>
      </w:r>
    </w:p>
    <w:p>
      <w:pPr>
        <w:spacing w:after="0" w:line="32" w:lineRule="exact"/>
        <w:rPr>
          <w:sz w:val="20"/>
          <w:szCs w:val="20"/>
          <w:color w:val="auto"/>
        </w:rPr>
      </w:pPr>
    </w:p>
    <w:p>
      <w:pPr>
        <w:ind w:left="460" w:right="160" w:hanging="452"/>
        <w:spacing w:after="0" w:line="281"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specifically incorporates it by reference.</w:t>
      </w:r>
    </w:p>
    <w:p>
      <w:pPr>
        <w:spacing w:after="0" w:line="9" w:lineRule="exact"/>
        <w:rPr>
          <w:sz w:val="20"/>
          <w:szCs w:val="20"/>
          <w:color w:val="auto"/>
        </w:rPr>
      </w:pPr>
    </w:p>
    <w:p>
      <w:pPr>
        <w:jc w:val="both"/>
        <w:ind w:left="460" w:right="120" w:hanging="452"/>
        <w:spacing w:after="0" w:line="25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spacing w:after="0"/>
        <w:tabs>
          <w:tab w:leader="none" w:pos="6140" w:val="left"/>
          <w:tab w:leader="none" w:pos="8120" w:val="left"/>
        </w:tabs>
        <w:rPr>
          <w:sz w:val="20"/>
          <w:szCs w:val="20"/>
          <w:color w:val="auto"/>
        </w:rPr>
      </w:pPr>
      <w:r>
        <w:rPr>
          <w:rFonts w:ascii="Arial" w:cs="Arial" w:eastAsia="Arial" w:hAnsi="Arial"/>
          <w:sz w:val="18"/>
          <w:szCs w:val="18"/>
          <w:color w:val="auto"/>
        </w:rPr>
        <w:t>Dated: March 12,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10795</wp:posOffset>
            </wp:positionV>
            <wp:extent cx="31299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jc w:val="center"/>
        <w:ind w:left="6600"/>
        <w:spacing w:after="0"/>
        <w:rPr>
          <w:sz w:val="20"/>
          <w:szCs w:val="20"/>
          <w:color w:val="auto"/>
        </w:rPr>
      </w:pPr>
      <w:r>
        <w:rPr>
          <w:rFonts w:ascii="Arial" w:cs="Arial" w:eastAsia="Arial" w:hAnsi="Arial"/>
          <w:sz w:val="14"/>
          <w:szCs w:val="14"/>
          <w:b w:val="1"/>
          <w:bCs w:val="1"/>
          <w:color w:val="auto"/>
        </w:rPr>
        <w:t>Gajus V. Worthington</w:t>
      </w:r>
    </w:p>
    <w:p>
      <w:pPr>
        <w:spacing w:after="0" w:line="1"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Gajus V. Worthington and Vikram Jog, jointly and severally, as his or her true and lawful attorneys-in-fact and agents, with full power of substitution and resubstitution, for him or her and in his or her name, place and stead, in any and all capacities, to sign this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spacing w:after="0"/>
              <w:rPr>
                <w:sz w:val="14"/>
                <w:szCs w:val="14"/>
                <w:color w:val="auto"/>
              </w:rPr>
            </w:pPr>
          </w:p>
        </w:tc>
        <w:tc>
          <w:tcPr>
            <w:tcW w:w="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4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Gajus V. Worthington</w:t>
            </w:r>
          </w:p>
        </w:tc>
        <w:tc>
          <w:tcPr>
            <w:tcW w:w="426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 (Principal</w:t>
            </w:r>
          </w:p>
        </w:tc>
        <w:tc>
          <w:tcPr>
            <w:tcW w:w="1840" w:type="dxa"/>
            <w:vAlign w:val="bottom"/>
            <w:gridSpan w:val="3"/>
          </w:tcPr>
          <w:p>
            <w:pPr>
              <w:jc w:val="center"/>
              <w:ind w:left="632"/>
              <w:spacing w:after="0"/>
              <w:rPr>
                <w:sz w:val="20"/>
                <w:szCs w:val="20"/>
                <w:color w:val="auto"/>
              </w:rPr>
            </w:pPr>
            <w:r>
              <w:rPr>
                <w:rFonts w:ascii="Arial" w:cs="Arial" w:eastAsia="Arial" w:hAnsi="Arial"/>
                <w:sz w:val="18"/>
                <w:szCs w:val="18"/>
                <w:color w:val="auto"/>
                <w:w w:val="89"/>
              </w:rPr>
              <w:t>March 12, 2013</w:t>
            </w:r>
          </w:p>
        </w:tc>
      </w:tr>
      <w:tr>
        <w:trPr>
          <w:trHeight w:val="202"/>
        </w:trPr>
        <w:tc>
          <w:tcPr>
            <w:tcW w:w="4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Gajus V. Worthington</w:t>
            </w:r>
          </w:p>
        </w:tc>
        <w:tc>
          <w:tcPr>
            <w:tcW w:w="42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Executive Officer); Director</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4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Vikram Jog</w:t>
            </w:r>
          </w:p>
        </w:tc>
        <w:tc>
          <w:tcPr>
            <w:tcW w:w="42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(Principal Financial and</w:t>
            </w:r>
          </w:p>
        </w:tc>
        <w:tc>
          <w:tcPr>
            <w:tcW w:w="1840" w:type="dxa"/>
            <w:vAlign w:val="bottom"/>
            <w:gridSpan w:val="3"/>
          </w:tcPr>
          <w:p>
            <w:pPr>
              <w:jc w:val="center"/>
              <w:ind w:left="632"/>
              <w:spacing w:after="0"/>
              <w:rPr>
                <w:sz w:val="20"/>
                <w:szCs w:val="20"/>
                <w:color w:val="auto"/>
              </w:rPr>
            </w:pPr>
            <w:r>
              <w:rPr>
                <w:rFonts w:ascii="Arial" w:cs="Arial" w:eastAsia="Arial" w:hAnsi="Arial"/>
                <w:sz w:val="18"/>
                <w:szCs w:val="18"/>
                <w:color w:val="auto"/>
                <w:w w:val="89"/>
              </w:rPr>
              <w:t>March 12, 2013</w:t>
            </w:r>
          </w:p>
        </w:tc>
      </w:tr>
      <w:tr>
        <w:trPr>
          <w:trHeight w:val="202"/>
        </w:trPr>
        <w:tc>
          <w:tcPr>
            <w:tcW w:w="4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Vikram Jog</w:t>
            </w:r>
          </w:p>
        </w:tc>
        <w:tc>
          <w:tcPr>
            <w:tcW w:w="426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Accounting Officer)</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7"/>
        </w:trPr>
        <w:tc>
          <w:tcPr>
            <w:tcW w:w="4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Samuel Colella</w:t>
            </w:r>
          </w:p>
        </w:tc>
        <w:tc>
          <w:tcPr>
            <w:tcW w:w="4260" w:type="dxa"/>
            <w:vAlign w:val="bottom"/>
            <w:gridSpan w:val="3"/>
          </w:tcPr>
          <w:p>
            <w:pPr>
              <w:ind w:left="120"/>
              <w:spacing w:after="0"/>
              <w:rPr>
                <w:sz w:val="20"/>
                <w:szCs w:val="20"/>
                <w:color w:val="auto"/>
              </w:rPr>
            </w:pPr>
            <w:r>
              <w:rPr>
                <w:rFonts w:ascii="Arial" w:cs="Arial" w:eastAsia="Arial" w:hAnsi="Arial"/>
                <w:sz w:val="18"/>
                <w:szCs w:val="18"/>
                <w:color w:val="auto"/>
              </w:rPr>
              <w:t>Chairman of the Board of Directors</w:t>
            </w:r>
          </w:p>
        </w:tc>
        <w:tc>
          <w:tcPr>
            <w:tcW w:w="1840" w:type="dxa"/>
            <w:vAlign w:val="bottom"/>
            <w:gridSpan w:val="3"/>
          </w:tcPr>
          <w:p>
            <w:pPr>
              <w:jc w:val="center"/>
              <w:ind w:left="632"/>
              <w:spacing w:after="0"/>
              <w:rPr>
                <w:sz w:val="20"/>
                <w:szCs w:val="20"/>
                <w:color w:val="auto"/>
              </w:rPr>
            </w:pPr>
            <w:r>
              <w:rPr>
                <w:rFonts w:ascii="Arial" w:cs="Arial" w:eastAsia="Arial" w:hAnsi="Arial"/>
                <w:sz w:val="18"/>
                <w:szCs w:val="18"/>
                <w:color w:val="auto"/>
                <w:w w:val="89"/>
              </w:rPr>
              <w:t>March 12, 2013</w:t>
            </w:r>
          </w:p>
        </w:tc>
      </w:tr>
      <w:tr>
        <w:trPr>
          <w:trHeight w:val="169"/>
        </w:trPr>
        <w:tc>
          <w:tcPr>
            <w:tcW w:w="4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Samuel Colella</w:t>
            </w:r>
          </w:p>
        </w:tc>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4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Gerhard F. Burbach</w:t>
            </w:r>
          </w:p>
        </w:tc>
        <w:tc>
          <w:tcPr>
            <w:tcW w:w="42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612"/>
              <w:spacing w:after="0"/>
              <w:rPr>
                <w:sz w:val="20"/>
                <w:szCs w:val="20"/>
                <w:color w:val="auto"/>
              </w:rPr>
            </w:pPr>
            <w:r>
              <w:rPr>
                <w:rFonts w:ascii="Arial" w:cs="Arial" w:eastAsia="Arial" w:hAnsi="Arial"/>
                <w:sz w:val="18"/>
                <w:szCs w:val="18"/>
                <w:color w:val="auto"/>
                <w:w w:val="88"/>
              </w:rPr>
              <w:t>March 8, 2013</w:t>
            </w:r>
          </w:p>
        </w:tc>
      </w:tr>
      <w:tr>
        <w:trPr>
          <w:trHeight w:val="169"/>
        </w:trPr>
        <w:tc>
          <w:tcPr>
            <w:tcW w:w="4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Gerhard F. Burbach</w:t>
            </w:r>
          </w:p>
        </w:tc>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4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4"/>
              </w:rPr>
              <w:t>/s/ Evan Jones</w:t>
            </w:r>
          </w:p>
        </w:tc>
        <w:tc>
          <w:tcPr>
            <w:tcW w:w="42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632"/>
              <w:spacing w:after="0"/>
              <w:rPr>
                <w:sz w:val="20"/>
                <w:szCs w:val="20"/>
                <w:color w:val="auto"/>
              </w:rPr>
            </w:pPr>
            <w:r>
              <w:rPr>
                <w:rFonts w:ascii="Arial" w:cs="Arial" w:eastAsia="Arial" w:hAnsi="Arial"/>
                <w:sz w:val="18"/>
                <w:szCs w:val="18"/>
                <w:color w:val="auto"/>
                <w:w w:val="89"/>
              </w:rPr>
              <w:t>March 12, 2013</w:t>
            </w:r>
          </w:p>
        </w:tc>
      </w:tr>
      <w:tr>
        <w:trPr>
          <w:trHeight w:val="169"/>
        </w:trPr>
        <w:tc>
          <w:tcPr>
            <w:tcW w:w="4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Evan Jones</w:t>
            </w:r>
          </w:p>
        </w:tc>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4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5"/>
              </w:rPr>
              <w:t>/s/ Patrick S. Jones</w:t>
            </w:r>
          </w:p>
        </w:tc>
        <w:tc>
          <w:tcPr>
            <w:tcW w:w="42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612"/>
              <w:spacing w:after="0"/>
              <w:rPr>
                <w:sz w:val="20"/>
                <w:szCs w:val="20"/>
                <w:color w:val="auto"/>
              </w:rPr>
            </w:pPr>
            <w:r>
              <w:rPr>
                <w:rFonts w:ascii="Arial" w:cs="Arial" w:eastAsia="Arial" w:hAnsi="Arial"/>
                <w:sz w:val="18"/>
                <w:szCs w:val="18"/>
                <w:color w:val="auto"/>
                <w:w w:val="88"/>
              </w:rPr>
              <w:t>March 9, 2013</w:t>
            </w:r>
          </w:p>
        </w:tc>
      </w:tr>
      <w:tr>
        <w:trPr>
          <w:trHeight w:val="169"/>
        </w:trPr>
        <w:tc>
          <w:tcPr>
            <w:tcW w:w="4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Patrick S. Jones</w:t>
            </w:r>
          </w:p>
        </w:tc>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4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John A. Young</w:t>
            </w:r>
          </w:p>
        </w:tc>
        <w:tc>
          <w:tcPr>
            <w:tcW w:w="42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632"/>
              <w:spacing w:after="0"/>
              <w:rPr>
                <w:sz w:val="20"/>
                <w:szCs w:val="20"/>
                <w:color w:val="auto"/>
              </w:rPr>
            </w:pPr>
            <w:r>
              <w:rPr>
                <w:rFonts w:ascii="Arial" w:cs="Arial" w:eastAsia="Arial" w:hAnsi="Arial"/>
                <w:sz w:val="18"/>
                <w:szCs w:val="18"/>
                <w:color w:val="auto"/>
                <w:w w:val="89"/>
              </w:rPr>
              <w:t>March 12, 2013</w:t>
            </w:r>
          </w:p>
        </w:tc>
      </w:tr>
      <w:tr>
        <w:trPr>
          <w:trHeight w:val="169"/>
        </w:trPr>
        <w:tc>
          <w:tcPr>
            <w:tcW w:w="4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John A. Young</w:t>
            </w:r>
          </w:p>
        </w:tc>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50"/>
        </w:trPr>
        <w:tc>
          <w:tcPr>
            <w:tcW w:w="2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tcPr>
          <w:p>
            <w:pPr>
              <w:ind w:left="74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624"/>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3240" w:type="dxa"/>
            <w:vAlign w:val="bottom"/>
            <w:vMerge w:val="restart"/>
          </w:tcPr>
          <w:p>
            <w:pPr>
              <w:ind w:left="340"/>
              <w:spacing w:after="0"/>
              <w:rPr>
                <w:sz w:val="20"/>
                <w:szCs w:val="20"/>
                <w:color w:val="auto"/>
              </w:rPr>
            </w:pPr>
            <w:r>
              <w:rPr>
                <w:rFonts w:ascii="Arial" w:cs="Arial" w:eastAsia="Arial" w:hAnsi="Arial"/>
                <w:sz w:val="18"/>
                <w:szCs w:val="18"/>
                <w:color w:val="auto"/>
                <w:w w:val="86"/>
              </w:rPr>
              <w:t>Eighth Amended and Restated Certificate</w:t>
            </w:r>
          </w:p>
        </w:tc>
        <w:tc>
          <w:tcPr>
            <w:tcW w:w="3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40" w:type="dxa"/>
            <w:vAlign w:val="bottom"/>
            <w:vMerge w:val="continue"/>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 w:type="dxa"/>
            <w:vAlign w:val="bottom"/>
          </w:tcPr>
          <w:p>
            <w:pPr>
              <w:jc w:val="center"/>
              <w:ind w:right="12"/>
              <w:spacing w:after="0" w:line="201" w:lineRule="exact"/>
              <w:rPr>
                <w:sz w:val="20"/>
                <w:szCs w:val="20"/>
                <w:color w:val="auto"/>
              </w:rPr>
            </w:pPr>
            <w:r>
              <w:rPr>
                <w:rFonts w:ascii="Arial" w:cs="Arial" w:eastAsia="Arial" w:hAnsi="Arial"/>
                <w:sz w:val="18"/>
                <w:szCs w:val="18"/>
                <w:color w:val="auto"/>
                <w:w w:val="87"/>
              </w:rPr>
              <w:t>3.1</w:t>
            </w:r>
          </w:p>
        </w:tc>
        <w:tc>
          <w:tcPr>
            <w:tcW w:w="38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358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1"/>
              </w:rPr>
              <w:t>of Incorporation of Fluidigm Corporation filed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380" w:type="dxa"/>
            <w:vAlign w:val="bottom"/>
          </w:tcPr>
          <w:p>
            <w:pPr>
              <w:spacing w:after="0"/>
              <w:rPr>
                <w:sz w:val="24"/>
                <w:szCs w:val="24"/>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w w:val="91"/>
              </w:rPr>
              <w:t>Amended and Restated Bylaws of Fluidigm Corporation effective as of February 9, 2011.</w:t>
            </w: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380" w:type="dxa"/>
            <w:vAlign w:val="bottom"/>
          </w:tcPr>
          <w:p>
            <w:pPr>
              <w:spacing w:after="0"/>
              <w:rPr>
                <w:sz w:val="24"/>
                <w:szCs w:val="24"/>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Specimen Common Stock Certificate of Fluidigm Corporation.</w:t>
            </w: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380" w:type="dxa"/>
            <w:vAlign w:val="bottom"/>
          </w:tcPr>
          <w:p>
            <w:pPr>
              <w:spacing w:after="0"/>
              <w:rPr>
                <w:sz w:val="24"/>
                <w:szCs w:val="24"/>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380" w:type="dxa"/>
            <w:vAlign w:val="bottom"/>
          </w:tcPr>
          <w:p>
            <w:pPr>
              <w:spacing w:after="0"/>
              <w:rPr>
                <w:sz w:val="24"/>
                <w:szCs w:val="24"/>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380" w:type="dxa"/>
            <w:vAlign w:val="bottom"/>
          </w:tcPr>
          <w:p>
            <w:pPr>
              <w:spacing w:after="0"/>
              <w:rPr>
                <w:sz w:val="24"/>
                <w:szCs w:val="24"/>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4.5</w:t>
            </w:r>
          </w:p>
        </w:tc>
        <w:tc>
          <w:tcPr>
            <w:tcW w:w="380" w:type="dxa"/>
            <w:vAlign w:val="bottom"/>
          </w:tcPr>
          <w:p>
            <w:pPr>
              <w:spacing w:after="0"/>
              <w:rPr>
                <w:sz w:val="24"/>
                <w:szCs w:val="24"/>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w w:val="88"/>
              </w:rPr>
              <w:t>Ninth Amended and Restated Investor Rights Agreement between the registrant and certain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w w:val="90"/>
              </w:rPr>
              <w:t>holders of the registrant’s capital stock named therein, including amendments No. 1, No.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and No. 3.</w:t>
            </w: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4.6</w:t>
            </w:r>
          </w:p>
        </w:tc>
        <w:tc>
          <w:tcPr>
            <w:tcW w:w="380" w:type="dxa"/>
            <w:vAlign w:val="bottom"/>
          </w:tcPr>
          <w:p>
            <w:pPr>
              <w:spacing w:after="0"/>
              <w:rPr>
                <w:sz w:val="24"/>
                <w:szCs w:val="24"/>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4.7</w:t>
            </w:r>
          </w:p>
        </w:tc>
        <w:tc>
          <w:tcPr>
            <w:tcW w:w="380" w:type="dxa"/>
            <w:vAlign w:val="bottom"/>
          </w:tcPr>
          <w:p>
            <w:pPr>
              <w:spacing w:after="0"/>
              <w:rPr>
                <w:sz w:val="24"/>
                <w:szCs w:val="24"/>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4.8</w:t>
            </w:r>
          </w:p>
        </w:tc>
        <w:tc>
          <w:tcPr>
            <w:tcW w:w="380" w:type="dxa"/>
            <w:vAlign w:val="bottom"/>
          </w:tcPr>
          <w:p>
            <w:pPr>
              <w:spacing w:after="0"/>
              <w:rPr>
                <w:sz w:val="24"/>
                <w:szCs w:val="24"/>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w w:val="99"/>
              </w:rPr>
              <w:t>Business Financing Agreement between the registrant and Bridge Bank, National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Association, dated as of December 16, 2010.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4.8A</w:t>
            </w: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w w:val="89"/>
              </w:rPr>
              <w:t>Business Financing Modification Agreement dated March 31, 2011, by and between Bridge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Bank, National Association, and the registrant.</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4.8B</w:t>
            </w: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w w:val="92"/>
              </w:rPr>
              <w:t>Business Financing Modification Agreement dated December 21, 2012, by and between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Bridge Bank, National Association and Fluidigm Corporation.</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w w:val="92"/>
              </w:rPr>
              <w:t>Form of Indemnification Agreement between the registrant and its directors and officers.</w:t>
            </w: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ind w:right="12"/>
              <w:spacing w:after="0"/>
              <w:rPr>
                <w:sz w:val="20"/>
                <w:szCs w:val="20"/>
                <w:color w:val="auto"/>
              </w:rPr>
            </w:pPr>
            <w:r>
              <w:rPr>
                <w:rFonts w:ascii="Arial" w:cs="Arial" w:eastAsia="Arial" w:hAnsi="Arial"/>
                <w:sz w:val="18"/>
                <w:szCs w:val="18"/>
                <w:color w:val="auto"/>
                <w:w w:val="88"/>
              </w:rPr>
              <w:t>10.2#</w:t>
            </w:r>
          </w:p>
        </w:tc>
        <w:tc>
          <w:tcPr>
            <w:tcW w:w="380" w:type="dxa"/>
            <w:vAlign w:val="bottom"/>
          </w:tcPr>
          <w:p>
            <w:pPr>
              <w:spacing w:after="0"/>
              <w:rPr>
                <w:sz w:val="24"/>
                <w:szCs w:val="24"/>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1999 Stock Option Plan of the registrant, as amended.</w:t>
            </w:r>
          </w:p>
        </w:tc>
        <w:tc>
          <w:tcPr>
            <w:tcW w:w="0" w:type="dxa"/>
            <w:vAlign w:val="bottom"/>
          </w:tcPr>
          <w:p>
            <w:pPr>
              <w:spacing w:after="0"/>
              <w:rPr>
                <w:sz w:val="1"/>
                <w:szCs w:val="1"/>
                <w:color w:val="auto"/>
              </w:rPr>
            </w:pP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10.2A#</w:t>
            </w: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ind w:right="12"/>
              <w:spacing w:after="0"/>
              <w:rPr>
                <w:sz w:val="20"/>
                <w:szCs w:val="20"/>
                <w:color w:val="auto"/>
              </w:rPr>
            </w:pPr>
            <w:r>
              <w:rPr>
                <w:rFonts w:ascii="Arial" w:cs="Arial" w:eastAsia="Arial" w:hAnsi="Arial"/>
                <w:sz w:val="18"/>
                <w:szCs w:val="18"/>
                <w:color w:val="auto"/>
                <w:w w:val="88"/>
              </w:rPr>
              <w:t>10.3#</w:t>
            </w:r>
          </w:p>
        </w:tc>
        <w:tc>
          <w:tcPr>
            <w:tcW w:w="380" w:type="dxa"/>
            <w:vAlign w:val="bottom"/>
          </w:tcPr>
          <w:p>
            <w:pPr>
              <w:spacing w:after="0"/>
              <w:rPr>
                <w:sz w:val="24"/>
                <w:szCs w:val="24"/>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2009 Equity Incentive Plan of the registrant, as amended.</w:t>
            </w:r>
          </w:p>
        </w:tc>
        <w:tc>
          <w:tcPr>
            <w:tcW w:w="0" w:type="dxa"/>
            <w:vAlign w:val="bottom"/>
          </w:tcPr>
          <w:p>
            <w:pPr>
              <w:spacing w:after="0"/>
              <w:rPr>
                <w:sz w:val="1"/>
                <w:szCs w:val="1"/>
                <w:color w:val="auto"/>
              </w:rPr>
            </w:pP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10.3A#</w:t>
            </w: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ind w:right="12"/>
              <w:spacing w:after="0"/>
              <w:rPr>
                <w:sz w:val="20"/>
                <w:szCs w:val="20"/>
                <w:color w:val="auto"/>
              </w:rPr>
            </w:pPr>
            <w:r>
              <w:rPr>
                <w:rFonts w:ascii="Arial" w:cs="Arial" w:eastAsia="Arial" w:hAnsi="Arial"/>
                <w:sz w:val="18"/>
                <w:szCs w:val="18"/>
                <w:color w:val="auto"/>
                <w:w w:val="88"/>
              </w:rPr>
              <w:t>10.4#</w:t>
            </w:r>
          </w:p>
        </w:tc>
        <w:tc>
          <w:tcPr>
            <w:tcW w:w="380" w:type="dxa"/>
            <w:vAlign w:val="bottom"/>
          </w:tcPr>
          <w:p>
            <w:pPr>
              <w:spacing w:after="0"/>
              <w:rPr>
                <w:sz w:val="24"/>
                <w:szCs w:val="24"/>
                <w:color w:val="auto"/>
              </w:rPr>
            </w:pP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2011 Equity Incentive Plan of the registrant.</w:t>
            </w:r>
          </w:p>
        </w:tc>
        <w:tc>
          <w:tcPr>
            <w:tcW w:w="0" w:type="dxa"/>
            <w:vAlign w:val="bottom"/>
          </w:tcPr>
          <w:p>
            <w:pPr>
              <w:spacing w:after="0"/>
              <w:rPr>
                <w:sz w:val="1"/>
                <w:szCs w:val="1"/>
                <w:color w:val="auto"/>
              </w:rPr>
            </w:pP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10.4A#</w:t>
            </w:r>
          </w:p>
        </w:tc>
        <w:tc>
          <w:tcPr>
            <w:tcW w:w="6820" w:type="dxa"/>
            <w:vAlign w:val="bottom"/>
            <w:gridSpan w:val="3"/>
          </w:tcPr>
          <w:p>
            <w:pPr>
              <w:ind w:left="340"/>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20" w:type="dxa"/>
            <w:vAlign w:val="bottom"/>
            <w:gridSpan w:val="3"/>
          </w:tcPr>
          <w:p>
            <w:pPr>
              <w:ind w:left="47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Incorporated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Incorporated</w:t>
            </w: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by Reference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11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From Exhibit</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From Form</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Number</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Date Filed</w:t>
            </w:r>
          </w:p>
        </w:tc>
      </w:tr>
      <w:tr>
        <w:trPr>
          <w:trHeight w:val="216"/>
        </w:trPr>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03/28/11</w:t>
            </w:r>
          </w:p>
        </w:tc>
        <w:tc>
          <w:tcPr>
            <w:tcW w:w="20" w:type="dxa"/>
            <w:vAlign w:val="bottom"/>
          </w:tcPr>
          <w:p>
            <w:pPr>
              <w:spacing w:after="0"/>
              <w:rPr>
                <w:sz w:val="18"/>
                <w:szCs w:val="18"/>
                <w:color w:val="auto"/>
              </w:rPr>
            </w:pPr>
          </w:p>
        </w:tc>
      </w:tr>
      <w:tr>
        <w:trPr>
          <w:trHeight w:val="518"/>
        </w:trPr>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10-K</w:t>
            </w:r>
          </w:p>
        </w:tc>
        <w:tc>
          <w:tcPr>
            <w:tcW w:w="82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03/28/11</w:t>
            </w:r>
          </w:p>
        </w:tc>
      </w:tr>
      <w:tr>
        <w:trPr>
          <w:trHeight w:val="324"/>
        </w:trPr>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S-1/A</w:t>
            </w:r>
          </w:p>
        </w:tc>
        <w:tc>
          <w:tcPr>
            <w:tcW w:w="82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02/07/11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80"/>
        <w:spacing w:after="0"/>
        <w:tabs>
          <w:tab w:leader="none" w:pos="1020" w:val="left"/>
          <w:tab w:leader="none" w:pos="22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12/03/10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620" w:type="dxa"/>
            <w:vAlign w:val="bottom"/>
          </w:tcPr>
          <w:p>
            <w:pPr>
              <w:jc w:val="center"/>
              <w:ind w:right="112"/>
              <w:spacing w:after="0"/>
              <w:rPr>
                <w:sz w:val="20"/>
                <w:szCs w:val="20"/>
                <w:color w:val="auto"/>
              </w:rPr>
            </w:pPr>
            <w:r>
              <w:rPr>
                <w:rFonts w:ascii="Arial" w:cs="Arial" w:eastAsia="Arial" w:hAnsi="Arial"/>
                <w:sz w:val="18"/>
                <w:szCs w:val="18"/>
                <w:color w:val="auto"/>
                <w:w w:val="93"/>
              </w:rPr>
              <w:t>S-1/A</w:t>
            </w:r>
          </w:p>
        </w:tc>
        <w:tc>
          <w:tcPr>
            <w:tcW w:w="1080" w:type="dxa"/>
            <w:vAlign w:val="bottom"/>
          </w:tcPr>
          <w:p>
            <w:pPr>
              <w:ind w:left="220"/>
              <w:spacing w:after="0"/>
              <w:rPr>
                <w:sz w:val="20"/>
                <w:szCs w:val="20"/>
                <w:color w:val="auto"/>
              </w:rPr>
            </w:pPr>
            <w:r>
              <w:rPr>
                <w:rFonts w:ascii="Arial" w:cs="Arial" w:eastAsia="Arial" w:hAnsi="Arial"/>
                <w:sz w:val="18"/>
                <w:szCs w:val="18"/>
                <w:color w:val="auto"/>
              </w:rPr>
              <w:t>4.8</w:t>
            </w:r>
          </w:p>
        </w:tc>
        <w:tc>
          <w:tcPr>
            <w:tcW w:w="1020" w:type="dxa"/>
            <w:vAlign w:val="bottom"/>
          </w:tcPr>
          <w:p>
            <w:pPr>
              <w:jc w:val="right"/>
              <w:spacing w:after="0"/>
              <w:rPr>
                <w:sz w:val="20"/>
                <w:szCs w:val="20"/>
                <w:color w:val="auto"/>
              </w:rPr>
            </w:pPr>
            <w:r>
              <w:rPr>
                <w:rFonts w:ascii="Arial" w:cs="Arial" w:eastAsia="Arial" w:hAnsi="Arial"/>
                <w:sz w:val="18"/>
                <w:szCs w:val="18"/>
                <w:color w:val="auto"/>
              </w:rPr>
              <w:t>01/28/11</w:t>
            </w:r>
          </w:p>
        </w:tc>
      </w:tr>
      <w:tr>
        <w:trPr>
          <w:trHeight w:val="540"/>
        </w:trPr>
        <w:tc>
          <w:tcPr>
            <w:tcW w:w="620" w:type="dxa"/>
            <w:vAlign w:val="bottom"/>
          </w:tcPr>
          <w:p>
            <w:pPr>
              <w:jc w:val="center"/>
              <w:ind w:right="112"/>
              <w:spacing w:after="0"/>
              <w:rPr>
                <w:sz w:val="20"/>
                <w:szCs w:val="20"/>
                <w:color w:val="auto"/>
              </w:rPr>
            </w:pPr>
            <w:r>
              <w:rPr>
                <w:rFonts w:ascii="Arial" w:cs="Arial" w:eastAsia="Arial" w:hAnsi="Arial"/>
                <w:sz w:val="18"/>
                <w:szCs w:val="18"/>
                <w:color w:val="auto"/>
                <w:w w:val="92"/>
              </w:rPr>
              <w:t>8-K</w:t>
            </w:r>
          </w:p>
        </w:tc>
        <w:tc>
          <w:tcPr>
            <w:tcW w:w="1080" w:type="dxa"/>
            <w:vAlign w:val="bottom"/>
          </w:tcPr>
          <w:p>
            <w:pPr>
              <w:ind w:left="220"/>
              <w:spacing w:after="0"/>
              <w:rPr>
                <w:sz w:val="20"/>
                <w:szCs w:val="20"/>
                <w:color w:val="auto"/>
              </w:rPr>
            </w:pPr>
            <w:r>
              <w:rPr>
                <w:rFonts w:ascii="Arial" w:cs="Arial" w:eastAsia="Arial" w:hAnsi="Arial"/>
                <w:sz w:val="18"/>
                <w:szCs w:val="18"/>
                <w:color w:val="auto"/>
              </w:rPr>
              <w:t>4.8A</w:t>
            </w:r>
          </w:p>
        </w:tc>
        <w:tc>
          <w:tcPr>
            <w:tcW w:w="1020" w:type="dxa"/>
            <w:vAlign w:val="bottom"/>
          </w:tcPr>
          <w:p>
            <w:pPr>
              <w:jc w:val="right"/>
              <w:spacing w:after="0"/>
              <w:rPr>
                <w:sz w:val="20"/>
                <w:szCs w:val="20"/>
                <w:color w:val="auto"/>
              </w:rPr>
            </w:pPr>
            <w:r>
              <w:rPr>
                <w:rFonts w:ascii="Arial" w:cs="Arial" w:eastAsia="Arial" w:hAnsi="Arial"/>
                <w:sz w:val="18"/>
                <w:szCs w:val="18"/>
                <w:color w:val="auto"/>
              </w:rPr>
              <w:t>04/04/11</w:t>
            </w:r>
          </w:p>
        </w:tc>
      </w:tr>
      <w:tr>
        <w:trPr>
          <w:trHeight w:val="540"/>
        </w:trPr>
        <w:tc>
          <w:tcPr>
            <w:tcW w:w="620" w:type="dxa"/>
            <w:vAlign w:val="bottom"/>
          </w:tcPr>
          <w:p>
            <w:pPr>
              <w:jc w:val="center"/>
              <w:ind w:right="112"/>
              <w:spacing w:after="0"/>
              <w:rPr>
                <w:sz w:val="20"/>
                <w:szCs w:val="20"/>
                <w:color w:val="auto"/>
              </w:rPr>
            </w:pPr>
            <w:r>
              <w:rPr>
                <w:rFonts w:ascii="Arial" w:cs="Arial" w:eastAsia="Arial" w:hAnsi="Arial"/>
                <w:sz w:val="18"/>
                <w:szCs w:val="18"/>
                <w:color w:val="auto"/>
                <w:w w:val="92"/>
              </w:rPr>
              <w:t>8-K</w:t>
            </w:r>
          </w:p>
        </w:tc>
        <w:tc>
          <w:tcPr>
            <w:tcW w:w="1080" w:type="dxa"/>
            <w:vAlign w:val="bottom"/>
          </w:tcPr>
          <w:p>
            <w:pPr>
              <w:ind w:left="220"/>
              <w:spacing w:after="0"/>
              <w:rPr>
                <w:sz w:val="20"/>
                <w:szCs w:val="20"/>
                <w:color w:val="auto"/>
              </w:rPr>
            </w:pPr>
            <w:r>
              <w:rPr>
                <w:rFonts w:ascii="Arial" w:cs="Arial" w:eastAsia="Arial" w:hAnsi="Arial"/>
                <w:sz w:val="18"/>
                <w:szCs w:val="18"/>
                <w:color w:val="auto"/>
              </w:rPr>
              <w:t>4.8AB</w:t>
            </w:r>
          </w:p>
        </w:tc>
        <w:tc>
          <w:tcPr>
            <w:tcW w:w="1020" w:type="dxa"/>
            <w:vAlign w:val="bottom"/>
          </w:tcPr>
          <w:p>
            <w:pPr>
              <w:jc w:val="right"/>
              <w:spacing w:after="0"/>
              <w:rPr>
                <w:sz w:val="20"/>
                <w:szCs w:val="20"/>
                <w:color w:val="auto"/>
              </w:rPr>
            </w:pPr>
            <w:r>
              <w:rPr>
                <w:rFonts w:ascii="Arial" w:cs="Arial" w:eastAsia="Arial" w:hAnsi="Arial"/>
                <w:sz w:val="18"/>
                <w:szCs w:val="18"/>
                <w:color w:val="auto"/>
              </w:rPr>
              <w:t>12/27/12</w:t>
            </w:r>
          </w:p>
        </w:tc>
      </w:tr>
      <w:tr>
        <w:trPr>
          <w:trHeight w:val="540"/>
        </w:trPr>
        <w:tc>
          <w:tcPr>
            <w:tcW w:w="620" w:type="dxa"/>
            <w:vAlign w:val="bottom"/>
          </w:tcPr>
          <w:p>
            <w:pPr>
              <w:jc w:val="center"/>
              <w:ind w:right="112"/>
              <w:spacing w:after="0"/>
              <w:rPr>
                <w:sz w:val="20"/>
                <w:szCs w:val="20"/>
                <w:color w:val="auto"/>
              </w:rPr>
            </w:pPr>
            <w:r>
              <w:rPr>
                <w:rFonts w:ascii="Arial" w:cs="Arial" w:eastAsia="Arial" w:hAnsi="Arial"/>
                <w:sz w:val="18"/>
                <w:szCs w:val="18"/>
                <w:color w:val="auto"/>
                <w:w w:val="93"/>
              </w:rPr>
              <w:t>S-1/A</w:t>
            </w:r>
          </w:p>
        </w:tc>
        <w:tc>
          <w:tcPr>
            <w:tcW w:w="1080" w:type="dxa"/>
            <w:vAlign w:val="bottom"/>
          </w:tcPr>
          <w:p>
            <w:pPr>
              <w:ind w:left="220"/>
              <w:spacing w:after="0"/>
              <w:rPr>
                <w:sz w:val="20"/>
                <w:szCs w:val="20"/>
                <w:color w:val="auto"/>
              </w:rPr>
            </w:pPr>
            <w:r>
              <w:rPr>
                <w:rFonts w:ascii="Arial" w:cs="Arial" w:eastAsia="Arial" w:hAnsi="Arial"/>
                <w:sz w:val="18"/>
                <w:szCs w:val="18"/>
                <w:color w:val="auto"/>
              </w:rPr>
              <w:t>10.1</w:t>
            </w:r>
          </w:p>
        </w:tc>
        <w:tc>
          <w:tcPr>
            <w:tcW w:w="1020" w:type="dxa"/>
            <w:vAlign w:val="bottom"/>
          </w:tcPr>
          <w:p>
            <w:pPr>
              <w:jc w:val="right"/>
              <w:spacing w:after="0"/>
              <w:rPr>
                <w:sz w:val="20"/>
                <w:szCs w:val="20"/>
                <w:color w:val="auto"/>
              </w:rPr>
            </w:pPr>
            <w:r>
              <w:rPr>
                <w:rFonts w:ascii="Arial" w:cs="Arial" w:eastAsia="Arial" w:hAnsi="Arial"/>
                <w:sz w:val="18"/>
                <w:szCs w:val="18"/>
                <w:color w:val="auto"/>
              </w:rPr>
              <w:t>01/28/11</w:t>
            </w:r>
          </w:p>
        </w:tc>
      </w:tr>
      <w:tr>
        <w:trPr>
          <w:trHeight w:val="324"/>
        </w:trPr>
        <w:tc>
          <w:tcPr>
            <w:tcW w:w="620" w:type="dxa"/>
            <w:vAlign w:val="bottom"/>
          </w:tcPr>
          <w:p>
            <w:pPr>
              <w:jc w:val="center"/>
              <w:ind w:right="112"/>
              <w:spacing w:after="0"/>
              <w:rPr>
                <w:sz w:val="20"/>
                <w:szCs w:val="20"/>
                <w:color w:val="auto"/>
              </w:rPr>
            </w:pPr>
            <w:r>
              <w:rPr>
                <w:rFonts w:ascii="Arial" w:cs="Arial" w:eastAsia="Arial" w:hAnsi="Arial"/>
                <w:sz w:val="18"/>
                <w:szCs w:val="18"/>
                <w:color w:val="auto"/>
                <w:w w:val="92"/>
              </w:rPr>
              <w:t>S-1</w:t>
            </w:r>
          </w:p>
        </w:tc>
        <w:tc>
          <w:tcPr>
            <w:tcW w:w="1080" w:type="dxa"/>
            <w:vAlign w:val="bottom"/>
          </w:tcPr>
          <w:p>
            <w:pPr>
              <w:ind w:left="220"/>
              <w:spacing w:after="0"/>
              <w:rPr>
                <w:sz w:val="20"/>
                <w:szCs w:val="20"/>
                <w:color w:val="auto"/>
              </w:rPr>
            </w:pPr>
            <w:r>
              <w:rPr>
                <w:rFonts w:ascii="Arial" w:cs="Arial" w:eastAsia="Arial" w:hAnsi="Arial"/>
                <w:sz w:val="18"/>
                <w:szCs w:val="18"/>
                <w:color w:val="auto"/>
              </w:rPr>
              <w:t>10.2</w:t>
            </w:r>
          </w:p>
        </w:tc>
        <w:tc>
          <w:tcPr>
            <w:tcW w:w="1020" w:type="dxa"/>
            <w:vAlign w:val="bottom"/>
          </w:tcPr>
          <w:p>
            <w:pPr>
              <w:jc w:val="right"/>
              <w:spacing w:after="0"/>
              <w:rPr>
                <w:sz w:val="20"/>
                <w:szCs w:val="20"/>
                <w:color w:val="auto"/>
              </w:rPr>
            </w:pPr>
            <w:r>
              <w:rPr>
                <w:rFonts w:ascii="Arial" w:cs="Arial" w:eastAsia="Arial" w:hAnsi="Arial"/>
                <w:sz w:val="18"/>
                <w:szCs w:val="18"/>
                <w:color w:val="auto"/>
              </w:rPr>
              <w:t>12/03/10</w:t>
            </w:r>
          </w:p>
        </w:tc>
      </w:tr>
      <w:tr>
        <w:trPr>
          <w:trHeight w:val="324"/>
        </w:trPr>
        <w:tc>
          <w:tcPr>
            <w:tcW w:w="620" w:type="dxa"/>
            <w:vAlign w:val="bottom"/>
          </w:tcPr>
          <w:p>
            <w:pPr>
              <w:jc w:val="center"/>
              <w:ind w:right="112"/>
              <w:spacing w:after="0"/>
              <w:rPr>
                <w:sz w:val="20"/>
                <w:szCs w:val="20"/>
                <w:color w:val="auto"/>
              </w:rPr>
            </w:pPr>
            <w:r>
              <w:rPr>
                <w:rFonts w:ascii="Arial" w:cs="Arial" w:eastAsia="Arial" w:hAnsi="Arial"/>
                <w:sz w:val="18"/>
                <w:szCs w:val="18"/>
                <w:color w:val="auto"/>
                <w:w w:val="92"/>
              </w:rPr>
              <w:t>S-1</w:t>
            </w:r>
          </w:p>
        </w:tc>
        <w:tc>
          <w:tcPr>
            <w:tcW w:w="1080" w:type="dxa"/>
            <w:vAlign w:val="bottom"/>
          </w:tcPr>
          <w:p>
            <w:pPr>
              <w:ind w:left="220"/>
              <w:spacing w:after="0"/>
              <w:rPr>
                <w:sz w:val="20"/>
                <w:szCs w:val="20"/>
                <w:color w:val="auto"/>
              </w:rPr>
            </w:pPr>
            <w:r>
              <w:rPr>
                <w:rFonts w:ascii="Arial" w:cs="Arial" w:eastAsia="Arial" w:hAnsi="Arial"/>
                <w:sz w:val="18"/>
                <w:szCs w:val="18"/>
                <w:color w:val="auto"/>
              </w:rPr>
              <w:t>10.2A</w:t>
            </w:r>
          </w:p>
        </w:tc>
        <w:tc>
          <w:tcPr>
            <w:tcW w:w="1020" w:type="dxa"/>
            <w:vAlign w:val="bottom"/>
          </w:tcPr>
          <w:p>
            <w:pPr>
              <w:jc w:val="right"/>
              <w:spacing w:after="0"/>
              <w:rPr>
                <w:sz w:val="20"/>
                <w:szCs w:val="20"/>
                <w:color w:val="auto"/>
              </w:rPr>
            </w:pPr>
            <w:r>
              <w:rPr>
                <w:rFonts w:ascii="Arial" w:cs="Arial" w:eastAsia="Arial" w:hAnsi="Arial"/>
                <w:sz w:val="18"/>
                <w:szCs w:val="18"/>
                <w:color w:val="auto"/>
              </w:rPr>
              <w:t>12/03/10</w:t>
            </w:r>
          </w:p>
        </w:tc>
      </w:tr>
      <w:tr>
        <w:trPr>
          <w:trHeight w:val="324"/>
        </w:trPr>
        <w:tc>
          <w:tcPr>
            <w:tcW w:w="620" w:type="dxa"/>
            <w:vAlign w:val="bottom"/>
          </w:tcPr>
          <w:p>
            <w:pPr>
              <w:jc w:val="center"/>
              <w:ind w:right="112"/>
              <w:spacing w:after="0"/>
              <w:rPr>
                <w:sz w:val="20"/>
                <w:szCs w:val="20"/>
                <w:color w:val="auto"/>
              </w:rPr>
            </w:pPr>
            <w:r>
              <w:rPr>
                <w:rFonts w:ascii="Arial" w:cs="Arial" w:eastAsia="Arial" w:hAnsi="Arial"/>
                <w:sz w:val="18"/>
                <w:szCs w:val="18"/>
                <w:color w:val="auto"/>
                <w:w w:val="92"/>
              </w:rPr>
              <w:t>S-1</w:t>
            </w:r>
          </w:p>
        </w:tc>
        <w:tc>
          <w:tcPr>
            <w:tcW w:w="1080" w:type="dxa"/>
            <w:vAlign w:val="bottom"/>
          </w:tcPr>
          <w:p>
            <w:pPr>
              <w:ind w:left="220"/>
              <w:spacing w:after="0"/>
              <w:rPr>
                <w:sz w:val="20"/>
                <w:szCs w:val="20"/>
                <w:color w:val="auto"/>
              </w:rPr>
            </w:pPr>
            <w:r>
              <w:rPr>
                <w:rFonts w:ascii="Arial" w:cs="Arial" w:eastAsia="Arial" w:hAnsi="Arial"/>
                <w:sz w:val="18"/>
                <w:szCs w:val="18"/>
                <w:color w:val="auto"/>
              </w:rPr>
              <w:t>10.3</w:t>
            </w:r>
          </w:p>
        </w:tc>
        <w:tc>
          <w:tcPr>
            <w:tcW w:w="1020" w:type="dxa"/>
            <w:vAlign w:val="bottom"/>
          </w:tcPr>
          <w:p>
            <w:pPr>
              <w:jc w:val="right"/>
              <w:spacing w:after="0"/>
              <w:rPr>
                <w:sz w:val="20"/>
                <w:szCs w:val="20"/>
                <w:color w:val="auto"/>
              </w:rPr>
            </w:pPr>
            <w:r>
              <w:rPr>
                <w:rFonts w:ascii="Arial" w:cs="Arial" w:eastAsia="Arial" w:hAnsi="Arial"/>
                <w:sz w:val="18"/>
                <w:szCs w:val="18"/>
                <w:color w:val="auto"/>
              </w:rPr>
              <w:t>12/03/10</w:t>
            </w:r>
          </w:p>
        </w:tc>
      </w:tr>
      <w:tr>
        <w:trPr>
          <w:trHeight w:val="324"/>
        </w:trPr>
        <w:tc>
          <w:tcPr>
            <w:tcW w:w="620" w:type="dxa"/>
            <w:vAlign w:val="bottom"/>
          </w:tcPr>
          <w:p>
            <w:pPr>
              <w:jc w:val="center"/>
              <w:ind w:right="112"/>
              <w:spacing w:after="0"/>
              <w:rPr>
                <w:sz w:val="20"/>
                <w:szCs w:val="20"/>
                <w:color w:val="auto"/>
              </w:rPr>
            </w:pPr>
            <w:r>
              <w:rPr>
                <w:rFonts w:ascii="Arial" w:cs="Arial" w:eastAsia="Arial" w:hAnsi="Arial"/>
                <w:sz w:val="18"/>
                <w:szCs w:val="18"/>
                <w:color w:val="auto"/>
                <w:w w:val="92"/>
              </w:rPr>
              <w:t>S-1</w:t>
            </w:r>
          </w:p>
        </w:tc>
        <w:tc>
          <w:tcPr>
            <w:tcW w:w="1080" w:type="dxa"/>
            <w:vAlign w:val="bottom"/>
          </w:tcPr>
          <w:p>
            <w:pPr>
              <w:ind w:left="220"/>
              <w:spacing w:after="0"/>
              <w:rPr>
                <w:sz w:val="20"/>
                <w:szCs w:val="20"/>
                <w:color w:val="auto"/>
              </w:rPr>
            </w:pPr>
            <w:r>
              <w:rPr>
                <w:rFonts w:ascii="Arial" w:cs="Arial" w:eastAsia="Arial" w:hAnsi="Arial"/>
                <w:sz w:val="18"/>
                <w:szCs w:val="18"/>
                <w:color w:val="auto"/>
              </w:rPr>
              <w:t>10.3A</w:t>
            </w:r>
          </w:p>
        </w:tc>
        <w:tc>
          <w:tcPr>
            <w:tcW w:w="1020" w:type="dxa"/>
            <w:vAlign w:val="bottom"/>
          </w:tcPr>
          <w:p>
            <w:pPr>
              <w:jc w:val="right"/>
              <w:spacing w:after="0"/>
              <w:rPr>
                <w:sz w:val="20"/>
                <w:szCs w:val="20"/>
                <w:color w:val="auto"/>
              </w:rPr>
            </w:pPr>
            <w:r>
              <w:rPr>
                <w:rFonts w:ascii="Arial" w:cs="Arial" w:eastAsia="Arial" w:hAnsi="Arial"/>
                <w:sz w:val="18"/>
                <w:szCs w:val="18"/>
                <w:color w:val="auto"/>
              </w:rPr>
              <w:t>12/03/10</w:t>
            </w:r>
          </w:p>
        </w:tc>
      </w:tr>
      <w:tr>
        <w:trPr>
          <w:trHeight w:val="324"/>
        </w:trPr>
        <w:tc>
          <w:tcPr>
            <w:tcW w:w="620" w:type="dxa"/>
            <w:vAlign w:val="bottom"/>
          </w:tcPr>
          <w:p>
            <w:pPr>
              <w:jc w:val="center"/>
              <w:ind w:right="112"/>
              <w:spacing w:after="0"/>
              <w:rPr>
                <w:sz w:val="20"/>
                <w:szCs w:val="20"/>
                <w:color w:val="auto"/>
              </w:rPr>
            </w:pPr>
            <w:r>
              <w:rPr>
                <w:rFonts w:ascii="Arial" w:cs="Arial" w:eastAsia="Arial" w:hAnsi="Arial"/>
                <w:sz w:val="18"/>
                <w:szCs w:val="18"/>
                <w:color w:val="auto"/>
                <w:w w:val="93"/>
              </w:rPr>
              <w:t>S-1/A</w:t>
            </w:r>
          </w:p>
        </w:tc>
        <w:tc>
          <w:tcPr>
            <w:tcW w:w="1080" w:type="dxa"/>
            <w:vAlign w:val="bottom"/>
          </w:tcPr>
          <w:p>
            <w:pPr>
              <w:ind w:left="220"/>
              <w:spacing w:after="0"/>
              <w:rPr>
                <w:sz w:val="20"/>
                <w:szCs w:val="20"/>
                <w:color w:val="auto"/>
              </w:rPr>
            </w:pPr>
            <w:r>
              <w:rPr>
                <w:rFonts w:ascii="Arial" w:cs="Arial" w:eastAsia="Arial" w:hAnsi="Arial"/>
                <w:sz w:val="18"/>
                <w:szCs w:val="18"/>
                <w:color w:val="auto"/>
              </w:rPr>
              <w:t>10.4</w:t>
            </w:r>
          </w:p>
        </w:tc>
        <w:tc>
          <w:tcPr>
            <w:tcW w:w="1020" w:type="dxa"/>
            <w:vAlign w:val="bottom"/>
          </w:tcPr>
          <w:p>
            <w:pPr>
              <w:jc w:val="right"/>
              <w:spacing w:after="0"/>
              <w:rPr>
                <w:sz w:val="20"/>
                <w:szCs w:val="20"/>
                <w:color w:val="auto"/>
              </w:rPr>
            </w:pPr>
            <w:r>
              <w:rPr>
                <w:rFonts w:ascii="Arial" w:cs="Arial" w:eastAsia="Arial" w:hAnsi="Arial"/>
                <w:sz w:val="18"/>
                <w:szCs w:val="18"/>
                <w:color w:val="auto"/>
              </w:rPr>
              <w:t>01/28/11</w:t>
            </w:r>
          </w:p>
        </w:tc>
      </w:tr>
      <w:tr>
        <w:trPr>
          <w:trHeight w:val="324"/>
        </w:trPr>
        <w:tc>
          <w:tcPr>
            <w:tcW w:w="620" w:type="dxa"/>
            <w:vAlign w:val="bottom"/>
          </w:tcPr>
          <w:p>
            <w:pPr>
              <w:jc w:val="center"/>
              <w:ind w:right="112"/>
              <w:spacing w:after="0"/>
              <w:rPr>
                <w:sz w:val="20"/>
                <w:szCs w:val="20"/>
                <w:color w:val="auto"/>
              </w:rPr>
            </w:pPr>
            <w:r>
              <w:rPr>
                <w:rFonts w:ascii="Arial" w:cs="Arial" w:eastAsia="Arial" w:hAnsi="Arial"/>
                <w:sz w:val="18"/>
                <w:szCs w:val="18"/>
                <w:color w:val="auto"/>
                <w:w w:val="93"/>
              </w:rPr>
              <w:t>S-1/A</w:t>
            </w:r>
          </w:p>
        </w:tc>
        <w:tc>
          <w:tcPr>
            <w:tcW w:w="1080" w:type="dxa"/>
            <w:vAlign w:val="bottom"/>
          </w:tcPr>
          <w:p>
            <w:pPr>
              <w:ind w:left="220"/>
              <w:spacing w:after="0"/>
              <w:rPr>
                <w:sz w:val="20"/>
                <w:szCs w:val="20"/>
                <w:color w:val="auto"/>
              </w:rPr>
            </w:pPr>
            <w:r>
              <w:rPr>
                <w:rFonts w:ascii="Arial" w:cs="Arial" w:eastAsia="Arial" w:hAnsi="Arial"/>
                <w:sz w:val="18"/>
                <w:szCs w:val="18"/>
                <w:color w:val="auto"/>
              </w:rPr>
              <w:t>10.4A</w:t>
            </w:r>
          </w:p>
        </w:tc>
        <w:tc>
          <w:tcPr>
            <w:tcW w:w="1020" w:type="dxa"/>
            <w:vAlign w:val="bottom"/>
          </w:tcPr>
          <w:p>
            <w:pPr>
              <w:jc w:val="right"/>
              <w:spacing w:after="0"/>
              <w:rPr>
                <w:sz w:val="20"/>
                <w:szCs w:val="20"/>
                <w:color w:val="auto"/>
              </w:rPr>
            </w:pPr>
            <w:r>
              <w:rPr>
                <w:rFonts w:ascii="Arial" w:cs="Arial" w:eastAsia="Arial" w:hAnsi="Arial"/>
                <w:sz w:val="18"/>
                <w:szCs w:val="18"/>
                <w:color w:val="auto"/>
              </w:rPr>
              <w:t>01/28/11</w:t>
            </w:r>
          </w:p>
        </w:tc>
      </w:tr>
    </w:tbl>
    <w:p>
      <w:pPr>
        <w:sectPr>
          <w:pgSz w:w="11900" w:h="16838" w:orient="portrait"/>
          <w:cols w:equalWidth="0" w:num="2">
            <w:col w:w="7700" w:space="460"/>
            <w:col w:w="2920"/>
          </w:cols>
          <w:pgMar w:left="240" w:top="459" w:right="5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3080" w:type="dxa"/>
            <w:vAlign w:val="bottom"/>
            <w:vMerge w:val="restart"/>
          </w:tcPr>
          <w:p>
            <w:pPr>
              <w:ind w:left="420"/>
              <w:spacing w:after="0"/>
              <w:rPr>
                <w:sz w:val="20"/>
                <w:szCs w:val="20"/>
                <w:color w:val="auto"/>
              </w:rPr>
            </w:pPr>
            <w:r>
              <w:rPr>
                <w:rFonts w:ascii="Arial" w:cs="Arial" w:eastAsia="Arial" w:hAnsi="Arial"/>
                <w:sz w:val="18"/>
                <w:szCs w:val="18"/>
                <w:color w:val="auto"/>
                <w:w w:val="81"/>
              </w:rPr>
              <w:t>Second Amended and Restated License</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10.5†</w:t>
            </w:r>
          </w:p>
        </w:tc>
        <w:tc>
          <w:tcPr>
            <w:tcW w:w="540" w:type="dxa"/>
            <w:vAlign w:val="bottom"/>
          </w:tcPr>
          <w:p>
            <w:pPr>
              <w:spacing w:after="0"/>
              <w:rPr>
                <w:sz w:val="17"/>
                <w:szCs w:val="17"/>
                <w:color w:val="auto"/>
              </w:rPr>
            </w:pPr>
          </w:p>
        </w:tc>
        <w:tc>
          <w:tcPr>
            <w:tcW w:w="3080" w:type="dxa"/>
            <w:vAlign w:val="bottom"/>
            <w:vMerge w:val="continue"/>
          </w:tcPr>
          <w:p>
            <w:pPr>
              <w:spacing w:after="0"/>
              <w:rPr>
                <w:sz w:val="17"/>
                <w:szCs w:val="17"/>
                <w:color w:val="auto"/>
              </w:rPr>
            </w:pPr>
          </w:p>
        </w:tc>
        <w:tc>
          <w:tcPr>
            <w:tcW w:w="33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Agreement by and between California</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rPr>
              <w:t>Institute of Technology and the registrant effective as of May 1, 2004.</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10.5A†</w:t>
            </w: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90"/>
              </w:rPr>
              <w:t>First Addendum, effective as of March 29, 2007, to Second Amended and Restated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96"/>
              </w:rPr>
              <w:t>License Agreement by and between California Institute of Technology and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rPr>
              <w:t>registrant effective as of May 1, 2004.</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10.6†</w:t>
            </w: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88"/>
              </w:rPr>
              <w:t>Co-Exclusive License Agreement between President and Fellows of Harvard College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rPr>
              <w:t>and the registrant effective as of October 15, 2000.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10.6A†</w:t>
            </w: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97"/>
              </w:rPr>
              <w:t>First Amendment to Co-Exclusive License Agreement between President and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95"/>
              </w:rPr>
              <w:t>Fellows of Harvard College and the registrant effective as of October 15, 2000.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10.7†</w:t>
            </w: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88"/>
              </w:rPr>
              <w:t>Co-Exclusive License Agreement between President and Fellows of Harvard College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rPr>
              <w:t>and the registrant effective as of October 15, 2000.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10.8†</w:t>
            </w: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88"/>
              </w:rPr>
              <w:t>Co-Exclusive License Agreement between President and Fellows of Harvard College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rPr>
              <w:t>and the registrant effective as of October 15, 2000.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10.9†</w:t>
            </w: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97"/>
              </w:rPr>
              <w:t>Letter Agreement between President and Fellows of Harvard College and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rPr>
              <w:t>registrant dated December 22, 2004.</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10.10†</w:t>
            </w: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96"/>
              </w:rPr>
              <w:t>Patent License Agreement by and between Gyros AB and the registrant dated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rPr>
              <w:t>January 9, 2003.</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10.10A†</w:t>
            </w: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95"/>
              </w:rPr>
              <w:t>Amendment No. 1 dated January 9, 2005 to Patent License Agreement by and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rPr>
              <w:t>between Gyros AB and the registrant dated January 9, 2003.</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24"/>
                <w:szCs w:val="24"/>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10.12†</w:t>
            </w: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95"/>
              </w:rPr>
              <w:t>Amended and Restated Letter Agreement Regarding Application for Incentives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89"/>
              </w:rPr>
              <w:t>Under the Research Incentive Scheme for Companies (RISC) dated March 27, 2008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rPr>
              <w:t>(originally dated October 7, 2005), by and between Singapore Economic</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rPr>
              <w:t>Development Board and Fluidigm Singapore Pte. Ltd.</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10.12A†</w:t>
            </w: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88"/>
              </w:rPr>
              <w:t>Supplement, dated January 11, 2006, to Letter Agreement Relating to Application for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95"/>
              </w:rPr>
              <w:t>Incentives under the Research Incentive Scheme for Companies (RISC), dated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w w:val="92"/>
              </w:rPr>
              <w:t>October 7, 2005 between Singapore Economic Development Board and Fluidigm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20" w:type="dxa"/>
            <w:vAlign w:val="bottom"/>
            <w:gridSpan w:val="3"/>
          </w:tcPr>
          <w:p>
            <w:pPr>
              <w:ind w:left="420"/>
              <w:spacing w:after="0"/>
              <w:rPr>
                <w:sz w:val="20"/>
                <w:szCs w:val="20"/>
                <w:color w:val="auto"/>
              </w:rPr>
            </w:pPr>
            <w:r>
              <w:rPr>
                <w:rFonts w:ascii="Arial" w:cs="Arial" w:eastAsia="Arial" w:hAnsi="Arial"/>
                <w:sz w:val="18"/>
                <w:szCs w:val="18"/>
                <w:color w:val="auto"/>
              </w:rPr>
              <w:t>Singapore Pte. Ltd.</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20" w:type="dxa"/>
            <w:vAlign w:val="bottom"/>
            <w:gridSpan w:val="3"/>
          </w:tcPr>
          <w:p>
            <w:pPr>
              <w:ind w:left="45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Incorporated</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From Form</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Number</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Date Filed</w:t>
            </w:r>
          </w:p>
        </w:tc>
      </w:tr>
      <w:tr>
        <w:trPr>
          <w:trHeight w:val="216"/>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12/03/10</w:t>
            </w:r>
          </w:p>
        </w:tc>
        <w:tc>
          <w:tcPr>
            <w:tcW w:w="20" w:type="dxa"/>
            <w:vAlign w:val="bottom"/>
          </w:tcPr>
          <w:p>
            <w:pPr>
              <w:spacing w:after="0"/>
              <w:rPr>
                <w:sz w:val="18"/>
                <w:szCs w:val="18"/>
                <w:color w:val="auto"/>
              </w:rPr>
            </w:pPr>
          </w:p>
        </w:tc>
      </w:tr>
      <w:tr>
        <w:trPr>
          <w:trHeight w:val="518"/>
        </w:trPr>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1160" w:type="dxa"/>
            <w:vAlign w:val="bottom"/>
            <w:gridSpan w:val="2"/>
          </w:tcPr>
          <w:p>
            <w:pPr>
              <w:spacing w:after="0"/>
              <w:rPr>
                <w:sz w:val="20"/>
                <w:szCs w:val="20"/>
                <w:color w:val="auto"/>
              </w:rPr>
            </w:pPr>
            <w:r>
              <w:rPr>
                <w:rFonts w:ascii="Arial" w:cs="Arial" w:eastAsia="Arial" w:hAnsi="Arial"/>
                <w:sz w:val="18"/>
                <w:szCs w:val="18"/>
                <w:color w:val="auto"/>
              </w:rPr>
              <w:t>10.5A</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12/03/10</w:t>
            </w:r>
          </w:p>
        </w:tc>
      </w:tr>
      <w:tr>
        <w:trPr>
          <w:trHeight w:val="756"/>
        </w:trPr>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12/03/10</w:t>
            </w:r>
          </w:p>
        </w:tc>
      </w:tr>
      <w:tr>
        <w:trPr>
          <w:trHeight w:val="540"/>
        </w:trPr>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1160" w:type="dxa"/>
            <w:vAlign w:val="bottom"/>
            <w:gridSpan w:val="2"/>
          </w:tcPr>
          <w:p>
            <w:pPr>
              <w:spacing w:after="0"/>
              <w:rPr>
                <w:sz w:val="20"/>
                <w:szCs w:val="20"/>
                <w:color w:val="auto"/>
              </w:rPr>
            </w:pPr>
            <w:r>
              <w:rPr>
                <w:rFonts w:ascii="Arial" w:cs="Arial" w:eastAsia="Arial" w:hAnsi="Arial"/>
                <w:sz w:val="18"/>
                <w:szCs w:val="18"/>
                <w:color w:val="auto"/>
              </w:rPr>
              <w:t>10.6A</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12/03/10</w:t>
            </w:r>
          </w:p>
        </w:tc>
      </w:tr>
      <w:tr>
        <w:trPr>
          <w:trHeight w:val="540"/>
        </w:trPr>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12/03/10</w:t>
            </w:r>
          </w:p>
        </w:tc>
      </w:tr>
      <w:tr>
        <w:trPr>
          <w:trHeight w:val="540"/>
        </w:trPr>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12/03/10</w:t>
            </w:r>
          </w:p>
        </w:tc>
      </w:tr>
      <w:tr>
        <w:trPr>
          <w:trHeight w:val="540"/>
        </w:trPr>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12/03/10</w:t>
            </w:r>
          </w:p>
        </w:tc>
      </w:tr>
      <w:tr>
        <w:trPr>
          <w:trHeight w:val="540"/>
        </w:trPr>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12/03/10</w:t>
            </w:r>
          </w:p>
        </w:tc>
      </w:tr>
      <w:tr>
        <w:trPr>
          <w:trHeight w:val="540"/>
        </w:trPr>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1160" w:type="dxa"/>
            <w:vAlign w:val="bottom"/>
            <w:gridSpan w:val="2"/>
          </w:tcPr>
          <w:p>
            <w:pPr>
              <w:spacing w:after="0"/>
              <w:rPr>
                <w:sz w:val="20"/>
                <w:szCs w:val="20"/>
                <w:color w:val="auto"/>
              </w:rPr>
            </w:pPr>
            <w:r>
              <w:rPr>
                <w:rFonts w:ascii="Arial" w:cs="Arial" w:eastAsia="Arial" w:hAnsi="Arial"/>
                <w:sz w:val="18"/>
                <w:szCs w:val="18"/>
                <w:color w:val="auto"/>
              </w:rPr>
              <w:t>10.10A</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12/03/10</w:t>
            </w:r>
          </w:p>
        </w:tc>
      </w:tr>
      <w:tr>
        <w:trPr>
          <w:trHeight w:val="864"/>
        </w:trPr>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12/03/10</w:t>
            </w:r>
          </w:p>
        </w:tc>
      </w:tr>
      <w:tr>
        <w:trPr>
          <w:trHeight w:val="972"/>
        </w:trPr>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1160" w:type="dxa"/>
            <w:vAlign w:val="bottom"/>
            <w:gridSpan w:val="2"/>
          </w:tcPr>
          <w:p>
            <w:pPr>
              <w:spacing w:after="0"/>
              <w:rPr>
                <w:sz w:val="20"/>
                <w:szCs w:val="20"/>
                <w:color w:val="auto"/>
              </w:rPr>
            </w:pPr>
            <w:r>
              <w:rPr>
                <w:rFonts w:ascii="Arial" w:cs="Arial" w:eastAsia="Arial" w:hAnsi="Arial"/>
                <w:sz w:val="18"/>
                <w:szCs w:val="18"/>
                <w:color w:val="auto"/>
              </w:rPr>
              <w:t>10.12A</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12/03/10</w:t>
            </w:r>
          </w:p>
        </w:tc>
      </w:tr>
    </w:tbl>
    <w:p>
      <w:pPr>
        <w:sectPr>
          <w:pgSz w:w="11900" w:h="16838" w:orient="portrait"/>
          <w:cols w:equalWidth="0" w:num="2">
            <w:col w:w="7460" w:space="600"/>
            <w:col w:w="2920"/>
          </w:cols>
          <w:pgMar w:left="240" w:top="459" w:right="6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3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2520" w:type="dxa"/>
            <w:vAlign w:val="bottom"/>
          </w:tcPr>
          <w:p>
            <w:pPr>
              <w:spacing w:after="0"/>
              <w:rPr>
                <w:sz w:val="14"/>
                <w:szCs w:val="14"/>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w w:val="87"/>
              </w:rPr>
              <w:t>10.13†</w:t>
            </w:r>
          </w:p>
        </w:tc>
        <w:tc>
          <w:tcPr>
            <w:tcW w:w="6560" w:type="dxa"/>
            <w:vAlign w:val="bottom"/>
            <w:gridSpan w:val="3"/>
          </w:tcPr>
          <w:p>
            <w:pPr>
              <w:ind w:left="800"/>
              <w:spacing w:after="0" w:line="201" w:lineRule="exact"/>
              <w:rPr>
                <w:sz w:val="20"/>
                <w:szCs w:val="20"/>
                <w:color w:val="auto"/>
              </w:rPr>
            </w:pPr>
            <w:r>
              <w:rPr>
                <w:rFonts w:ascii="Arial" w:cs="Arial" w:eastAsia="Arial" w:hAnsi="Arial"/>
                <w:sz w:val="18"/>
                <w:szCs w:val="18"/>
                <w:color w:val="auto"/>
                <w:w w:val="91"/>
              </w:rPr>
              <w:t>Amended and Restated Letter Agreement Regarding Application for Incentives</w:t>
            </w:r>
          </w:p>
        </w:tc>
      </w:tr>
      <w:tr>
        <w:trPr>
          <w:trHeight w:val="216"/>
        </w:trPr>
        <w:tc>
          <w:tcPr>
            <w:tcW w:w="500" w:type="dxa"/>
            <w:vAlign w:val="bottom"/>
          </w:tcPr>
          <w:p>
            <w:pPr>
              <w:spacing w:after="0"/>
              <w:rPr>
                <w:sz w:val="18"/>
                <w:szCs w:val="18"/>
                <w:color w:val="auto"/>
              </w:rPr>
            </w:pP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w w:val="91"/>
              </w:rPr>
              <w:t>Under the Research Incentive Scheme for Companies (RISC) dated March 27,</w:t>
            </w:r>
          </w:p>
        </w:tc>
      </w:tr>
      <w:tr>
        <w:trPr>
          <w:trHeight w:val="216"/>
        </w:trPr>
        <w:tc>
          <w:tcPr>
            <w:tcW w:w="500" w:type="dxa"/>
            <w:vAlign w:val="bottom"/>
          </w:tcPr>
          <w:p>
            <w:pPr>
              <w:spacing w:after="0"/>
              <w:rPr>
                <w:sz w:val="18"/>
                <w:szCs w:val="18"/>
                <w:color w:val="auto"/>
              </w:rPr>
            </w:pP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w w:val="89"/>
              </w:rPr>
              <w:t>2008 (originally dated February 12, 2007), by and between Singapore Economic</w:t>
            </w:r>
          </w:p>
        </w:tc>
      </w:tr>
      <w:tr>
        <w:trPr>
          <w:trHeight w:val="222"/>
        </w:trPr>
        <w:tc>
          <w:tcPr>
            <w:tcW w:w="500" w:type="dxa"/>
            <w:vAlign w:val="bottom"/>
          </w:tcPr>
          <w:p>
            <w:pPr>
              <w:spacing w:after="0"/>
              <w:rPr>
                <w:sz w:val="19"/>
                <w:szCs w:val="19"/>
                <w:color w:val="auto"/>
              </w:rPr>
            </w:pP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Development Board and Fluidigm Singapore Pte. Ltd.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w w:val="87"/>
              </w:rPr>
              <w:t>Form of Amended and Restated Employment and Severance Agreement between</w:t>
            </w:r>
          </w:p>
        </w:tc>
      </w:tr>
      <w:tr>
        <w:trPr>
          <w:trHeight w:val="222"/>
        </w:trPr>
        <w:tc>
          <w:tcPr>
            <w:tcW w:w="500" w:type="dxa"/>
            <w:vAlign w:val="bottom"/>
          </w:tcPr>
          <w:p>
            <w:pPr>
              <w:spacing w:after="0"/>
              <w:rPr>
                <w:sz w:val="19"/>
                <w:szCs w:val="19"/>
                <w:color w:val="auto"/>
              </w:rPr>
            </w:pP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the registrant and each of its executive officers.</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10.17#</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Offer Letter to Vikram Jog dated January 29, 2008.</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10.18#</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w w:val="91"/>
              </w:rPr>
              <w:t>Offer Letter dated May 3, 2010 to Fredric Walder and Addendum thereto dated</w:t>
            </w:r>
          </w:p>
        </w:tc>
      </w:tr>
      <w:tr>
        <w:trPr>
          <w:trHeight w:val="222"/>
        </w:trPr>
        <w:tc>
          <w:tcPr>
            <w:tcW w:w="500" w:type="dxa"/>
            <w:vAlign w:val="bottom"/>
          </w:tcPr>
          <w:p>
            <w:pPr>
              <w:spacing w:after="0"/>
              <w:rPr>
                <w:sz w:val="19"/>
                <w:szCs w:val="19"/>
                <w:color w:val="auto"/>
              </w:rPr>
            </w:pP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November 8,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w w:val="90"/>
              </w:rPr>
              <w:t>Lease Agreement between ARE - San Francisco No. 17 LLC and the registrant,</w:t>
            </w:r>
          </w:p>
        </w:tc>
      </w:tr>
      <w:tr>
        <w:trPr>
          <w:trHeight w:val="222"/>
        </w:trPr>
        <w:tc>
          <w:tcPr>
            <w:tcW w:w="500" w:type="dxa"/>
            <w:vAlign w:val="bottom"/>
          </w:tcPr>
          <w:p>
            <w:pPr>
              <w:spacing w:after="0"/>
              <w:rPr>
                <w:sz w:val="19"/>
                <w:szCs w:val="19"/>
                <w:color w:val="auto"/>
              </w:rPr>
            </w:pP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dated September 14, 2010, as amended September 22, 2010.</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w w:val="87"/>
              </w:rPr>
              <w:t>Tenancy for Flatted Factory Space in Singapore between JTC Corporation and the</w:t>
            </w:r>
          </w:p>
        </w:tc>
      </w:tr>
      <w:tr>
        <w:trPr>
          <w:trHeight w:val="222"/>
        </w:trPr>
        <w:tc>
          <w:tcPr>
            <w:tcW w:w="500" w:type="dxa"/>
            <w:vAlign w:val="bottom"/>
          </w:tcPr>
          <w:p>
            <w:pPr>
              <w:spacing w:after="0"/>
              <w:rPr>
                <w:sz w:val="19"/>
                <w:szCs w:val="19"/>
                <w:color w:val="auto"/>
              </w:rPr>
            </w:pP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w w:val="90"/>
              </w:rPr>
              <w:t>registrant dated July 27, 2005, as amended August 12, 2008 and May 31, 2010.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Reserved.</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10.25#</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Executive Bonus Plan.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10.26†</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w w:val="90"/>
              </w:rPr>
              <w:t>Acceptance Letter re Pioneer Incentive dated April 25, 2011 between Singapore</w:t>
            </w:r>
          </w:p>
        </w:tc>
      </w:tr>
      <w:tr>
        <w:trPr>
          <w:trHeight w:val="222"/>
        </w:trPr>
        <w:tc>
          <w:tcPr>
            <w:tcW w:w="500" w:type="dxa"/>
            <w:vAlign w:val="bottom"/>
          </w:tcPr>
          <w:p>
            <w:pPr>
              <w:spacing w:after="0"/>
              <w:rPr>
                <w:sz w:val="19"/>
                <w:szCs w:val="19"/>
                <w:color w:val="auto"/>
              </w:rPr>
            </w:pP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Economic Development Board and the registrant.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rPr>
              <w:t>Power of Attorney (contained in the signature page to this Form 10-K).</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w w:val="98"/>
              </w:rPr>
              <w:t>Certification Pursuant to 18 U.S.C. Section 1350, as Adopted Pursuant to</w:t>
            </w:r>
          </w:p>
        </w:tc>
      </w:tr>
      <w:tr>
        <w:trPr>
          <w:trHeight w:val="222"/>
        </w:trPr>
        <w:tc>
          <w:tcPr>
            <w:tcW w:w="500" w:type="dxa"/>
            <w:vAlign w:val="bottom"/>
          </w:tcPr>
          <w:p>
            <w:pPr>
              <w:spacing w:after="0"/>
              <w:rPr>
                <w:sz w:val="19"/>
                <w:szCs w:val="19"/>
                <w:color w:val="auto"/>
              </w:rPr>
            </w:pPr>
          </w:p>
        </w:tc>
        <w:tc>
          <w:tcPr>
            <w:tcW w:w="6560" w:type="dxa"/>
            <w:vAlign w:val="bottom"/>
            <w:gridSpan w:val="3"/>
          </w:tcPr>
          <w:p>
            <w:pPr>
              <w:ind w:left="800"/>
              <w:spacing w:after="0"/>
              <w:rPr>
                <w:sz w:val="20"/>
                <w:szCs w:val="20"/>
                <w:color w:val="auto"/>
              </w:rPr>
            </w:pPr>
            <w:r>
              <w:rPr>
                <w:rFonts w:ascii="Arial" w:cs="Arial" w:eastAsia="Arial" w:hAnsi="Arial"/>
                <w:sz w:val="18"/>
                <w:szCs w:val="18"/>
                <w:color w:val="auto"/>
                <w:w w:val="97"/>
              </w:rPr>
              <w:t>Section 302 of the Sarbanes-Oxley Act of 2002 of Chief Executive Officer.</w:t>
            </w:r>
          </w:p>
        </w:tc>
      </w:tr>
      <w:tr>
        <w:trPr>
          <w:trHeight w:val="365"/>
        </w:trPr>
        <w:tc>
          <w:tcPr>
            <w:tcW w:w="500" w:type="dxa"/>
            <w:vAlign w:val="bottom"/>
          </w:tcPr>
          <w:p>
            <w:pPr>
              <w:spacing w:after="0"/>
              <w:rPr>
                <w:sz w:val="24"/>
                <w:szCs w:val="24"/>
                <w:color w:val="auto"/>
              </w:rPr>
            </w:pPr>
          </w:p>
        </w:tc>
        <w:tc>
          <w:tcPr>
            <w:tcW w:w="6560" w:type="dxa"/>
            <w:vAlign w:val="bottom"/>
            <w:gridSpan w:val="3"/>
          </w:tcPr>
          <w:p>
            <w:pPr>
              <w:ind w:left="5080"/>
              <w:spacing w:after="0"/>
              <w:rPr>
                <w:sz w:val="20"/>
                <w:szCs w:val="20"/>
                <w:color w:val="auto"/>
              </w:rPr>
            </w:pPr>
            <w:r>
              <w:rPr>
                <w:rFonts w:ascii="Arial" w:cs="Arial" w:eastAsia="Arial" w:hAnsi="Arial"/>
                <w:sz w:val="18"/>
                <w:szCs w:val="18"/>
                <w:color w:val="auto"/>
              </w:rPr>
              <w:t>107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Incorporated</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Incorporated</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From Form</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Number</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Date Filed</w:t>
            </w:r>
          </w:p>
        </w:tc>
      </w:tr>
      <w:tr>
        <w:trPr>
          <w:trHeight w:val="216"/>
        </w:trPr>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S-1</w:t>
            </w:r>
          </w:p>
        </w:tc>
        <w:tc>
          <w:tcPr>
            <w:tcW w:w="220" w:type="dxa"/>
            <w:vAlign w:val="bottom"/>
          </w:tcPr>
          <w:p>
            <w:pPr>
              <w:spacing w:after="0"/>
              <w:rPr>
                <w:sz w:val="18"/>
                <w:szCs w:val="18"/>
                <w:color w:val="auto"/>
              </w:rPr>
            </w:pPr>
          </w:p>
        </w:tc>
        <w:tc>
          <w:tcPr>
            <w:tcW w:w="920" w:type="dxa"/>
            <w:vAlign w:val="bottom"/>
            <w:tcBorders>
              <w:top w:val="single" w:sz="8" w:color="auto"/>
            </w:tcBorders>
          </w:tcPr>
          <w:p>
            <w:pPr>
              <w:jc w:val="right"/>
              <w:ind w:right="448"/>
              <w:spacing w:after="0"/>
              <w:rPr>
                <w:sz w:val="20"/>
                <w:szCs w:val="20"/>
                <w:color w:val="auto"/>
              </w:rPr>
            </w:pPr>
            <w:r>
              <w:rPr>
                <w:rFonts w:ascii="Arial" w:cs="Arial" w:eastAsia="Arial" w:hAnsi="Arial"/>
                <w:sz w:val="18"/>
                <w:szCs w:val="18"/>
                <w:color w:val="auto"/>
                <w:w w:val="84"/>
              </w:rPr>
              <w:t>10.13</w:t>
            </w:r>
          </w:p>
        </w:tc>
        <w:tc>
          <w:tcPr>
            <w:tcW w:w="3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12/03/10</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tabs>
          <w:tab w:leader="none" w:pos="2080" w:val="left"/>
          <w:tab w:leader="none" w:pos="6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12/11/12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400" w:type="dxa"/>
        <w:tblCellMar>
          <w:top w:w="0" w:type="dxa"/>
          <w:left w:w="0" w:type="dxa"/>
          <w:bottom w:w="0" w:type="dxa"/>
          <w:right w:w="0" w:type="dxa"/>
        </w:tblCellMar>
      </w:tblPr>
      <w:tr>
        <w:trPr>
          <w:trHeight w:val="222"/>
        </w:trPr>
        <w:tc>
          <w:tcPr>
            <w:tcW w:w="720" w:type="dxa"/>
            <w:vAlign w:val="bottom"/>
          </w:tcPr>
          <w:p>
            <w:pPr>
              <w:jc w:val="center"/>
              <w:ind w:right="212"/>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10.17</w:t>
            </w:r>
          </w:p>
        </w:tc>
        <w:tc>
          <w:tcPr>
            <w:tcW w:w="1160" w:type="dxa"/>
            <w:vAlign w:val="bottom"/>
          </w:tcPr>
          <w:p>
            <w:pPr>
              <w:jc w:val="right"/>
              <w:spacing w:after="0"/>
              <w:rPr>
                <w:sz w:val="20"/>
                <w:szCs w:val="20"/>
                <w:color w:val="auto"/>
              </w:rPr>
            </w:pPr>
            <w:r>
              <w:rPr>
                <w:rFonts w:ascii="Arial" w:cs="Arial" w:eastAsia="Arial" w:hAnsi="Arial"/>
                <w:sz w:val="18"/>
                <w:szCs w:val="18"/>
                <w:color w:val="auto"/>
              </w:rPr>
              <w:t>12/03/10</w:t>
            </w:r>
          </w:p>
        </w:tc>
      </w:tr>
      <w:tr>
        <w:trPr>
          <w:trHeight w:val="324"/>
        </w:trPr>
        <w:tc>
          <w:tcPr>
            <w:tcW w:w="720" w:type="dxa"/>
            <w:vAlign w:val="bottom"/>
          </w:tcPr>
          <w:p>
            <w:pPr>
              <w:jc w:val="center"/>
              <w:ind w:right="212"/>
              <w:spacing w:after="0"/>
              <w:rPr>
                <w:sz w:val="20"/>
                <w:szCs w:val="20"/>
                <w:color w:val="auto"/>
              </w:rPr>
            </w:pPr>
            <w:r>
              <w:rPr>
                <w:rFonts w:ascii="Arial" w:cs="Arial" w:eastAsia="Arial" w:hAnsi="Arial"/>
                <w:sz w:val="18"/>
                <w:szCs w:val="18"/>
                <w:color w:val="auto"/>
                <w:w w:val="92"/>
              </w:rPr>
              <w:t>8-K</w:t>
            </w: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10.18</w:t>
            </w:r>
          </w:p>
        </w:tc>
        <w:tc>
          <w:tcPr>
            <w:tcW w:w="1160" w:type="dxa"/>
            <w:vAlign w:val="bottom"/>
          </w:tcPr>
          <w:p>
            <w:pPr>
              <w:jc w:val="right"/>
              <w:spacing w:after="0"/>
              <w:rPr>
                <w:sz w:val="20"/>
                <w:szCs w:val="20"/>
                <w:color w:val="auto"/>
              </w:rPr>
            </w:pPr>
            <w:r>
              <w:rPr>
                <w:rFonts w:ascii="Arial" w:cs="Arial" w:eastAsia="Arial" w:hAnsi="Arial"/>
                <w:sz w:val="18"/>
                <w:szCs w:val="18"/>
                <w:color w:val="auto"/>
              </w:rPr>
              <w:t>04/04/11</w:t>
            </w:r>
          </w:p>
        </w:tc>
      </w:tr>
      <w:tr>
        <w:trPr>
          <w:trHeight w:val="540"/>
        </w:trPr>
        <w:tc>
          <w:tcPr>
            <w:tcW w:w="720" w:type="dxa"/>
            <w:vAlign w:val="bottom"/>
          </w:tcPr>
          <w:p>
            <w:pPr>
              <w:jc w:val="center"/>
              <w:ind w:right="212"/>
              <w:spacing w:after="0"/>
              <w:rPr>
                <w:sz w:val="20"/>
                <w:szCs w:val="20"/>
                <w:color w:val="auto"/>
              </w:rPr>
            </w:pPr>
            <w:r>
              <w:rPr>
                <w:rFonts w:ascii="Arial" w:cs="Arial" w:eastAsia="Arial" w:hAnsi="Arial"/>
                <w:sz w:val="18"/>
                <w:szCs w:val="18"/>
                <w:color w:val="auto"/>
                <w:w w:val="93"/>
              </w:rPr>
              <w:t>S-1/A</w:t>
            </w: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10.19</w:t>
            </w:r>
          </w:p>
        </w:tc>
        <w:tc>
          <w:tcPr>
            <w:tcW w:w="1160" w:type="dxa"/>
            <w:vAlign w:val="bottom"/>
          </w:tcPr>
          <w:p>
            <w:pPr>
              <w:jc w:val="right"/>
              <w:spacing w:after="0"/>
              <w:rPr>
                <w:sz w:val="20"/>
                <w:szCs w:val="20"/>
                <w:color w:val="auto"/>
              </w:rPr>
            </w:pPr>
            <w:r>
              <w:rPr>
                <w:rFonts w:ascii="Arial" w:cs="Arial" w:eastAsia="Arial" w:hAnsi="Arial"/>
                <w:sz w:val="18"/>
                <w:szCs w:val="18"/>
                <w:color w:val="auto"/>
              </w:rPr>
              <w:t>01/07/11</w:t>
            </w:r>
          </w:p>
        </w:tc>
      </w:tr>
      <w:tr>
        <w:trPr>
          <w:trHeight w:val="540"/>
        </w:trPr>
        <w:tc>
          <w:tcPr>
            <w:tcW w:w="720" w:type="dxa"/>
            <w:vAlign w:val="bottom"/>
          </w:tcPr>
          <w:p>
            <w:pPr>
              <w:jc w:val="center"/>
              <w:ind w:right="212"/>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right"/>
              <w:ind w:right="452"/>
              <w:spacing w:after="0"/>
              <w:rPr>
                <w:sz w:val="20"/>
                <w:szCs w:val="20"/>
                <w:color w:val="auto"/>
              </w:rPr>
            </w:pPr>
            <w:r>
              <w:rPr>
                <w:rFonts w:ascii="Arial" w:cs="Arial" w:eastAsia="Arial" w:hAnsi="Arial"/>
                <w:sz w:val="18"/>
                <w:szCs w:val="18"/>
                <w:color w:val="auto"/>
              </w:rPr>
              <w:t>10.20</w:t>
            </w:r>
          </w:p>
        </w:tc>
        <w:tc>
          <w:tcPr>
            <w:tcW w:w="1160" w:type="dxa"/>
            <w:vAlign w:val="bottom"/>
          </w:tcPr>
          <w:p>
            <w:pPr>
              <w:jc w:val="right"/>
              <w:spacing w:after="0"/>
              <w:rPr>
                <w:sz w:val="20"/>
                <w:szCs w:val="20"/>
                <w:color w:val="auto"/>
              </w:rPr>
            </w:pPr>
            <w:r>
              <w:rPr>
                <w:rFonts w:ascii="Arial" w:cs="Arial" w:eastAsia="Arial" w:hAnsi="Arial"/>
                <w:sz w:val="18"/>
                <w:szCs w:val="18"/>
                <w:color w:val="auto"/>
              </w:rPr>
              <w:t>12/03/10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680" w:type="dxa"/>
            <w:vAlign w:val="bottom"/>
          </w:tcPr>
          <w:p>
            <w:pPr>
              <w:jc w:val="center"/>
              <w:ind w:right="232"/>
              <w:spacing w:after="0"/>
              <w:rPr>
                <w:sz w:val="20"/>
                <w:szCs w:val="20"/>
                <w:color w:val="auto"/>
              </w:rPr>
            </w:pPr>
            <w:r>
              <w:rPr>
                <w:rFonts w:ascii="Arial" w:cs="Arial" w:eastAsia="Arial" w:hAnsi="Arial"/>
                <w:sz w:val="18"/>
                <w:szCs w:val="18"/>
                <w:color w:val="auto"/>
                <w:w w:val="94"/>
              </w:rPr>
              <w:t>10-K</w:t>
            </w:r>
          </w:p>
        </w:tc>
        <w:tc>
          <w:tcPr>
            <w:tcW w:w="1260" w:type="dxa"/>
            <w:vAlign w:val="bottom"/>
          </w:tcPr>
          <w:p>
            <w:pPr>
              <w:ind w:left="320"/>
              <w:spacing w:after="0"/>
              <w:rPr>
                <w:sz w:val="20"/>
                <w:szCs w:val="20"/>
                <w:color w:val="auto"/>
              </w:rPr>
            </w:pPr>
            <w:r>
              <w:rPr>
                <w:rFonts w:ascii="Arial" w:cs="Arial" w:eastAsia="Arial" w:hAnsi="Arial"/>
                <w:sz w:val="18"/>
                <w:szCs w:val="18"/>
                <w:color w:val="auto"/>
              </w:rPr>
              <w:t>10.25</w:t>
            </w:r>
          </w:p>
        </w:tc>
        <w:tc>
          <w:tcPr>
            <w:tcW w:w="1160" w:type="dxa"/>
            <w:vAlign w:val="bottom"/>
          </w:tcPr>
          <w:p>
            <w:pPr>
              <w:jc w:val="right"/>
              <w:spacing w:after="0"/>
              <w:rPr>
                <w:sz w:val="20"/>
                <w:szCs w:val="20"/>
                <w:color w:val="auto"/>
              </w:rPr>
            </w:pPr>
            <w:r>
              <w:rPr>
                <w:rFonts w:ascii="Arial" w:cs="Arial" w:eastAsia="Arial" w:hAnsi="Arial"/>
                <w:sz w:val="18"/>
                <w:szCs w:val="18"/>
                <w:color w:val="auto"/>
              </w:rPr>
              <w:t>03/28/11</w:t>
            </w:r>
          </w:p>
        </w:tc>
      </w:tr>
      <w:tr>
        <w:trPr>
          <w:trHeight w:val="324"/>
        </w:trPr>
        <w:tc>
          <w:tcPr>
            <w:tcW w:w="680" w:type="dxa"/>
            <w:vAlign w:val="bottom"/>
          </w:tcPr>
          <w:p>
            <w:pPr>
              <w:jc w:val="center"/>
              <w:ind w:right="252"/>
              <w:spacing w:after="0"/>
              <w:rPr>
                <w:sz w:val="20"/>
                <w:szCs w:val="20"/>
                <w:color w:val="auto"/>
              </w:rPr>
            </w:pPr>
            <w:r>
              <w:rPr>
                <w:rFonts w:ascii="Arial" w:cs="Arial" w:eastAsia="Arial" w:hAnsi="Arial"/>
                <w:sz w:val="18"/>
                <w:szCs w:val="18"/>
                <w:color w:val="auto"/>
                <w:w w:val="92"/>
              </w:rPr>
              <w:t>8-K</w:t>
            </w:r>
          </w:p>
        </w:tc>
        <w:tc>
          <w:tcPr>
            <w:tcW w:w="1260" w:type="dxa"/>
            <w:vAlign w:val="bottom"/>
          </w:tcPr>
          <w:p>
            <w:pPr>
              <w:ind w:left="320"/>
              <w:spacing w:after="0"/>
              <w:rPr>
                <w:sz w:val="20"/>
                <w:szCs w:val="20"/>
                <w:color w:val="auto"/>
              </w:rPr>
            </w:pPr>
            <w:r>
              <w:rPr>
                <w:rFonts w:ascii="Arial" w:cs="Arial" w:eastAsia="Arial" w:hAnsi="Arial"/>
                <w:sz w:val="18"/>
                <w:szCs w:val="18"/>
                <w:color w:val="auto"/>
              </w:rPr>
              <w:t>10.1</w:t>
            </w:r>
          </w:p>
        </w:tc>
        <w:tc>
          <w:tcPr>
            <w:tcW w:w="1160" w:type="dxa"/>
            <w:vAlign w:val="bottom"/>
          </w:tcPr>
          <w:p>
            <w:pPr>
              <w:jc w:val="right"/>
              <w:spacing w:after="0"/>
              <w:rPr>
                <w:sz w:val="20"/>
                <w:szCs w:val="20"/>
                <w:color w:val="auto"/>
              </w:rPr>
            </w:pPr>
            <w:r>
              <w:rPr>
                <w:rFonts w:ascii="Arial" w:cs="Arial" w:eastAsia="Arial" w:hAnsi="Arial"/>
                <w:sz w:val="18"/>
                <w:szCs w:val="18"/>
                <w:color w:val="auto"/>
              </w:rPr>
              <w:t>08/05/11</w:t>
            </w:r>
          </w:p>
        </w:tc>
      </w:tr>
    </w:tbl>
    <w:p>
      <w:pPr>
        <w:spacing w:after="0" w:line="3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7060" w:space="480"/>
            <w:col w:w="3540"/>
          </w:cols>
          <w:pgMar w:left="240" w:top="459" w:right="5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Incorporated</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2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Incorporated</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40" w:type="dxa"/>
            <w:vAlign w:val="bottom"/>
            <w:gridSpan w:val="2"/>
            <w:vMerge w:val="continue"/>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7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4"/>
              </w:rPr>
              <w:t>by Reference</w:t>
            </w:r>
          </w:p>
        </w:tc>
        <w:tc>
          <w:tcPr>
            <w:tcW w:w="12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1"/>
              </w:rPr>
              <w:t>From Exhibit</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7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120" w:type="dxa"/>
            <w:vAlign w:val="bottom"/>
          </w:tcPr>
          <w:p>
            <w:pPr>
              <w:spacing w:after="0"/>
              <w:rPr>
                <w:sz w:val="15"/>
                <w:szCs w:val="15"/>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From Form</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w w:val="89"/>
              </w:rPr>
              <w:t>Date Filed</w:t>
            </w:r>
          </w:p>
        </w:tc>
        <w:tc>
          <w:tcPr>
            <w:tcW w:w="0" w:type="dxa"/>
            <w:vAlign w:val="bottom"/>
          </w:tcPr>
          <w:p>
            <w:pPr>
              <w:spacing w:after="0"/>
              <w:rPr>
                <w:sz w:val="1"/>
                <w:szCs w:val="1"/>
                <w:color w:val="auto"/>
              </w:rPr>
            </w:pPr>
          </w:p>
        </w:tc>
      </w:tr>
      <w:tr>
        <w:trPr>
          <w:trHeight w:val="289"/>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740" w:type="dxa"/>
            <w:vAlign w:val="bottom"/>
          </w:tcPr>
          <w:p>
            <w:pPr>
              <w:spacing w:after="0"/>
              <w:rPr>
                <w:sz w:val="24"/>
                <w:szCs w:val="24"/>
                <w:color w:val="auto"/>
              </w:rPr>
            </w:pP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3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Section 302 of the Sarbanes-Oxley Act of 2002 of Chief Financial Officer.</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Filed herewith</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740" w:type="dxa"/>
            <w:vAlign w:val="bottom"/>
          </w:tcPr>
          <w:p>
            <w:pPr>
              <w:spacing w:after="0"/>
              <w:rPr>
                <w:sz w:val="24"/>
                <w:szCs w:val="24"/>
                <w:color w:val="auto"/>
              </w:rPr>
            </w:pP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Section 906 of the Sarbanes-Oxley Act of 2002 of Chief Executive Officer.</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Furnished herewith</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740" w:type="dxa"/>
            <w:vAlign w:val="bottom"/>
          </w:tcPr>
          <w:p>
            <w:pPr>
              <w:spacing w:after="0"/>
              <w:rPr>
                <w:sz w:val="24"/>
                <w:szCs w:val="24"/>
                <w:color w:val="auto"/>
              </w:rPr>
            </w:pP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Certification Pursuant to 18 U.S.C. Section 1350, as Adopted Pursuant to</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Section 906 of the Sarbanes-Oxley Act of 2002 of Chief Financial Officer.</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Furnished herewith</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XBRL Instance Document</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Furnished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Schema Document</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Furnished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Calculation Linkbase Document</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Furnished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Definition Linkbase Document</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Furnished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Label Document</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Furnished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580" w:type="dxa"/>
            <w:vAlign w:val="bottom"/>
            <w:gridSpan w:val="3"/>
          </w:tcPr>
          <w:p>
            <w:pPr>
              <w:ind w:left="420"/>
              <w:spacing w:after="0"/>
              <w:rPr>
                <w:sz w:val="20"/>
                <w:szCs w:val="20"/>
                <w:color w:val="auto"/>
              </w:rPr>
            </w:pPr>
            <w:r>
              <w:rPr>
                <w:rFonts w:ascii="Arial" w:cs="Arial" w:eastAsia="Arial" w:hAnsi="Arial"/>
                <w:sz w:val="18"/>
                <w:szCs w:val="18"/>
                <w:color w:val="auto"/>
              </w:rPr>
              <w:t>XBRL Taxonomy Extension Presentation Document</w:t>
            </w: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Furnished herewith</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are eligible to participate.</w:t>
      </w:r>
    </w:p>
    <w:p>
      <w:pPr>
        <w:spacing w:after="0" w:line="1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Portions of the exhibit have been omitted pursuant to an order granted by the Securities and Exchange Commission for confidential treatment.</w:t>
      </w:r>
    </w:p>
    <w:p>
      <w:pPr>
        <w:spacing w:after="0" w:line="32" w:lineRule="exact"/>
        <w:rPr>
          <w:sz w:val="20"/>
          <w:szCs w:val="20"/>
          <w:color w:val="auto"/>
        </w:rPr>
      </w:pPr>
    </w:p>
    <w:p>
      <w:pPr>
        <w:ind w:left="460" w:right="160" w:hanging="452"/>
        <w:spacing w:after="0" w:line="281"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w:t>
      </w:r>
    </w:p>
    <w:p>
      <w:pPr>
        <w:spacing w:after="0" w:line="2" w:lineRule="exact"/>
        <w:rPr>
          <w:sz w:val="20"/>
          <w:szCs w:val="20"/>
          <w:color w:val="auto"/>
        </w:rPr>
      </w:pPr>
    </w:p>
    <w:p>
      <w:pPr>
        <w:ind w:left="460" w:right="640"/>
        <w:spacing w:after="0" w:line="250" w:lineRule="auto"/>
        <w:rPr>
          <w:sz w:val="20"/>
          <w:szCs w:val="20"/>
          <w:color w:val="auto"/>
        </w:rPr>
      </w:pPr>
      <w:r>
        <w:rPr>
          <w:rFonts w:ascii="Arial" w:cs="Arial" w:eastAsia="Arial" w:hAnsi="Arial"/>
          <w:sz w:val="18"/>
          <w:szCs w:val="18"/>
          <w:color w:val="auto"/>
        </w:rPr>
        <w:t>not be deemed to be incorporated by reference into any filings under the Securities Act or the Exchange Act, except to the extent that the registrant specifically incorporates it by reference.</w:t>
      </w:r>
    </w:p>
    <w:p>
      <w:pPr>
        <w:spacing w:after="0" w:line="1" w:lineRule="exact"/>
        <w:rPr>
          <w:sz w:val="20"/>
          <w:szCs w:val="20"/>
          <w:color w:val="auto"/>
        </w:rPr>
      </w:pPr>
    </w:p>
    <w:p>
      <w:pPr>
        <w:jc w:val="both"/>
        <w:ind w:left="460" w:right="120" w:hanging="452"/>
        <w:spacing w:after="0" w:line="25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FLUIDIGM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Corporation (Delaware):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Fluidigm K.K. (Japan)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Europe, B.V. (Netherlands)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Singapore Pte. Ltd. (Singapore)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(Shanghai) Instrument Technology Company Limited (China)</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Europe, BV (Netherlands):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Fluidigm France SARL (France)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UK Limited (United Kingdom)</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58" w:lineRule="exact"/>
        <w:rPr>
          <w:sz w:val="20"/>
          <w:szCs w:val="20"/>
          <w:color w:val="auto"/>
        </w:rPr>
      </w:pPr>
    </w:p>
    <w:p>
      <w:pPr>
        <w:ind w:right="3600" w:firstLine="3600"/>
        <w:spacing w:after="0" w:line="440" w:lineRule="auto"/>
        <w:rPr>
          <w:sz w:val="20"/>
          <w:szCs w:val="20"/>
          <w:color w:val="auto"/>
        </w:rPr>
      </w:pPr>
      <w:r>
        <w:rPr>
          <w:rFonts w:ascii="Arial" w:cs="Arial" w:eastAsia="Arial" w:hAnsi="Arial"/>
          <w:sz w:val="16"/>
          <w:szCs w:val="16"/>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S-3 No. 333-180550) of Fluidigm Corporation,</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333-172206) pertaining to the 1999 Stock Option Plan, 2009 Equity Incentive Plan, and 2011 Equity Incentive Plan of Fluidigm Corporation,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Registration Statement (Form S-8 No. 333-180363) pertaining to the 2011 Equity Incentive Plan of Fluidigm Corporation;</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of our reports dated March 12, 2013, with respect to the consolidated financial statements and schedule of Fluidigm Corporation and the effectiveness of internal control over financial reporting of Fluidigm Corporation included in this Annual Report (Form 10-K) of Fluidigm Corporation for the year ended December 31, 2012.</w:t>
      </w:r>
    </w:p>
    <w:p>
      <w:pPr>
        <w:spacing w:after="0" w:line="140"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12, 2013</w:t>
      </w:r>
    </w:p>
    <w:p>
      <w:pPr>
        <w:sectPr>
          <w:pgSz w:w="11900" w:h="16838" w:orient="portrait"/>
          <w:cols w:equalWidth="0" w:num="1">
            <w:col w:w="11420"/>
          </w:cols>
          <w:pgMar w:left="2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310" w:lineRule="auto"/>
        <w:rPr>
          <w:sz w:val="20"/>
          <w:szCs w:val="20"/>
          <w:color w:val="auto"/>
        </w:rPr>
      </w:pPr>
      <w:r>
        <w:rPr>
          <w:rFonts w:ascii="Arial" w:cs="Arial" w:eastAsia="Arial" w:hAnsi="Arial"/>
          <w:sz w:val="16"/>
          <w:szCs w:val="16"/>
          <w:b w:val="1"/>
          <w:bCs w:val="1"/>
          <w:color w:val="auto"/>
        </w:rPr>
        <w:t>CERTIFICATION OF THE PRESIDENT AND CHIEF EXECUTIVE OFFICER PURSUANT TO SECURITIES EXCHANGE ACT RULES 13a-14(a) AND 15d-14(a), 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90"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Date: March 12, 2013</w:t>
            </w:r>
          </w:p>
        </w:tc>
        <w:tc>
          <w:tcPr>
            <w:tcW w:w="7660" w:type="dxa"/>
            <w:vAlign w:val="bottom"/>
            <w:gridSpan w:val="2"/>
          </w:tcPr>
          <w:p>
            <w:pPr>
              <w:ind w:left="2200"/>
              <w:spacing w:after="0"/>
              <w:rPr>
                <w:sz w:val="20"/>
                <w:szCs w:val="20"/>
                <w:color w:val="auto"/>
              </w:rPr>
            </w:pPr>
            <w:r>
              <w:rPr>
                <w:rFonts w:ascii="Arial" w:cs="Arial" w:eastAsia="Arial" w:hAnsi="Arial"/>
                <w:sz w:val="18"/>
                <w:szCs w:val="18"/>
                <w:color w:val="auto"/>
              </w:rPr>
              <w:t>By:  /s/ Gajus V. Worthington</w:t>
            </w:r>
          </w:p>
        </w:tc>
      </w:tr>
      <w:tr>
        <w:trPr>
          <w:trHeight w:val="202"/>
        </w:trPr>
        <w:tc>
          <w:tcPr>
            <w:tcW w:w="37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Gajus V. Worthington</w:t>
            </w:r>
          </w:p>
        </w:tc>
      </w:tr>
      <w:tr>
        <w:trPr>
          <w:trHeight w:val="222"/>
        </w:trPr>
        <w:tc>
          <w:tcPr>
            <w:tcW w:w="3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90"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Date: March 12, 2013</w:t>
            </w:r>
          </w:p>
        </w:tc>
        <w:tc>
          <w:tcPr>
            <w:tcW w:w="7660" w:type="dxa"/>
            <w:vAlign w:val="bottom"/>
            <w:gridSpan w:val="2"/>
          </w:tcPr>
          <w:p>
            <w:pPr>
              <w:ind w:left="2200"/>
              <w:spacing w:after="0"/>
              <w:rPr>
                <w:sz w:val="20"/>
                <w:szCs w:val="20"/>
                <w:color w:val="auto"/>
              </w:rPr>
            </w:pPr>
            <w:r>
              <w:rPr>
                <w:rFonts w:ascii="Arial" w:cs="Arial" w:eastAsia="Arial" w:hAnsi="Arial"/>
                <w:sz w:val="18"/>
                <w:szCs w:val="18"/>
                <w:color w:val="auto"/>
              </w:rPr>
              <w:t>By:  /s/ Vikram Jog</w:t>
            </w:r>
          </w:p>
        </w:tc>
      </w:tr>
      <w:tr>
        <w:trPr>
          <w:trHeight w:val="202"/>
        </w:trPr>
        <w:tc>
          <w:tcPr>
            <w:tcW w:w="37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Vikram Jog</w:t>
            </w:r>
          </w:p>
        </w:tc>
      </w:tr>
      <w:tr>
        <w:trPr>
          <w:trHeight w:val="222"/>
        </w:trPr>
        <w:tc>
          <w:tcPr>
            <w:tcW w:w="37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3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51" w:lineRule="exact"/>
        <w:rPr>
          <w:sz w:val="20"/>
          <w:szCs w:val="20"/>
          <w:color w:val="auto"/>
        </w:rPr>
      </w:pPr>
    </w:p>
    <w:p>
      <w:pPr>
        <w:ind w:left="460" w:right="860" w:firstLine="443"/>
        <w:spacing w:after="0" w:line="268" w:lineRule="auto"/>
        <w:tabs>
          <w:tab w:leader="none" w:pos="11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2012 (the “Report”),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6860" w:right="120" w:hanging="5957"/>
        <w:spacing w:after="0" w:line="269" w:lineRule="auto"/>
        <w:tabs>
          <w:tab w:leader="none" w:pos="11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By: /s/ Gajus V. Worthington</w:t>
      </w:r>
    </w:p>
    <w:p>
      <w:pPr>
        <w:spacing w:after="0" w:line="1" w:lineRule="exact"/>
        <w:rPr>
          <w:rFonts w:ascii="Arial" w:cs="Arial" w:eastAsia="Arial" w:hAnsi="Arial"/>
          <w:sz w:val="18"/>
          <w:szCs w:val="18"/>
          <w:color w:val="auto"/>
        </w:rPr>
      </w:pPr>
    </w:p>
    <w:p>
      <w:pPr>
        <w:ind w:left="7240"/>
        <w:spacing w:after="0"/>
        <w:rPr>
          <w:rFonts w:ascii="Arial" w:cs="Arial" w:eastAsia="Arial" w:hAnsi="Arial"/>
          <w:sz w:val="18"/>
          <w:szCs w:val="18"/>
          <w:color w:val="auto"/>
        </w:rPr>
      </w:pPr>
      <w:r>
        <w:rPr>
          <w:rFonts w:ascii="Arial" w:cs="Arial" w:eastAsia="Arial" w:hAnsi="Arial"/>
          <w:sz w:val="18"/>
          <w:szCs w:val="18"/>
          <w:color w:val="auto"/>
        </w:rPr>
        <w:t>Gajus V. Worthington</w:t>
      </w:r>
    </w:p>
    <w:p>
      <w:pPr>
        <w:spacing w:after="0" w:line="9" w:lineRule="exact"/>
        <w:rPr>
          <w:rFonts w:ascii="Arial" w:cs="Arial" w:eastAsia="Arial" w:hAnsi="Arial"/>
          <w:sz w:val="18"/>
          <w:szCs w:val="18"/>
          <w:color w:val="auto"/>
        </w:rPr>
      </w:pPr>
    </w:p>
    <w:p>
      <w:pPr>
        <w:ind w:left="7240"/>
        <w:spacing w:after="0"/>
        <w:rPr>
          <w:rFonts w:ascii="Arial" w:cs="Arial" w:eastAsia="Arial" w:hAnsi="Arial"/>
          <w:sz w:val="18"/>
          <w:szCs w:val="18"/>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-283845</wp:posOffset>
            </wp:positionV>
            <wp:extent cx="26587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4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March 12, 2013</w:t>
      </w:r>
    </w:p>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51" w:lineRule="exact"/>
        <w:rPr>
          <w:sz w:val="20"/>
          <w:szCs w:val="20"/>
          <w:color w:val="auto"/>
        </w:rPr>
      </w:pPr>
    </w:p>
    <w:p>
      <w:pPr>
        <w:ind w:left="460" w:right="860" w:firstLine="443"/>
        <w:spacing w:after="0" w:line="268" w:lineRule="auto"/>
        <w:tabs>
          <w:tab w:leader="none" w:pos="11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2012 (the “Report”),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6860" w:right="120" w:hanging="5957"/>
        <w:spacing w:after="0" w:line="269" w:lineRule="auto"/>
        <w:tabs>
          <w:tab w:leader="none" w:pos="1166"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By: /s/ Vikram Jog</w:t>
      </w:r>
    </w:p>
    <w:p>
      <w:pPr>
        <w:spacing w:after="0" w:line="1" w:lineRule="exact"/>
        <w:rPr>
          <w:rFonts w:ascii="Arial" w:cs="Arial" w:eastAsia="Arial" w:hAnsi="Arial"/>
          <w:sz w:val="18"/>
          <w:szCs w:val="18"/>
          <w:color w:val="auto"/>
        </w:rPr>
      </w:pPr>
    </w:p>
    <w:p>
      <w:pPr>
        <w:ind w:left="7240"/>
        <w:spacing w:after="0"/>
        <w:rPr>
          <w:rFonts w:ascii="Arial" w:cs="Arial" w:eastAsia="Arial" w:hAnsi="Arial"/>
          <w:sz w:val="18"/>
          <w:szCs w:val="18"/>
          <w:color w:val="auto"/>
        </w:rPr>
      </w:pPr>
      <w:r>
        <w:rPr>
          <w:rFonts w:ascii="Arial" w:cs="Arial" w:eastAsia="Arial" w:hAnsi="Arial"/>
          <w:sz w:val="18"/>
          <w:szCs w:val="18"/>
          <w:color w:val="auto"/>
        </w:rPr>
        <w:t>Vikram Jog</w:t>
      </w:r>
    </w:p>
    <w:p>
      <w:pPr>
        <w:spacing w:after="0" w:line="9" w:lineRule="exact"/>
        <w:rPr>
          <w:rFonts w:ascii="Arial" w:cs="Arial" w:eastAsia="Arial" w:hAnsi="Arial"/>
          <w:sz w:val="18"/>
          <w:szCs w:val="18"/>
          <w:color w:val="auto"/>
        </w:rPr>
      </w:pPr>
    </w:p>
    <w:p>
      <w:pPr>
        <w:ind w:left="7240"/>
        <w:spacing w:after="0"/>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-283845</wp:posOffset>
            </wp:positionV>
            <wp:extent cx="26587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9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March 12,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2"/>
    </w:lvl>
  </w:abstractNum>
  <w:abstractNum w:abstractNumId="23">
    <w:nsid w:val="77465F01"/>
    <w:multiLevelType w:val="hybridMultilevel"/>
    <w:lvl w:ilvl="0">
      <w:lvlJc w:val="left"/>
      <w:lvlText w:val="%1."/>
      <w:numFmt w:val="decimal"/>
      <w:start w:val="3"/>
    </w:lvl>
  </w:abstractNum>
  <w:abstractNum w:abstractNumId="24">
    <w:nsid w:val="7724C67E"/>
    <w:multiLevelType w:val="hybridMultilevel"/>
    <w:lvl w:ilvl="0">
      <w:lvlJc w:val="left"/>
      <w:lvlText w:val="%1."/>
      <w:numFmt w:val="decimal"/>
      <w:start w:val="4"/>
    </w:lvl>
  </w:abstractNum>
  <w:abstractNum w:abstractNumId="25">
    <w:nsid w:val="5C482A97"/>
    <w:multiLevelType w:val="hybridMultilevel"/>
    <w:lvl w:ilvl="0">
      <w:lvlJc w:val="left"/>
      <w:lvlText w:val="%1."/>
      <w:numFmt w:val="decimal"/>
      <w:start w:val="5"/>
    </w:lvl>
  </w:abstractNum>
  <w:abstractNum w:abstractNumId="26">
    <w:nsid w:val="2463B9EA"/>
    <w:multiLevelType w:val="hybridMultilevel"/>
    <w:lvl w:ilvl="0">
      <w:lvlJc w:val="left"/>
      <w:lvlText w:val="%1."/>
      <w:numFmt w:val="decimal"/>
      <w:start w:val="6"/>
    </w:lvl>
  </w:abstractNum>
  <w:abstractNum w:abstractNumId="27">
    <w:nsid w:val="5E884ADC"/>
    <w:multiLevelType w:val="hybridMultilevel"/>
    <w:lvl w:ilvl="0">
      <w:lvlJc w:val="left"/>
      <w:lvlText w:val="%1."/>
      <w:numFmt w:val="decimal"/>
      <w:start w:val="7"/>
    </w:lvl>
  </w:abstractNum>
  <w:abstractNum w:abstractNumId="28">
    <w:nsid w:val="51EAD36B"/>
    <w:multiLevelType w:val="hybridMultilevel"/>
    <w:lvl w:ilvl="0">
      <w:lvlJc w:val="left"/>
      <w:lvlText w:val="%1."/>
      <w:numFmt w:val="decimal"/>
      <w:start w:val="8"/>
    </w:lvl>
  </w:abstractNum>
  <w:abstractNum w:abstractNumId="29">
    <w:nsid w:val="2D517796"/>
    <w:multiLevelType w:val="hybridMultilevel"/>
    <w:lvl w:ilvl="0">
      <w:lvlJc w:val="left"/>
      <w:lvlText w:val="%1."/>
      <w:numFmt w:val="decimal"/>
      <w:start w:val="9"/>
    </w:lvl>
  </w:abstractNum>
  <w:abstractNum w:abstractNumId="30">
    <w:nsid w:val="580BD78F"/>
    <w:multiLevelType w:val="hybridMultilevel"/>
    <w:lvl w:ilvl="0">
      <w:lvlJc w:val="left"/>
      <w:lvlText w:val="%1."/>
      <w:numFmt w:val="decimal"/>
      <w:start w:val="10"/>
    </w:lvl>
  </w:abstractNum>
  <w:abstractNum w:abstractNumId="31">
    <w:nsid w:val="153EA438"/>
    <w:multiLevelType w:val="hybridMultilevel"/>
    <w:lvl w:ilvl="0">
      <w:lvlJc w:val="left"/>
      <w:lvlText w:val="%1."/>
      <w:numFmt w:val="decimal"/>
      <w:start w:val="1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3"/>
    </w:lvl>
  </w:abstractNum>
  <w:abstractNum w:abstractNumId="34">
    <w:nsid w:val="6A2342EC"/>
    <w:multiLevelType w:val="hybridMultilevel"/>
    <w:lvl w:ilvl="0">
      <w:lvlJc w:val="left"/>
      <w:lvlText w:val="%1."/>
      <w:numFmt w:val="decimal"/>
      <w:start w:val="14"/>
    </w:lvl>
  </w:abstractNum>
  <w:abstractNum w:abstractNumId="35">
    <w:nsid w:val="2A487CB0"/>
    <w:multiLevelType w:val="hybridMultilevel"/>
    <w:lvl w:ilvl="0">
      <w:lvlJc w:val="left"/>
      <w:lvlText w:val="%1."/>
      <w:numFmt w:val="decimal"/>
      <w:start w:val="15"/>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lowerRoman"/>
      <w:start w:val="1"/>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2019-12-07T03:12:16Z</dcterms:created>
  <dcterms:modified xsi:type="dcterms:W3CDTF">2019-12-07T03:12:16Z</dcterms:modified>
</cp:coreProperties>
</file>