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spacing w:after="0"/>
        <w:tabs>
          <w:tab w:leader="none" w:pos="5060" w:val="left"/>
          <w:tab w:leader="none" w:pos="84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1 of 14</w:t>
      </w: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3820"/>
        <w:spacing w:after="0"/>
        <w:rPr>
          <w:sz w:val="20"/>
          <w:szCs w:val="20"/>
          <w:color w:val="auto"/>
        </w:rPr>
      </w:pPr>
      <w:r>
        <w:rPr>
          <w:rFonts w:ascii="Courier New" w:cs="Courier New" w:eastAsia="Courier New" w:hAnsi="Courier New"/>
          <w:sz w:val="18"/>
          <w:szCs w:val="18"/>
          <w:color w:val="auto"/>
        </w:rPr>
        <w:t>UNITED STATES</w:t>
      </w:r>
    </w:p>
    <w:p>
      <w:pPr>
        <w:spacing w:after="0" w:line="26" w:lineRule="exact"/>
        <w:rPr>
          <w:sz w:val="24"/>
          <w:szCs w:val="24"/>
          <w:color w:val="auto"/>
        </w:rPr>
      </w:pPr>
    </w:p>
    <w:p>
      <w:pPr>
        <w:ind w:left="278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Washington, D.C. 20549</w:t>
      </w:r>
    </w:p>
    <w:p>
      <w:pPr>
        <w:spacing w:after="0" w:line="28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SCHEDULE 13G</w:t>
      </w:r>
    </w:p>
    <w:p>
      <w:pPr>
        <w:spacing w:after="0" w:line="296" w:lineRule="exact"/>
        <w:rPr>
          <w:sz w:val="24"/>
          <w:szCs w:val="24"/>
          <w:color w:val="auto"/>
        </w:rPr>
      </w:pPr>
    </w:p>
    <w:p>
      <w:pPr>
        <w:ind w:left="226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6"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(Amendment No. )*</w:t>
      </w:r>
    </w:p>
    <w:p>
      <w:pPr>
        <w:spacing w:after="0" w:line="336" w:lineRule="exact"/>
        <w:rPr>
          <w:sz w:val="24"/>
          <w:szCs w:val="24"/>
          <w:color w:val="auto"/>
        </w:rPr>
      </w:pPr>
    </w:p>
    <w:p>
      <w:pPr>
        <w:ind w:left="3300"/>
        <w:spacing w:after="0"/>
        <w:rPr>
          <w:sz w:val="20"/>
          <w:szCs w:val="20"/>
          <w:color w:val="auto"/>
        </w:rPr>
      </w:pPr>
      <w:r>
        <w:rPr>
          <w:rFonts w:ascii="Courier New" w:cs="Courier New" w:eastAsia="Courier New" w:hAnsi="Courier New"/>
          <w:sz w:val="18"/>
          <w:szCs w:val="18"/>
          <w:color w:val="auto"/>
        </w:rPr>
        <w:t>FLUIDIGM CORPORATION</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58" w:lineRule="exact"/>
        <w:rPr>
          <w:sz w:val="24"/>
          <w:szCs w:val="24"/>
          <w:color w:val="auto"/>
        </w:rPr>
      </w:pPr>
    </w:p>
    <w:p>
      <w:pPr>
        <w:ind w:left="230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12" w:lineRule="exact"/>
        <w:rPr>
          <w:sz w:val="24"/>
          <w:szCs w:val="24"/>
          <w:color w:val="auto"/>
        </w:rPr>
      </w:pPr>
    </w:p>
    <w:p>
      <w:pPr>
        <w:ind w:left="2800"/>
        <w:spacing w:after="0"/>
        <w:rPr>
          <w:sz w:val="20"/>
          <w:szCs w:val="20"/>
          <w:color w:val="auto"/>
        </w:rPr>
      </w:pPr>
      <w:r>
        <w:rPr>
          <w:rFonts w:ascii="Courier New" w:cs="Courier New" w:eastAsia="Courier New" w:hAnsi="Courier New"/>
          <w:sz w:val="18"/>
          <w:szCs w:val="18"/>
          <w:color w:val="auto"/>
        </w:rPr>
        <w:t>(Title of Class of Securities)</w:t>
      </w:r>
    </w:p>
    <w:p>
      <w:pPr>
        <w:spacing w:after="0" w:line="323" w:lineRule="exact"/>
        <w:rPr>
          <w:sz w:val="24"/>
          <w:szCs w:val="24"/>
          <w:color w:val="auto"/>
        </w:rPr>
      </w:pPr>
    </w:p>
    <w:p>
      <w:pPr>
        <w:ind w:left="3860"/>
        <w:spacing w:after="0"/>
        <w:rPr>
          <w:sz w:val="20"/>
          <w:szCs w:val="20"/>
          <w:color w:val="auto"/>
        </w:rPr>
      </w:pPr>
      <w:r>
        <w:rPr>
          <w:rFonts w:ascii="Courier New" w:cs="Courier New" w:eastAsia="Courier New" w:hAnsi="Courier New"/>
          <w:sz w:val="18"/>
          <w:szCs w:val="18"/>
          <w:color w:val="auto"/>
        </w:rPr>
        <w:t>34385P108</w:t>
      </w:r>
    </w:p>
    <w:p>
      <w:pPr>
        <w:spacing w:after="0" w:line="26" w:lineRule="exact"/>
        <w:rPr>
          <w:sz w:val="24"/>
          <w:szCs w:val="24"/>
          <w:color w:val="auto"/>
        </w:rPr>
      </w:pPr>
    </w:p>
    <w:p>
      <w:pPr>
        <w:ind w:left="3600"/>
        <w:spacing w:after="0"/>
        <w:rPr>
          <w:sz w:val="20"/>
          <w:szCs w:val="20"/>
          <w:color w:val="auto"/>
        </w:rPr>
      </w:pPr>
      <w:r>
        <w:rPr>
          <w:rFonts w:ascii="Courier New" w:cs="Courier New" w:eastAsia="Courier New" w:hAnsi="Courier New"/>
          <w:sz w:val="18"/>
          <w:szCs w:val="18"/>
          <w:color w:val="auto"/>
        </w:rPr>
        <w:t>(CUSIP Number)</w:t>
      </w:r>
    </w:p>
    <w:p>
      <w:pPr>
        <w:spacing w:after="0" w:line="390" w:lineRule="exact"/>
        <w:rPr>
          <w:sz w:val="24"/>
          <w:szCs w:val="24"/>
          <w:color w:val="auto"/>
        </w:rPr>
      </w:pPr>
    </w:p>
    <w:p>
      <w:pPr>
        <w:ind w:left="3460"/>
        <w:spacing w:after="0"/>
        <w:rPr>
          <w:sz w:val="20"/>
          <w:szCs w:val="20"/>
          <w:color w:val="auto"/>
        </w:rPr>
      </w:pPr>
      <w:r>
        <w:rPr>
          <w:rFonts w:ascii="Courier New" w:cs="Courier New" w:eastAsia="Courier New" w:hAnsi="Courier New"/>
          <w:sz w:val="18"/>
          <w:szCs w:val="18"/>
          <w:color w:val="auto"/>
        </w:rPr>
        <w:t>December 31, 2014</w:t>
      </w:r>
    </w:p>
    <w:p>
      <w:pPr>
        <w:spacing w:after="0" w:line="107" w:lineRule="exact"/>
        <w:rPr>
          <w:sz w:val="24"/>
          <w:szCs w:val="24"/>
          <w:color w:val="auto"/>
        </w:rPr>
      </w:pPr>
    </w:p>
    <w:p>
      <w:pPr>
        <w:ind w:left="15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5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311" w:lineRule="exact"/>
        <w:rPr>
          <w:sz w:val="24"/>
          <w:szCs w:val="24"/>
          <w:color w:val="auto"/>
        </w:rPr>
      </w:pPr>
    </w:p>
    <w:p>
      <w:pPr>
        <w:jc w:val="both"/>
        <w:ind w:right="8179" w:firstLine="8"/>
        <w:spacing w:after="0" w:line="221" w:lineRule="exact"/>
        <w:tabs>
          <w:tab w:leader="none" w:pos="4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164" w:lineRule="exact"/>
        <w:rPr>
          <w:sz w:val="24"/>
          <w:szCs w:val="24"/>
          <w:color w:val="auto"/>
        </w:rPr>
      </w:pPr>
    </w:p>
    <w:p>
      <w:pPr>
        <w:ind w:right="399"/>
        <w:spacing w:after="0" w:line="26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9" w:lineRule="exact"/>
        <w:rPr>
          <w:sz w:val="24"/>
          <w:szCs w:val="24"/>
          <w:color w:val="auto"/>
        </w:rPr>
      </w:pPr>
    </w:p>
    <w:p>
      <w:pPr>
        <w:jc w:val="both"/>
        <w:ind w:right="619"/>
        <w:spacing w:after="0" w:line="26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-123190</wp:posOffset>
            </wp:positionH>
            <wp:positionV relativeFrom="paragraph">
              <wp:posOffset>292735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019"/>
          </w:cols>
          <w:pgMar w:left="440" w:top="744" w:right="1440" w:bottom="1440" w:gutter="0" w:footer="0" w:header="0"/>
        </w:sectPr>
      </w:pPr>
    </w:p>
    <w:bookmarkStart w:id="1" w:name="page2"/>
    <w:bookmarkEnd w:id="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2 of 14</w:t>
      </w:r>
    </w:p>
    <w:p>
      <w:pPr>
        <w:sectPr>
          <w:pgSz w:w="11900" w:h="16838" w:orient="portrait"/>
          <w:cols w:equalWidth="0" w:num="1">
            <w:col w:w="9919"/>
          </w:cols>
          <w:pgMar w:left="540" w:top="676" w:right="1440" w:bottom="1440" w:gutter="0" w:footer="0" w:header="0"/>
        </w:sectPr>
      </w:pPr>
    </w:p>
    <w:p>
      <w:pPr>
        <w:spacing w:after="0" w:line="379" w:lineRule="exact"/>
        <w:rPr>
          <w:sz w:val="20"/>
          <w:szCs w:val="20"/>
          <w:color w:val="auto"/>
        </w:rPr>
      </w:pPr>
    </w:p>
    <w:p>
      <w:pPr>
        <w:ind w:left="800" w:right="6139" w:hanging="592"/>
        <w:spacing w:after="0" w:line="379" w:lineRule="auto"/>
        <w:tabs>
          <w:tab w:leader="none" w:pos="8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Resources,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30" w:lineRule="exact"/>
        <w:rPr>
          <w:sz w:val="20"/>
          <w:szCs w:val="20"/>
          <w:color w:val="auto"/>
        </w:rPr>
      </w:pPr>
    </w:p>
    <w:p>
      <w:pPr>
        <w:ind w:left="800" w:right="72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4" w:lineRule="exact"/>
        <w:rPr>
          <w:rFonts w:ascii="Courier New" w:cs="Courier New" w:eastAsia="Courier New" w:hAnsi="Courier New"/>
          <w:sz w:val="18"/>
          <w:szCs w:val="18"/>
          <w:color w:val="auto"/>
        </w:rPr>
      </w:pPr>
    </w:p>
    <w:p>
      <w:pPr>
        <w:ind w:left="800" w:right="701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4"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4" w:lineRule="exact"/>
        <w:rPr>
          <w:rFonts w:ascii="Courier New" w:cs="Courier New" w:eastAsia="Courier New" w:hAnsi="Courier New"/>
          <w:sz w:val="18"/>
          <w:szCs w:val="18"/>
          <w:color w:val="auto"/>
        </w:rPr>
      </w:pPr>
    </w:p>
    <w:p>
      <w:pPr>
        <w:ind w:left="800" w:right="6479" w:hanging="592"/>
        <w:spacing w:after="0" w:line="395"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4"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AMOUNT BENEFICIALLY OWNED BY EACH REPORTING PERSON</w:t>
      </w:r>
    </w:p>
    <w:p>
      <w:pPr>
        <w:spacing w:after="0" w:line="118" w:lineRule="exact"/>
        <w:rPr>
          <w:sz w:val="20"/>
          <w:szCs w:val="20"/>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2,308,761 </w:t>
      </w:r>
      <w:hyperlink w:anchor="page14">
        <w:r>
          <w:rPr>
            <w:rFonts w:ascii="Courier New" w:cs="Courier New" w:eastAsia="Courier New" w:hAnsi="Courier New"/>
            <w:sz w:val="36"/>
            <w:szCs w:val="36"/>
            <w:u w:val="single" w:color="auto"/>
            <w:color w:val="0000EE"/>
            <w:vertAlign w:val="superscript"/>
          </w:rPr>
          <w:t>[1]</w:t>
        </w:r>
      </w:hyperlink>
    </w:p>
    <w:p>
      <w:pPr>
        <w:spacing w:after="0" w:line="65" w:lineRule="exact"/>
        <w:rPr>
          <w:sz w:val="20"/>
          <w:szCs w:val="20"/>
          <w:color w:val="auto"/>
        </w:rPr>
      </w:pPr>
    </w:p>
    <w:p>
      <w:pPr>
        <w:ind w:left="800" w:right="3779" w:hanging="592"/>
        <w:spacing w:after="0" w:line="267"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13" w:lineRule="exact"/>
        <w:rPr>
          <w:rFonts w:ascii="Courier New" w:cs="Courier New" w:eastAsia="Courier New" w:hAnsi="Courier New"/>
          <w:sz w:val="18"/>
          <w:szCs w:val="18"/>
          <w:color w:val="auto"/>
        </w:rPr>
      </w:pPr>
    </w:p>
    <w:p>
      <w:pPr>
        <w:ind w:left="800" w:right="3779" w:hanging="592"/>
        <w:spacing w:after="0" w:line="379" w:lineRule="auto"/>
        <w:tabs>
          <w:tab w:leader="none" w:pos="8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676" w:right="1440" w:bottom="1440" w:gutter="0" w:footer="0" w:header="0"/>
          <w:type w:val="continuous"/>
        </w:sectPr>
      </w:pPr>
    </w:p>
    <w:bookmarkStart w:id="2" w:name="page3"/>
    <w:bookmarkEnd w:id="2"/>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3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Charles B. Johnson</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2,308,761</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3" w:name="page4"/>
    <w:bookmarkEnd w:id="3"/>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4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95" w:lineRule="auto"/>
        <w:tabs>
          <w:tab w:leader="none" w:pos="84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Rupert H. Johnson, Jr.</w:t>
      </w:r>
    </w:p>
    <w:p>
      <w:pPr>
        <w:spacing w:after="0" w:line="2"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95" w:lineRule="auto"/>
        <w:tabs>
          <w:tab w:leader="none" w:pos="8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1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17"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7" w:lineRule="exact"/>
        <w:rPr>
          <w:rFonts w:ascii="Courier New" w:cs="Courier New" w:eastAsia="Courier New" w:hAnsi="Courier New"/>
          <w:sz w:val="18"/>
          <w:szCs w:val="18"/>
          <w:color w:val="auto"/>
        </w:rPr>
      </w:pPr>
    </w:p>
    <w:p>
      <w:pPr>
        <w:ind w:left="800" w:right="66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7"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2,308,761</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8.1%</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HC, 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4" w:name="page5"/>
    <w:bookmarkEnd w:id="4"/>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5 of 14</w:t>
      </w:r>
    </w:p>
    <w:p>
      <w:pPr>
        <w:sectPr>
          <w:pgSz w:w="11900" w:h="16838" w:orient="portrait"/>
          <w:cols w:equalWidth="0" w:num="1">
            <w:col w:w="9919"/>
          </w:cols>
          <w:pgMar w:left="540" w:top="906" w:right="1440" w:bottom="1440" w:gutter="0" w:footer="0" w:header="0"/>
        </w:sectPr>
      </w:pPr>
    </w:p>
    <w:p>
      <w:pPr>
        <w:spacing w:after="0" w:line="365" w:lineRule="exact"/>
        <w:rPr>
          <w:sz w:val="20"/>
          <w:szCs w:val="20"/>
          <w:color w:val="auto"/>
        </w:rPr>
      </w:pPr>
    </w:p>
    <w:p>
      <w:pPr>
        <w:ind w:left="800" w:right="6139" w:hanging="592"/>
        <w:spacing w:after="0" w:line="379" w:lineRule="auto"/>
        <w:tabs>
          <w:tab w:leader="none" w:pos="8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Franklin Advisers, Inc.</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(a)</w:t>
      </w:r>
    </w:p>
    <w:p>
      <w:pPr>
        <w:spacing w:after="0" w:line="26" w:lineRule="exact"/>
        <w:rPr>
          <w:sz w:val="20"/>
          <w:szCs w:val="20"/>
          <w:color w:val="auto"/>
        </w:rPr>
      </w:pPr>
    </w:p>
    <w:p>
      <w:pPr>
        <w:ind w:left="1240" w:hanging="432"/>
        <w:spacing w:after="0"/>
        <w:tabs>
          <w:tab w:leader="none" w:pos="124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43" w:lineRule="exact"/>
        <w:rPr>
          <w:rFonts w:ascii="Courier New" w:cs="Courier New" w:eastAsia="Courier New" w:hAnsi="Courier New"/>
          <w:sz w:val="18"/>
          <w:szCs w:val="18"/>
          <w:color w:val="auto"/>
        </w:rPr>
      </w:pPr>
    </w:p>
    <w:p>
      <w:pPr>
        <w:ind w:left="800" w:right="5179" w:hanging="592"/>
        <w:spacing w:after="0" w:line="379" w:lineRule="auto"/>
        <w:tabs>
          <w:tab w:leader="none" w:pos="84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California</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44" w:lineRule="exact"/>
        <w:rPr>
          <w:sz w:val="20"/>
          <w:szCs w:val="20"/>
          <w:color w:val="auto"/>
        </w:rPr>
      </w:pPr>
    </w:p>
    <w:p>
      <w:pPr>
        <w:ind w:left="800" w:right="721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2,198,394</w:t>
      </w:r>
    </w:p>
    <w:p>
      <w:pPr>
        <w:spacing w:after="0" w:line="4" w:lineRule="exact"/>
        <w:rPr>
          <w:rFonts w:ascii="Courier New" w:cs="Courier New" w:eastAsia="Courier New" w:hAnsi="Courier New"/>
          <w:sz w:val="18"/>
          <w:szCs w:val="18"/>
          <w:color w:val="auto"/>
        </w:rPr>
      </w:pPr>
    </w:p>
    <w:p>
      <w:pPr>
        <w:ind w:left="800" w:right="701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17" w:lineRule="exact"/>
        <w:rPr>
          <w:rFonts w:ascii="Courier New" w:cs="Courier New" w:eastAsia="Courier New" w:hAnsi="Courier New"/>
          <w:sz w:val="18"/>
          <w:szCs w:val="18"/>
          <w:color w:val="auto"/>
        </w:rPr>
      </w:pPr>
    </w:p>
    <w:p>
      <w:pPr>
        <w:ind w:left="800" w:right="6679" w:hanging="592"/>
        <w:spacing w:after="0" w:line="395"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2,225,594</w:t>
      </w:r>
    </w:p>
    <w:p>
      <w:pPr>
        <w:spacing w:after="0" w:line="4" w:lineRule="exact"/>
        <w:rPr>
          <w:rFonts w:ascii="Courier New" w:cs="Courier New" w:eastAsia="Courier New" w:hAnsi="Courier New"/>
          <w:sz w:val="18"/>
          <w:szCs w:val="18"/>
          <w:color w:val="auto"/>
        </w:rPr>
      </w:pPr>
    </w:p>
    <w:p>
      <w:pPr>
        <w:ind w:left="800" w:right="64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7" w:lineRule="exact"/>
        <w:rPr>
          <w:rFonts w:ascii="Courier New" w:cs="Courier New" w:eastAsia="Courier New" w:hAnsi="Courier New"/>
          <w:sz w:val="18"/>
          <w:szCs w:val="18"/>
          <w:color w:val="auto"/>
        </w:rPr>
      </w:pPr>
    </w:p>
    <w:p>
      <w:pPr>
        <w:ind w:left="800" w:right="2579" w:hanging="592"/>
        <w:spacing w:after="0" w:line="379" w:lineRule="auto"/>
        <w:tabs>
          <w:tab w:leader="none" w:pos="8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2,225,594</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CERTAIN SHARES [ ]</w:t>
      </w:r>
    </w:p>
    <w:p>
      <w:pPr>
        <w:spacing w:after="0" w:line="136" w:lineRule="exact"/>
        <w:rPr>
          <w:sz w:val="20"/>
          <w:szCs w:val="20"/>
          <w:color w:val="auto"/>
        </w:rPr>
      </w:pPr>
    </w:p>
    <w:p>
      <w:pPr>
        <w:ind w:left="800" w:right="3779" w:hanging="592"/>
        <w:spacing w:after="0" w:line="379" w:lineRule="auto"/>
        <w:tabs>
          <w:tab w:leader="none" w:pos="8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7.8%</w:t>
      </w:r>
    </w:p>
    <w:p>
      <w:pPr>
        <w:spacing w:after="0" w:line="1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IA, CO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5" w:name="page6"/>
    <w:bookmarkEnd w:id="5"/>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14</w:t>
      </w:r>
    </w:p>
    <w:p>
      <w:pPr>
        <w:sectPr>
          <w:pgSz w:w="11900" w:h="16838" w:orient="portrait"/>
          <w:cols w:equalWidth="0" w:num="1">
            <w:col w:w="9919"/>
          </w:cols>
          <w:pgMar w:left="540" w:top="906" w:right="1440" w:bottom="1440" w:gutter="0" w:footer="0" w:header="0"/>
        </w:sectPr>
      </w:pP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1.</w:t>
      </w:r>
    </w:p>
    <w:p>
      <w:pPr>
        <w:spacing w:after="0" w:line="134" w:lineRule="exact"/>
        <w:rPr>
          <w:sz w:val="20"/>
          <w:szCs w:val="20"/>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0"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FLUIDIGM CORPORATION</w:t>
      </w:r>
    </w:p>
    <w:p>
      <w:pPr>
        <w:spacing w:after="0" w:line="133"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28"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7000 Shoreline Court, Suite 100</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South San Francisco, CA 94080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860" w:hanging="652"/>
        <w:spacing w:after="0"/>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53"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w:t>
        <w:tab/>
        <w:t>Franklin Resources, Inc.</w:t>
      </w:r>
    </w:p>
    <w:p>
      <w:pPr>
        <w:spacing w:after="0" w:line="201"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7"/>
          <w:szCs w:val="17"/>
          <w:color w:val="auto"/>
        </w:rPr>
        <w:t>Charles B. Johnson</w:t>
      </w:r>
    </w:p>
    <w:p>
      <w:pPr>
        <w:spacing w:after="0" w:line="1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(iii): Rupert H. Johnson, Jr.</w:t>
      </w:r>
    </w:p>
    <w:p>
      <w:pPr>
        <w:spacing w:after="0" w:line="107" w:lineRule="exact"/>
        <w:rPr>
          <w:sz w:val="20"/>
          <w:szCs w:val="20"/>
          <w:color w:val="auto"/>
        </w:rPr>
      </w:pPr>
    </w:p>
    <w:p>
      <w:pPr>
        <w:ind w:left="800"/>
        <w:spacing w:after="0"/>
        <w:tabs>
          <w:tab w:leader="none" w:pos="15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7"/>
          <w:szCs w:val="17"/>
          <w:color w:val="auto"/>
        </w:rPr>
        <w:t>Franklin Advisers, Inc.</w:t>
      </w:r>
    </w:p>
    <w:p>
      <w:pPr>
        <w:spacing w:after="0" w:line="338" w:lineRule="exact"/>
        <w:rPr>
          <w:sz w:val="20"/>
          <w:szCs w:val="20"/>
          <w:color w:val="auto"/>
        </w:rPr>
      </w:pPr>
    </w:p>
    <w:p>
      <w:pPr>
        <w:ind w:left="860" w:hanging="652"/>
        <w:spacing w:after="0"/>
        <w:tabs>
          <w:tab w:leader="none" w:pos="8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43"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(i), (ii), and (iii):</w:t>
      </w:r>
    </w:p>
    <w:p>
      <w:pPr>
        <w:spacing w:after="0" w:line="12"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One Franklin Parkway</w:t>
      </w:r>
    </w:p>
    <w:p>
      <w:pPr>
        <w:spacing w:after="0" w:line="7" w:lineRule="exact"/>
        <w:rPr>
          <w:sz w:val="20"/>
          <w:szCs w:val="20"/>
          <w:color w:val="auto"/>
        </w:rPr>
      </w:pPr>
    </w:p>
    <w:p>
      <w:pPr>
        <w:ind w:left="1400"/>
        <w:spacing w:after="0" w:line="209" w:lineRule="exact"/>
        <w:rPr>
          <w:sz w:val="20"/>
          <w:szCs w:val="20"/>
          <w:color w:val="auto"/>
        </w:rPr>
      </w:pPr>
      <w:r>
        <w:rPr>
          <w:rFonts w:ascii="Courier New" w:cs="Courier New" w:eastAsia="Courier New" w:hAnsi="Courier New"/>
          <w:sz w:val="18"/>
          <w:szCs w:val="18"/>
          <w:color w:val="auto"/>
        </w:rPr>
        <w:t>San Mateo, CA 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66"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(iv): One Franklin Parkway</w:t>
      </w:r>
    </w:p>
    <w:p>
      <w:pPr>
        <w:spacing w:after="0" w:line="48" w:lineRule="exact"/>
        <w:rPr>
          <w:sz w:val="20"/>
          <w:szCs w:val="20"/>
          <w:color w:val="auto"/>
        </w:rPr>
      </w:pPr>
    </w:p>
    <w:p>
      <w:pPr>
        <w:ind w:left="1400"/>
        <w:spacing w:after="0" w:line="209" w:lineRule="exact"/>
        <w:tabs>
          <w:tab w:leader="none" w:pos="3000" w:val="left"/>
        </w:tabs>
        <w:rPr>
          <w:sz w:val="20"/>
          <w:szCs w:val="20"/>
          <w:color w:val="auto"/>
        </w:rPr>
      </w:pPr>
      <w:r>
        <w:rPr>
          <w:rFonts w:ascii="Courier New" w:cs="Courier New" w:eastAsia="Courier New" w:hAnsi="Courier New"/>
          <w:sz w:val="18"/>
          <w:szCs w:val="18"/>
          <w:color w:val="auto"/>
        </w:rPr>
        <w:t>San Mateo, CA</w:t>
        <w:tab/>
        <w:t>94403</w:t>
      </w:r>
      <w:r>
        <w:rPr>
          <w:rFonts w:ascii="MS Gothic" w:cs="MS Gothic" w:eastAsia="MS Gothic" w:hAnsi="MS Gothic"/>
          <w:sz w:val="18"/>
          <w:szCs w:val="18"/>
          <w:color w:val="auto"/>
        </w:rPr>
        <w:t>‑</w:t>
      </w:r>
      <w:r>
        <w:rPr>
          <w:rFonts w:ascii="Courier New" w:cs="Courier New" w:eastAsia="Courier New" w:hAnsi="Courier New"/>
          <w:sz w:val="18"/>
          <w:szCs w:val="18"/>
          <w:color w:val="auto"/>
        </w:rPr>
        <w:t>1906</w:t>
      </w:r>
    </w:p>
    <w:p>
      <w:pPr>
        <w:spacing w:after="0" w:line="161" w:lineRule="exact"/>
        <w:rPr>
          <w:sz w:val="20"/>
          <w:szCs w:val="20"/>
          <w:color w:val="auto"/>
        </w:rPr>
      </w:pPr>
    </w:p>
    <w:p>
      <w:pPr>
        <w:ind w:left="860" w:hanging="6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147" w:lineRule="exact"/>
        <w:rPr>
          <w:sz w:val="20"/>
          <w:szCs w:val="20"/>
          <w:color w:val="auto"/>
        </w:rPr>
      </w:pPr>
    </w:p>
    <w:p>
      <w:pPr>
        <w:ind w:left="800"/>
        <w:spacing w:after="0"/>
        <w:tabs>
          <w:tab w:leader="none" w:pos="17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Delaware</w:t>
      </w:r>
    </w:p>
    <w:p>
      <w:pPr>
        <w:spacing w:after="0" w:line="134" w:lineRule="exact"/>
        <w:rPr>
          <w:sz w:val="20"/>
          <w:szCs w:val="20"/>
          <w:color w:val="auto"/>
        </w:rPr>
      </w:pPr>
    </w:p>
    <w:p>
      <w:pPr>
        <w:ind w:left="1340" w:hanging="532"/>
        <w:spacing w:after="0"/>
        <w:tabs>
          <w:tab w:leader="none" w:pos="13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66" w:lineRule="exact"/>
        <w:rPr>
          <w:rFonts w:ascii="Courier New" w:cs="Courier New" w:eastAsia="Courier New" w:hAnsi="Courier New"/>
          <w:sz w:val="18"/>
          <w:szCs w:val="18"/>
          <w:color w:val="auto"/>
        </w:rPr>
      </w:pPr>
    </w:p>
    <w:p>
      <w:pPr>
        <w:ind w:left="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 California</w:t>
      </w:r>
    </w:p>
    <w:p>
      <w:pPr>
        <w:spacing w:after="0" w:line="255" w:lineRule="exact"/>
        <w:rPr>
          <w:rFonts w:ascii="Courier New" w:cs="Courier New" w:eastAsia="Courier New" w:hAnsi="Courier New"/>
          <w:sz w:val="18"/>
          <w:szCs w:val="18"/>
          <w:color w:val="auto"/>
        </w:rPr>
      </w:pPr>
    </w:p>
    <w:p>
      <w:pPr>
        <w:ind w:left="860" w:hanging="6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120" w:lineRule="exact"/>
        <w:rPr>
          <w:sz w:val="20"/>
          <w:szCs w:val="20"/>
          <w:color w:val="auto"/>
        </w:rPr>
      </w:pPr>
    </w:p>
    <w:p>
      <w:pPr>
        <w:ind w:left="46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200" w:lineRule="exact"/>
        <w:rPr>
          <w:sz w:val="20"/>
          <w:szCs w:val="20"/>
          <w:color w:val="auto"/>
        </w:rPr>
      </w:pPr>
    </w:p>
    <w:p>
      <w:pPr>
        <w:spacing w:after="0" w:line="219" w:lineRule="exact"/>
        <w:rPr>
          <w:sz w:val="20"/>
          <w:szCs w:val="20"/>
          <w:color w:val="auto"/>
        </w:rPr>
      </w:pPr>
    </w:p>
    <w:p>
      <w:pPr>
        <w:ind w:left="800" w:right="7759" w:hanging="592"/>
        <w:spacing w:after="0" w:line="379" w:lineRule="auto"/>
        <w:tabs>
          <w:tab w:leader="none" w:pos="8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215900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6" w:name="page7"/>
    <w:bookmarkEnd w:id="6"/>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14</w:t>
      </w:r>
    </w:p>
    <w:p>
      <w:pPr>
        <w:sectPr>
          <w:pgSz w:w="11900" w:h="16838" w:orient="portrait"/>
          <w:cols w:equalWidth="0" w:num="1">
            <w:col w:w="9919"/>
          </w:cols>
          <w:pgMar w:left="540" w:top="933" w:right="1440" w:bottom="1440" w:gutter="0" w:footer="0" w:header="0"/>
        </w:sectPr>
      </w:pPr>
    </w:p>
    <w:p>
      <w:pPr>
        <w:spacing w:after="0" w:line="379" w:lineRule="exact"/>
        <w:rPr>
          <w:sz w:val="20"/>
          <w:szCs w:val="20"/>
          <w:color w:val="auto"/>
        </w:rPr>
      </w:pPr>
    </w:p>
    <w:p>
      <w:pPr>
        <w:ind w:left="900" w:right="639" w:hanging="799"/>
        <w:spacing w:after="0" w:line="21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27" w:lineRule="exact"/>
        <w:rPr>
          <w:sz w:val="20"/>
          <w:szCs w:val="20"/>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5" w:lineRule="exact"/>
        <w:rPr>
          <w:rFonts w:ascii="Courier New" w:cs="Courier New" w:eastAsia="Courier New" w:hAnsi="Courier New"/>
          <w:sz w:val="18"/>
          <w:szCs w:val="18"/>
          <w:color w:val="auto"/>
        </w:rPr>
      </w:pPr>
    </w:p>
    <w:p>
      <w:pPr>
        <w:ind w:left="1600" w:right="679" w:hanging="792"/>
        <w:spacing w:after="0" w:line="267" w:lineRule="auto"/>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13" w:lineRule="exact"/>
        <w:rPr>
          <w:rFonts w:ascii="Courier New" w:cs="Courier New" w:eastAsia="Courier New" w:hAnsi="Courier New"/>
          <w:sz w:val="18"/>
          <w:szCs w:val="18"/>
          <w:color w:val="auto"/>
        </w:rPr>
      </w:pPr>
    </w:p>
    <w:p>
      <w:pPr>
        <w:ind w:left="1600" w:right="579" w:hanging="792"/>
        <w:spacing w:after="0" w:line="215" w:lineRule="exact"/>
        <w:tabs>
          <w:tab w:leader="none" w:pos="123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130"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21" w:lineRule="exact"/>
        <w:rPr>
          <w:sz w:val="20"/>
          <w:szCs w:val="20"/>
          <w:color w:val="auto"/>
        </w:rPr>
      </w:pPr>
    </w:p>
    <w:p>
      <w:pPr>
        <w:ind w:left="16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136" w:lineRule="exact"/>
        <w:rPr>
          <w:sz w:val="20"/>
          <w:szCs w:val="20"/>
          <w:color w:val="auto"/>
        </w:rPr>
      </w:pPr>
    </w:p>
    <w:p>
      <w:pPr>
        <w:ind w:left="1600" w:right="1659" w:hanging="792"/>
        <w:spacing w:after="0" w:line="215"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137" w:lineRule="exact"/>
        <w:rPr>
          <w:rFonts w:ascii="Courier New" w:cs="Courier New" w:eastAsia="Courier New" w:hAnsi="Courier New"/>
          <w:sz w:val="18"/>
          <w:szCs w:val="18"/>
          <w:color w:val="auto"/>
        </w:rPr>
      </w:pPr>
    </w:p>
    <w:p>
      <w:pPr>
        <w:ind w:left="1600" w:right="479" w:hanging="792"/>
        <w:spacing w:after="0" w:line="267" w:lineRule="auto"/>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13" w:lineRule="exact"/>
        <w:rPr>
          <w:rFonts w:ascii="Courier New" w:cs="Courier New" w:eastAsia="Courier New" w:hAnsi="Courier New"/>
          <w:sz w:val="18"/>
          <w:szCs w:val="18"/>
          <w:color w:val="auto"/>
        </w:rPr>
      </w:pPr>
    </w:p>
    <w:p>
      <w:pPr>
        <w:ind w:left="1600" w:right="539" w:hanging="792"/>
        <w:spacing w:after="0" w:line="221" w:lineRule="exact"/>
        <w:tabs>
          <w:tab w:leader="none" w:pos="1232"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129" w:lineRule="exact"/>
        <w:rPr>
          <w:rFonts w:ascii="Courier New" w:cs="Courier New" w:eastAsia="Courier New" w:hAnsi="Courier New"/>
          <w:sz w:val="18"/>
          <w:szCs w:val="18"/>
          <w:color w:val="auto"/>
        </w:rPr>
      </w:pPr>
    </w:p>
    <w:p>
      <w:pPr>
        <w:ind w:left="1240" w:hanging="432"/>
        <w:spacing w:after="0" w:line="209" w:lineRule="exact"/>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133" w:lineRule="exact"/>
        <w:rPr>
          <w:rFonts w:ascii="Courier New" w:cs="Courier New" w:eastAsia="Courier New" w:hAnsi="Courier New"/>
          <w:sz w:val="18"/>
          <w:szCs w:val="18"/>
          <w:color w:val="auto"/>
        </w:rPr>
      </w:pPr>
    </w:p>
    <w:p>
      <w:pPr>
        <w:ind w:left="1240" w:hanging="432"/>
        <w:spacing w:after="0"/>
        <w:tabs>
          <w:tab w:leader="none" w:pos="12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 1(b)(1)(ii)(K).</w:t>
      </w:r>
    </w:p>
    <w:p>
      <w:pPr>
        <w:spacing w:after="0" w:line="129" w:lineRule="exact"/>
        <w:rPr>
          <w:sz w:val="20"/>
          <w:szCs w:val="20"/>
          <w:color w:val="auto"/>
        </w:rPr>
      </w:pPr>
    </w:p>
    <w:p>
      <w:pPr>
        <w:ind w:left="80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 (J).</w:t>
      </w:r>
    </w:p>
    <w:p>
      <w:pPr>
        <w:spacing w:after="0" w:line="26"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please specify the type of institution:</w:t>
      </w:r>
    </w:p>
    <w:p>
      <w:pPr>
        <w:spacing w:after="0" w:line="161"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4.</w:t>
        <w:tab/>
        <w:t>Ownership</w:t>
      </w:r>
    </w:p>
    <w:p>
      <w:pPr>
        <w:spacing w:after="0" w:line="149" w:lineRule="exact"/>
        <w:rPr>
          <w:sz w:val="20"/>
          <w:szCs w:val="20"/>
          <w:color w:val="auto"/>
        </w:rPr>
      </w:pPr>
    </w:p>
    <w:p>
      <w:pPr>
        <w:ind w:left="200" w:right="419"/>
        <w:spacing w:after="0" w:line="228"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 xml:space="preserve"> or closed</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investment managers that are direct and indirect subsidiaries (each, an “Investment Management Subsidiary” and, collectively, the “Investment Management Subsidiaries”) of Franklin Resources Inc. (“FRI”), including the Investment Management Subsidiaries listed in this Item 4.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an Investment Management Subsidiary investment discretion or voting power over the securities held in the investment advisory accounts that are subject to that agreement, FRI treats the Investment Management Subsidiary as having sole investment discretion or voting authority, as the case may be, unless the agreement specifies otherwise. Accordingly, each Investment Management Subsidiary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Investment Management Subsidiaries listed in this Item 4 may be deemed to be the beneficial owners of the securities reported in this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381635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type w:val="continuous"/>
        </w:sectPr>
      </w:pPr>
    </w:p>
    <w:bookmarkStart w:id="7" w:name="page8"/>
    <w:bookmarkEnd w:id="7"/>
    <w:p>
      <w:pPr>
        <w:ind w:left="300"/>
        <w:spacing w:after="0"/>
        <w:tabs>
          <w:tab w:leader="none" w:pos="5260" w:val="left"/>
          <w:tab w:leader="none" w:pos="86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8 of 14</w:t>
      </w:r>
    </w:p>
    <w:p>
      <w:pPr>
        <w:sectPr>
          <w:pgSz w:w="11900" w:h="16838" w:orient="portrait"/>
          <w:cols w:equalWidth="0" w:num="1">
            <w:col w:w="11440"/>
          </w:cols>
          <w:pgMar w:left="240" w:top="906" w:right="219" w:bottom="1440" w:gutter="0" w:footer="0" w:header="0"/>
        </w:sectPr>
      </w:pPr>
    </w:p>
    <w:p>
      <w:pPr>
        <w:spacing w:after="0" w:line="149" w:lineRule="exact"/>
        <w:rPr>
          <w:sz w:val="20"/>
          <w:szCs w:val="20"/>
          <w:color w:val="auto"/>
        </w:rPr>
      </w:pPr>
    </w:p>
    <w:p>
      <w:pPr>
        <w:ind w:left="500" w:right="1640"/>
        <w:spacing w:after="0" w:line="228" w:lineRule="exact"/>
        <w:rPr>
          <w:sz w:val="20"/>
          <w:szCs w:val="20"/>
          <w:color w:val="auto"/>
        </w:rPr>
      </w:pPr>
      <w:r>
        <w:rPr>
          <w:rFonts w:ascii="Courier New" w:cs="Courier New" w:eastAsia="Courier New" w:hAnsi="Courier New"/>
          <w:sz w:val="18"/>
          <w:szCs w:val="18"/>
          <w:color w:val="auto"/>
        </w:rPr>
        <w:t>Beneficial ownership by Investment Management Subsidiaries and other FRI affiliates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Franklin Mutual Advisers, LLC (“FMA”), an indirect wholly</w:t>
      </w:r>
      <w:r>
        <w:rPr>
          <w:rFonts w:ascii="MS Gothic" w:cs="MS Gothic" w:eastAsia="MS Gothic" w:hAnsi="MS Gothic"/>
          <w:sz w:val="18"/>
          <w:szCs w:val="18"/>
          <w:color w:val="auto"/>
        </w:rPr>
        <w:t>‑</w:t>
      </w:r>
      <w:r>
        <w:rPr>
          <w:rFonts w:ascii="Courier New" w:cs="Courier New" w:eastAsia="Courier New" w:hAnsi="Courier New"/>
          <w:sz w:val="18"/>
          <w:szCs w:val="18"/>
          <w:color w:val="auto"/>
        </w:rPr>
        <w:t>owned Investment Management Subsidiary, are exercised independently from FRI and from all other Investment Management Subsidiaries (FRI, its affiliates and the Investment Management Subsidiaries other than FMA are collectively, “FRI affiliates”). Furthermore, internal policies and procedures of FMA and FRI establish informational barriers that prevent the flow between FMA and the FRI affiliates of information that relates to the voting and investment powers over the securities owned by their respective management clients. Consequently, FMA and FRI affiliates report the securities over which they hold investment and voting power separately from each other for purposes of Section 13 of the Act.</w:t>
      </w:r>
    </w:p>
    <w:p>
      <w:pPr>
        <w:spacing w:after="0" w:line="152" w:lineRule="exact"/>
        <w:rPr>
          <w:sz w:val="20"/>
          <w:szCs w:val="20"/>
          <w:color w:val="auto"/>
        </w:rPr>
      </w:pPr>
    </w:p>
    <w:p>
      <w:pPr>
        <w:ind w:left="500" w:right="1640"/>
        <w:spacing w:after="0" w:line="229"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FRI and the Principal Shareholders may be deemed to be,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the beneficial owners of securities held by persons and entities for whom or for which FRI subsidiaries provide investment management services. The number of shares that may be deemed to be beneficially owned and the percentage of the class of which such shares are a part are reported in Items 9 and 11 of the cover pages for FRI and each of the Principal Shareholders. FRI, the Principal Shareholders and each of the Investment Management Subsidiaries disclaim any pecuniary interest in any of the such securities. In addition, the filing of this Schedule 13G on behalf of the Principal Shareholders, FRI and the FRI affiliates, as applicable, should not be construed as an admission that any of them is, and each of them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the securities reported in this Schedule 13G.</w:t>
      </w:r>
    </w:p>
    <w:p>
      <w:pPr>
        <w:spacing w:after="0" w:line="151" w:lineRule="exact"/>
        <w:rPr>
          <w:sz w:val="20"/>
          <w:szCs w:val="20"/>
          <w:color w:val="auto"/>
        </w:rPr>
      </w:pPr>
    </w:p>
    <w:p>
      <w:pPr>
        <w:ind w:left="500" w:right="1640"/>
        <w:spacing w:after="0" w:line="225" w:lineRule="exact"/>
        <w:rPr>
          <w:sz w:val="20"/>
          <w:szCs w:val="20"/>
          <w:color w:val="auto"/>
        </w:rPr>
      </w:pPr>
      <w:r>
        <w:rPr>
          <w:rFonts w:ascii="Courier New" w:cs="Courier New" w:eastAsia="Courier New" w:hAnsi="Courier New"/>
          <w:sz w:val="18"/>
          <w:szCs w:val="18"/>
          <w:color w:val="auto"/>
        </w:rPr>
        <w:t>FRI, the Principal Shareholders, and each of the Investment Management Subsidiaries believe that they are not a “group”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they are not otherwise required to attribute to each other the beneficial ownership of the securities held by any of them or by any persons or entities for whom or for which the Investment Management Subsidiaries provide investment management services.</w:t>
      </w:r>
    </w:p>
    <w:p>
      <w:pPr>
        <w:spacing w:after="0" w:line="140" w:lineRule="exact"/>
        <w:rPr>
          <w:sz w:val="20"/>
          <w:szCs w:val="20"/>
          <w:color w:val="auto"/>
        </w:rPr>
      </w:pPr>
    </w:p>
    <w:p>
      <w:pPr>
        <w:ind w:left="1700" w:right="6880" w:hanging="592"/>
        <w:spacing w:after="0" w:line="379" w:lineRule="auto"/>
        <w:tabs>
          <w:tab w:leader="none" w:pos="17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2,308,761</w:t>
      </w:r>
    </w:p>
    <w:p>
      <w:pPr>
        <w:spacing w:after="0" w:line="15" w:lineRule="exact"/>
        <w:rPr>
          <w:rFonts w:ascii="Courier New" w:cs="Courier New" w:eastAsia="Courier New" w:hAnsi="Courier New"/>
          <w:sz w:val="18"/>
          <w:szCs w:val="18"/>
          <w:color w:val="auto"/>
        </w:rPr>
      </w:pPr>
    </w:p>
    <w:p>
      <w:pPr>
        <w:ind w:left="1760" w:hanging="652"/>
        <w:spacing w:after="0"/>
        <w:tabs>
          <w:tab w:leader="none" w:pos="17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60" w:type="dxa"/>
            <w:vAlign w:val="bottom"/>
            <w:gridSpan w:val="2"/>
          </w:tcPr>
          <w:p>
            <w:pPr>
              <w:jc w:val="right"/>
              <w:ind w:right="4530"/>
              <w:spacing w:after="0"/>
              <w:rPr>
                <w:sz w:val="20"/>
                <w:szCs w:val="20"/>
                <w:color w:val="auto"/>
              </w:rPr>
            </w:pPr>
            <w:r>
              <w:rPr>
                <w:rFonts w:ascii="Courier New" w:cs="Courier New" w:eastAsia="Courier New" w:hAnsi="Courier New"/>
                <w:sz w:val="18"/>
                <w:szCs w:val="18"/>
                <w:color w:val="auto"/>
              </w:rPr>
              <w:t>8.1%</w:t>
            </w: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7900" w:type="dxa"/>
            <w:vAlign w:val="bottom"/>
            <w:gridSpan w:val="4"/>
          </w:tcPr>
          <w:p>
            <w:pPr>
              <w:jc w:val="right"/>
              <w:ind w:right="1310"/>
              <w:spacing w:after="0"/>
              <w:rPr>
                <w:sz w:val="20"/>
                <w:szCs w:val="20"/>
                <w:color w:val="auto"/>
              </w:rPr>
            </w:pPr>
            <w:r>
              <w:rPr>
                <w:rFonts w:ascii="Courier New" w:cs="Courier New" w:eastAsia="Courier New" w:hAnsi="Courier New"/>
                <w:sz w:val="18"/>
                <w:szCs w:val="18"/>
                <w:color w:val="auto"/>
              </w:rPr>
              <w:t>(c)   Number of shares as to which the person has:</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20" w:type="dxa"/>
            <w:vAlign w:val="bottom"/>
          </w:tcPr>
          <w:p>
            <w:pPr>
              <w:ind w:left="1500"/>
              <w:spacing w:after="0"/>
              <w:rPr>
                <w:sz w:val="20"/>
                <w:szCs w:val="20"/>
                <w:color w:val="auto"/>
              </w:rPr>
            </w:pPr>
            <w:r>
              <w:rPr>
                <w:rFonts w:ascii="Courier New" w:cs="Courier New" w:eastAsia="Courier New" w:hAnsi="Courier New"/>
                <w:sz w:val="18"/>
                <w:szCs w:val="18"/>
                <w:color w:val="auto"/>
              </w:rPr>
              <w:t>(i)</w:t>
            </w:r>
          </w:p>
        </w:tc>
        <w:tc>
          <w:tcPr>
            <w:tcW w:w="598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4"/>
                <w:szCs w:val="24"/>
                <w:color w:val="auto"/>
              </w:rPr>
            </w:pPr>
          </w:p>
        </w:tc>
        <w:tc>
          <w:tcPr>
            <w:tcW w:w="5980" w:type="dxa"/>
            <w:vAlign w:val="bottom"/>
            <w:gridSpan w:val="3"/>
          </w:tcPr>
          <w:p>
            <w:pPr>
              <w:ind w:left="80"/>
              <w:spacing w:after="0"/>
              <w:rPr>
                <w:sz w:val="20"/>
                <w:szCs w:val="20"/>
                <w:color w:val="auto"/>
              </w:rPr>
            </w:pPr>
            <w:r>
              <w:rPr>
                <w:rFonts w:ascii="Courier New" w:cs="Courier New" w:eastAsia="Courier New" w:hAnsi="Courier New"/>
                <w:sz w:val="18"/>
                <w:szCs w:val="18"/>
                <w:color w:val="auto"/>
              </w:rPr>
              <w:t>Franklin Resources, Inc.:</w:t>
            </w:r>
          </w:p>
        </w:tc>
        <w:tc>
          <w:tcPr>
            <w:tcW w:w="35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4"/>
                <w:szCs w:val="24"/>
                <w:color w:val="auto"/>
              </w:rPr>
            </w:pPr>
          </w:p>
        </w:tc>
        <w:tc>
          <w:tcPr>
            <w:tcW w:w="5980" w:type="dxa"/>
            <w:vAlign w:val="bottom"/>
            <w:gridSpan w:val="3"/>
          </w:tcPr>
          <w:p>
            <w:pPr>
              <w:ind w:left="80"/>
              <w:spacing w:after="0"/>
              <w:rPr>
                <w:sz w:val="20"/>
                <w:szCs w:val="20"/>
                <w:color w:val="auto"/>
              </w:rPr>
            </w:pPr>
            <w:r>
              <w:rPr>
                <w:rFonts w:ascii="Courier New" w:cs="Courier New" w:eastAsia="Courier New" w:hAnsi="Courier New"/>
                <w:sz w:val="18"/>
                <w:szCs w:val="18"/>
                <w:color w:val="auto"/>
              </w:rPr>
              <w:t>Charles B. Johnson:</w:t>
            </w:r>
          </w:p>
        </w:tc>
        <w:tc>
          <w:tcPr>
            <w:tcW w:w="35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4"/>
                <w:szCs w:val="24"/>
                <w:color w:val="auto"/>
              </w:rPr>
            </w:pPr>
          </w:p>
        </w:tc>
        <w:tc>
          <w:tcPr>
            <w:tcW w:w="5980" w:type="dxa"/>
            <w:vAlign w:val="bottom"/>
            <w:gridSpan w:val="3"/>
          </w:tcPr>
          <w:p>
            <w:pPr>
              <w:ind w:left="80"/>
              <w:spacing w:after="0"/>
              <w:rPr>
                <w:sz w:val="20"/>
                <w:szCs w:val="20"/>
                <w:color w:val="auto"/>
              </w:rPr>
            </w:pPr>
            <w:r>
              <w:rPr>
                <w:rFonts w:ascii="Courier New" w:cs="Courier New" w:eastAsia="Courier New" w:hAnsi="Courier New"/>
                <w:sz w:val="18"/>
                <w:szCs w:val="18"/>
                <w:color w:val="auto"/>
              </w:rPr>
              <w:t>Rupert H. Johnson, Jr.:</w:t>
            </w:r>
          </w:p>
        </w:tc>
        <w:tc>
          <w:tcPr>
            <w:tcW w:w="35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4"/>
                <w:szCs w:val="24"/>
                <w:color w:val="auto"/>
              </w:rPr>
            </w:pPr>
          </w:p>
        </w:tc>
        <w:tc>
          <w:tcPr>
            <w:tcW w:w="5980" w:type="dxa"/>
            <w:vAlign w:val="bottom"/>
            <w:gridSpan w:val="3"/>
          </w:tcPr>
          <w:p>
            <w:pPr>
              <w:ind w:left="80"/>
              <w:spacing w:after="0"/>
              <w:rPr>
                <w:sz w:val="20"/>
                <w:szCs w:val="20"/>
                <w:color w:val="auto"/>
              </w:rPr>
            </w:pPr>
            <w:r>
              <w:rPr>
                <w:rFonts w:ascii="Courier New" w:cs="Courier New" w:eastAsia="Courier New" w:hAnsi="Courier New"/>
                <w:sz w:val="18"/>
                <w:szCs w:val="18"/>
                <w:color w:val="auto"/>
              </w:rPr>
              <w:t>Franklin Advisers, Inc.:</w:t>
            </w:r>
          </w:p>
        </w:tc>
        <w:tc>
          <w:tcPr>
            <w:tcW w:w="35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2,198,394</w:t>
            </w:r>
          </w:p>
        </w:tc>
        <w:tc>
          <w:tcPr>
            <w:tcW w:w="0" w:type="dxa"/>
            <w:vAlign w:val="bottom"/>
          </w:tcPr>
          <w:p>
            <w:pPr>
              <w:spacing w:after="0"/>
              <w:rPr>
                <w:sz w:val="1"/>
                <w:szCs w:val="1"/>
                <w:color w:val="auto"/>
              </w:rPr>
            </w:pPr>
          </w:p>
        </w:tc>
      </w:tr>
      <w:tr>
        <w:trPr>
          <w:trHeight w:val="163"/>
        </w:trPr>
        <w:tc>
          <w:tcPr>
            <w:tcW w:w="1920" w:type="dxa"/>
            <w:vAlign w:val="bottom"/>
          </w:tcPr>
          <w:p>
            <w:pPr>
              <w:spacing w:after="0"/>
              <w:rPr>
                <w:sz w:val="14"/>
                <w:szCs w:val="14"/>
                <w:color w:val="auto"/>
              </w:rPr>
            </w:pPr>
          </w:p>
        </w:tc>
        <w:tc>
          <w:tcPr>
            <w:tcW w:w="4840" w:type="dxa"/>
            <w:vAlign w:val="bottom"/>
            <w:vMerge w:val="restart"/>
          </w:tcPr>
          <w:p>
            <w:pPr>
              <w:ind w:left="80"/>
              <w:spacing w:after="0"/>
              <w:rPr>
                <w:sz w:val="20"/>
                <w:szCs w:val="20"/>
                <w:color w:val="auto"/>
              </w:rPr>
            </w:pPr>
            <w:r>
              <w:rPr>
                <w:rFonts w:ascii="Courier New" w:cs="Courier New" w:eastAsia="Courier New" w:hAnsi="Courier New"/>
                <w:sz w:val="18"/>
                <w:szCs w:val="18"/>
                <w:color w:val="auto"/>
              </w:rPr>
              <w:t>Franklin Templeton Portfolio Advisors, Inc.</w:t>
            </w:r>
          </w:p>
        </w:tc>
        <w:tc>
          <w:tcPr>
            <w:tcW w:w="320" w:type="dxa"/>
            <w:vAlign w:val="bottom"/>
            <w:tcBorders>
              <w:bottom w:val="single" w:sz="8" w:color="0000EE"/>
            </w:tcBorders>
          </w:tcPr>
          <w:p>
            <w:pPr>
              <w:jc w:val="right"/>
              <w:spacing w:after="0" w:line="143" w:lineRule="exact"/>
              <w:rPr>
                <w:sz w:val="20"/>
                <w:szCs w:val="20"/>
                <w:color w:val="auto"/>
              </w:rPr>
            </w:pPr>
            <w:r>
              <w:rPr>
                <w:rFonts w:ascii="Courier New" w:cs="Courier New" w:eastAsia="Courier New" w:hAnsi="Courier New"/>
                <w:sz w:val="16"/>
                <w:szCs w:val="16"/>
                <w:color w:val="0000EE"/>
              </w:rPr>
              <w:t>[2]</w:t>
            </w:r>
          </w:p>
        </w:tc>
        <w:tc>
          <w:tcPr>
            <w:tcW w:w="820" w:type="dxa"/>
            <w:vAlign w:val="bottom"/>
            <w:vMerge w:val="restart"/>
          </w:tcPr>
          <w:p>
            <w:pPr>
              <w:jc w:val="right"/>
              <w:ind w:right="610"/>
              <w:spacing w:after="0"/>
              <w:rPr>
                <w:sz w:val="20"/>
                <w:szCs w:val="20"/>
                <w:color w:val="auto"/>
              </w:rPr>
            </w:pPr>
            <w:r>
              <w:rPr>
                <w:rFonts w:ascii="Courier New" w:cs="Courier New" w:eastAsia="Courier New" w:hAnsi="Courier New"/>
                <w:sz w:val="18"/>
                <w:szCs w:val="18"/>
                <w:color w:val="auto"/>
                <w:w w:val="92"/>
              </w:rPr>
              <w:t>:</w:t>
            </w:r>
          </w:p>
        </w:tc>
        <w:tc>
          <w:tcPr>
            <w:tcW w:w="3540" w:type="dxa"/>
            <w:vAlign w:val="bottom"/>
            <w:vMerge w:val="restart"/>
          </w:tcPr>
          <w:p>
            <w:pPr>
              <w:jc w:val="right"/>
              <w:ind w:right="1790"/>
              <w:spacing w:after="0"/>
              <w:rPr>
                <w:sz w:val="20"/>
                <w:szCs w:val="20"/>
                <w:color w:val="auto"/>
              </w:rPr>
            </w:pPr>
            <w:r>
              <w:rPr>
                <w:rFonts w:ascii="Courier New" w:cs="Courier New" w:eastAsia="Courier New" w:hAnsi="Courier New"/>
                <w:sz w:val="18"/>
                <w:szCs w:val="18"/>
                <w:color w:val="auto"/>
              </w:rPr>
              <w:t>69,767</w:t>
            </w:r>
          </w:p>
        </w:tc>
        <w:tc>
          <w:tcPr>
            <w:tcW w:w="0" w:type="dxa"/>
            <w:vAlign w:val="bottom"/>
          </w:tcPr>
          <w:p>
            <w:pPr>
              <w:spacing w:after="0"/>
              <w:rPr>
                <w:sz w:val="1"/>
                <w:szCs w:val="1"/>
                <w:color w:val="auto"/>
              </w:rPr>
            </w:pPr>
          </w:p>
        </w:tc>
      </w:tr>
      <w:tr>
        <w:trPr>
          <w:trHeight w:val="154"/>
        </w:trPr>
        <w:tc>
          <w:tcPr>
            <w:tcW w:w="1920" w:type="dxa"/>
            <w:vAlign w:val="bottom"/>
          </w:tcPr>
          <w:p>
            <w:pPr>
              <w:spacing w:after="0"/>
              <w:rPr>
                <w:sz w:val="13"/>
                <w:szCs w:val="13"/>
                <w:color w:val="auto"/>
              </w:rPr>
            </w:pPr>
          </w:p>
        </w:tc>
        <w:tc>
          <w:tcPr>
            <w:tcW w:w="484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3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1920" w:type="dxa"/>
            <w:vAlign w:val="bottom"/>
          </w:tcPr>
          <w:p>
            <w:pPr>
              <w:spacing w:after="0"/>
              <w:rPr>
                <w:sz w:val="24"/>
                <w:szCs w:val="24"/>
                <w:color w:val="auto"/>
              </w:rPr>
            </w:pPr>
          </w:p>
        </w:tc>
        <w:tc>
          <w:tcPr>
            <w:tcW w:w="5980" w:type="dxa"/>
            <w:vAlign w:val="bottom"/>
            <w:gridSpan w:val="3"/>
          </w:tcPr>
          <w:p>
            <w:pPr>
              <w:ind w:left="80"/>
              <w:spacing w:after="0"/>
              <w:rPr>
                <w:sz w:val="20"/>
                <w:szCs w:val="20"/>
                <w:color w:val="auto"/>
              </w:rPr>
            </w:pPr>
            <w:r>
              <w:rPr>
                <w:rFonts w:ascii="Courier New" w:cs="Courier New" w:eastAsia="Courier New" w:hAnsi="Courier New"/>
                <w:sz w:val="18"/>
                <w:szCs w:val="18"/>
                <w:color w:val="auto"/>
              </w:rPr>
              <w:t>Fiduciary Trust Company International:</w:t>
            </w:r>
          </w:p>
        </w:tc>
        <w:tc>
          <w:tcPr>
            <w:tcW w:w="3540" w:type="dxa"/>
            <w:vAlign w:val="bottom"/>
          </w:tcPr>
          <w:p>
            <w:pPr>
              <w:jc w:val="right"/>
              <w:ind w:right="1790"/>
              <w:spacing w:after="0"/>
              <w:rPr>
                <w:sz w:val="20"/>
                <w:szCs w:val="20"/>
                <w:color w:val="auto"/>
              </w:rPr>
            </w:pPr>
            <w:r>
              <w:rPr>
                <w:rFonts w:ascii="Courier New" w:cs="Courier New" w:eastAsia="Courier New" w:hAnsi="Courier New"/>
                <w:sz w:val="18"/>
                <w:szCs w:val="18"/>
                <w:color w:val="auto"/>
              </w:rPr>
              <w:t>13,400</w:t>
            </w:r>
          </w:p>
        </w:tc>
        <w:tc>
          <w:tcPr>
            <w:tcW w:w="0" w:type="dxa"/>
            <w:vAlign w:val="bottom"/>
          </w:tcPr>
          <w:p>
            <w:pPr>
              <w:spacing w:after="0"/>
              <w:rPr>
                <w:sz w:val="1"/>
                <w:szCs w:val="1"/>
                <w:color w:val="auto"/>
              </w:rPr>
            </w:pPr>
          </w:p>
        </w:tc>
      </w:tr>
      <w:tr>
        <w:trPr>
          <w:trHeight w:val="324"/>
        </w:trPr>
        <w:tc>
          <w:tcPr>
            <w:tcW w:w="1920" w:type="dxa"/>
            <w:vAlign w:val="bottom"/>
          </w:tcPr>
          <w:p>
            <w:pPr>
              <w:ind w:left="1400"/>
              <w:spacing w:after="0"/>
              <w:rPr>
                <w:sz w:val="20"/>
                <w:szCs w:val="20"/>
                <w:color w:val="auto"/>
              </w:rPr>
            </w:pPr>
            <w:r>
              <w:rPr>
                <w:rFonts w:ascii="Courier New" w:cs="Courier New" w:eastAsia="Courier New" w:hAnsi="Courier New"/>
                <w:sz w:val="18"/>
                <w:szCs w:val="18"/>
                <w:color w:val="auto"/>
              </w:rPr>
              <w:t>(ii)</w:t>
            </w:r>
          </w:p>
        </w:tc>
        <w:tc>
          <w:tcPr>
            <w:tcW w:w="598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920" w:type="dxa"/>
            <w:vAlign w:val="bottom"/>
          </w:tcPr>
          <w:p>
            <w:pPr>
              <w:spacing w:after="0"/>
              <w:rPr>
                <w:sz w:val="24"/>
                <w:szCs w:val="24"/>
                <w:color w:val="auto"/>
              </w:rPr>
            </w:pPr>
          </w:p>
        </w:tc>
        <w:tc>
          <w:tcPr>
            <w:tcW w:w="4840" w:type="dxa"/>
            <w:vAlign w:val="bottom"/>
          </w:tcPr>
          <w:p>
            <w:pPr>
              <w:ind w:left="80"/>
              <w:spacing w:after="0"/>
              <w:rPr>
                <w:sz w:val="20"/>
                <w:szCs w:val="20"/>
                <w:color w:val="auto"/>
              </w:rPr>
            </w:pPr>
            <w:r>
              <w:rPr>
                <w:rFonts w:ascii="Courier New" w:cs="Courier New" w:eastAsia="Courier New" w:hAnsi="Courier New"/>
                <w:sz w:val="18"/>
                <w:szCs w:val="18"/>
                <w:color w:val="auto"/>
              </w:rPr>
              <w:t>0</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1920" w:type="dxa"/>
            <w:vAlign w:val="bottom"/>
            <w:tcBorders>
              <w:bottom w:val="single" w:sz="8" w:color="808080"/>
            </w:tcBorders>
          </w:tcPr>
          <w:p>
            <w:pPr>
              <w:spacing w:after="0"/>
              <w:rPr>
                <w:sz w:val="24"/>
                <w:szCs w:val="24"/>
                <w:color w:val="auto"/>
              </w:rPr>
            </w:pPr>
          </w:p>
        </w:tc>
        <w:tc>
          <w:tcPr>
            <w:tcW w:w="48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906" w:right="219" w:bottom="1440" w:gutter="0" w:footer="0" w:header="0"/>
          <w:type w:val="continuous"/>
        </w:sectPr>
      </w:pPr>
    </w:p>
    <w:bookmarkStart w:id="8" w:name="page9"/>
    <w:bookmarkEnd w:id="8"/>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9 of 14</w:t>
      </w:r>
    </w:p>
    <w:p>
      <w:pPr>
        <w:sectPr>
          <w:pgSz w:w="11900" w:h="16838" w:orient="portrait"/>
          <w:cols w:equalWidth="0" w:num="1">
            <w:col w:w="9919"/>
          </w:cols>
          <w:pgMar w:left="540" w:top="906" w:right="1440" w:bottom="1440" w:gutter="0" w:footer="0" w:header="0"/>
        </w:sectPr>
      </w:pPr>
    </w:p>
    <w:p>
      <w:pPr>
        <w:spacing w:after="0" w:line="255" w:lineRule="exact"/>
        <w:rPr>
          <w:sz w:val="20"/>
          <w:szCs w:val="20"/>
          <w:color w:val="auto"/>
        </w:rPr>
      </w:pPr>
    </w:p>
    <w:p>
      <w:pPr>
        <w:ind w:left="1760" w:hanging="752"/>
        <w:spacing w:after="0"/>
        <w:tabs>
          <w:tab w:leader="none" w:pos="17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34"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5680" w:type="dxa"/>
            <w:vAlign w:val="bottom"/>
          </w:tcPr>
          <w:p>
            <w:pPr>
              <w:spacing w:after="0"/>
              <w:rPr>
                <w:sz w:val="20"/>
                <w:szCs w:val="20"/>
                <w:color w:val="auto"/>
              </w:rPr>
            </w:pPr>
            <w:r>
              <w:rPr>
                <w:rFonts w:ascii="Courier New" w:cs="Courier New" w:eastAsia="Courier New" w:hAnsi="Courier New"/>
                <w:sz w:val="18"/>
                <w:szCs w:val="18"/>
                <w:color w:val="auto"/>
              </w:rPr>
              <w:t>Franklin Resources, Inc.:</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680" w:type="dxa"/>
            <w:vAlign w:val="bottom"/>
          </w:tcPr>
          <w:p>
            <w:pPr>
              <w:spacing w:after="0"/>
              <w:rPr>
                <w:sz w:val="20"/>
                <w:szCs w:val="20"/>
                <w:color w:val="auto"/>
              </w:rPr>
            </w:pPr>
            <w:r>
              <w:rPr>
                <w:rFonts w:ascii="Courier New" w:cs="Courier New" w:eastAsia="Courier New" w:hAnsi="Courier New"/>
                <w:sz w:val="18"/>
                <w:szCs w:val="18"/>
                <w:color w:val="auto"/>
              </w:rPr>
              <w:t>Charles B. Johnson:</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38"/>
        </w:trPr>
        <w:tc>
          <w:tcPr>
            <w:tcW w:w="5680" w:type="dxa"/>
            <w:vAlign w:val="bottom"/>
          </w:tcPr>
          <w:p>
            <w:pPr>
              <w:spacing w:after="0"/>
              <w:rPr>
                <w:sz w:val="20"/>
                <w:szCs w:val="20"/>
                <w:color w:val="auto"/>
              </w:rPr>
            </w:pPr>
            <w:r>
              <w:rPr>
                <w:rFonts w:ascii="Courier New" w:cs="Courier New" w:eastAsia="Courier New" w:hAnsi="Courier New"/>
                <w:sz w:val="18"/>
                <w:szCs w:val="18"/>
                <w:color w:val="auto"/>
              </w:rPr>
              <w:t>Rupert H. Johnson, Jr.:</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324"/>
        </w:trPr>
        <w:tc>
          <w:tcPr>
            <w:tcW w:w="5680" w:type="dxa"/>
            <w:vAlign w:val="bottom"/>
          </w:tcPr>
          <w:p>
            <w:pPr>
              <w:spacing w:after="0"/>
              <w:rPr>
                <w:sz w:val="20"/>
                <w:szCs w:val="20"/>
                <w:color w:val="auto"/>
              </w:rPr>
            </w:pPr>
            <w:r>
              <w:rPr>
                <w:rFonts w:ascii="Courier New" w:cs="Courier New" w:eastAsia="Courier New" w:hAnsi="Courier New"/>
                <w:sz w:val="18"/>
                <w:szCs w:val="18"/>
                <w:color w:val="auto"/>
              </w:rPr>
              <w:t>Franklin Advisers, Inc.:</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2,225,594</w:t>
            </w:r>
          </w:p>
        </w:tc>
      </w:tr>
      <w:tr>
        <w:trPr>
          <w:trHeight w:val="324"/>
        </w:trPr>
        <w:tc>
          <w:tcPr>
            <w:tcW w:w="5680" w:type="dxa"/>
            <w:vAlign w:val="bottom"/>
          </w:tcPr>
          <w:p>
            <w:pPr>
              <w:spacing w:after="0"/>
              <w:rPr>
                <w:sz w:val="20"/>
                <w:szCs w:val="20"/>
                <w:color w:val="auto"/>
              </w:rPr>
            </w:pPr>
            <w:r>
              <w:rPr>
                <w:rFonts w:ascii="Courier New" w:cs="Courier New" w:eastAsia="Courier New" w:hAnsi="Courier New"/>
                <w:sz w:val="18"/>
                <w:szCs w:val="18"/>
                <w:color w:val="auto"/>
              </w:rPr>
              <w:t>Franklin Templeton Portfolio Advisors, Inc.:</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69,767</w:t>
            </w:r>
          </w:p>
        </w:tc>
      </w:tr>
      <w:tr>
        <w:trPr>
          <w:trHeight w:val="324"/>
        </w:trPr>
        <w:tc>
          <w:tcPr>
            <w:tcW w:w="5680" w:type="dxa"/>
            <w:vAlign w:val="bottom"/>
          </w:tcPr>
          <w:p>
            <w:pPr>
              <w:spacing w:after="0"/>
              <w:rPr>
                <w:sz w:val="20"/>
                <w:szCs w:val="20"/>
                <w:color w:val="auto"/>
              </w:rPr>
            </w:pPr>
            <w:r>
              <w:rPr>
                <w:rFonts w:ascii="Courier New" w:cs="Courier New" w:eastAsia="Courier New" w:hAnsi="Courier New"/>
                <w:sz w:val="18"/>
                <w:szCs w:val="18"/>
                <w:color w:val="auto"/>
              </w:rPr>
              <w:t>Fiduciary Trust Company International:</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13,400</w:t>
            </w:r>
          </w:p>
        </w:tc>
      </w:tr>
    </w:tbl>
    <w:p>
      <w:pPr>
        <w:spacing w:after="0" w:line="176" w:lineRule="exact"/>
        <w:rPr>
          <w:sz w:val="20"/>
          <w:szCs w:val="20"/>
          <w:color w:val="auto"/>
        </w:rPr>
      </w:pPr>
    </w:p>
    <w:p>
      <w:pPr>
        <w:ind w:left="1700" w:right="2159" w:hanging="642"/>
        <w:spacing w:after="0" w:line="410" w:lineRule="auto"/>
        <w:tabs>
          <w:tab w:leader="none" w:pos="180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98"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5.</w:t>
        <w:tab/>
        <w:t>Ownership of Five Percent or Less of a Class</w:t>
      </w:r>
    </w:p>
    <w:p>
      <w:pPr>
        <w:spacing w:after="0" w:line="163" w:lineRule="exact"/>
        <w:rPr>
          <w:sz w:val="20"/>
          <w:szCs w:val="20"/>
          <w:color w:val="auto"/>
        </w:rPr>
      </w:pPr>
    </w:p>
    <w:p>
      <w:pPr>
        <w:ind w:left="1100" w:right="919"/>
        <w:spacing w:after="0" w:line="269"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09"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136" w:lineRule="exact"/>
        <w:rPr>
          <w:sz w:val="20"/>
          <w:szCs w:val="20"/>
          <w:color w:val="auto"/>
        </w:rPr>
      </w:pPr>
    </w:p>
    <w:p>
      <w:pPr>
        <w:ind w:left="1100" w:right="499"/>
        <w:spacing w:after="0" w:line="269" w:lineRule="auto"/>
        <w:rPr>
          <w:sz w:val="20"/>
          <w:szCs w:val="20"/>
          <w:color w:val="auto"/>
        </w:rPr>
      </w:pPr>
      <w:r>
        <w:rPr>
          <w:rFonts w:ascii="Courier New" w:cs="Courier New" w:eastAsia="Courier New" w:hAnsi="Courier New"/>
          <w:sz w:val="18"/>
          <w:szCs w:val="18"/>
          <w:color w:val="auto"/>
        </w:rPr>
        <w:t>The clients of the Investment Management Subsidiaries,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140" w:lineRule="exact"/>
        <w:rPr>
          <w:sz w:val="20"/>
          <w:szCs w:val="20"/>
          <w:color w:val="auto"/>
        </w:rPr>
      </w:pPr>
    </w:p>
    <w:p>
      <w:pPr>
        <w:ind w:left="1100" w:right="1179" w:hanging="899"/>
        <w:spacing w:after="0" w:line="283" w:lineRule="auto"/>
        <w:tabs>
          <w:tab w:leader="none" w:pos="108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See Attached Exhibit C</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200"/>
        <w:spacing w:after="0"/>
        <w:tabs>
          <w:tab w:leader="none" w:pos="11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7"/>
          <w:szCs w:val="17"/>
          <w:color w:val="auto"/>
        </w:rPr>
        <w:t>Notice of Dissolution of Group</w:t>
      </w:r>
    </w:p>
    <w:p>
      <w:pPr>
        <w:spacing w:after="0" w:line="242"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307975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9" w:name="page10"/>
    <w:bookmarkEnd w:id="9"/>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10 of 14</w:t>
      </w:r>
    </w:p>
    <w:p>
      <w:pPr>
        <w:sectPr>
          <w:pgSz w:w="11900" w:h="16838" w:orient="portrait"/>
          <w:cols w:equalWidth="0" w:num="1">
            <w:col w:w="9919"/>
          </w:cols>
          <w:pgMar w:left="540" w:top="919" w:right="1440" w:bottom="1440" w:gutter="0" w:footer="0" w:header="0"/>
        </w:sectPr>
      </w:pPr>
    </w:p>
    <w:p>
      <w:pPr>
        <w:spacing w:after="0" w:line="161" w:lineRule="exact"/>
        <w:rPr>
          <w:sz w:val="20"/>
          <w:szCs w:val="20"/>
          <w:color w:val="auto"/>
        </w:rPr>
      </w:pPr>
    </w:p>
    <w:p>
      <w:pPr>
        <w:ind w:left="200"/>
        <w:spacing w:after="0"/>
        <w:tabs>
          <w:tab w:leader="none" w:pos="1260" w:val="left"/>
        </w:tabs>
        <w:rPr>
          <w:sz w:val="20"/>
          <w:szCs w:val="20"/>
          <w:color w:val="auto"/>
        </w:rPr>
      </w:pPr>
      <w:r>
        <w:rPr>
          <w:rFonts w:ascii="Courier New" w:cs="Courier New" w:eastAsia="Courier New" w:hAnsi="Courier New"/>
          <w:sz w:val="18"/>
          <w:szCs w:val="18"/>
          <w:color w:val="auto"/>
        </w:rPr>
        <w:t>Item 10.</w:t>
        <w:tab/>
        <w:t>Certification</w:t>
      </w:r>
    </w:p>
    <w:p>
      <w:pPr>
        <w:spacing w:after="0" w:line="136" w:lineRule="exact"/>
        <w:rPr>
          <w:sz w:val="20"/>
          <w:szCs w:val="20"/>
          <w:color w:val="auto"/>
        </w:rPr>
      </w:pPr>
    </w:p>
    <w:p>
      <w:pPr>
        <w:ind w:left="200" w:right="539"/>
        <w:spacing w:after="0" w:line="269"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30"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32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Exhibits.</w:t>
      </w:r>
    </w:p>
    <w:p>
      <w:pPr>
        <w:spacing w:after="0" w:line="26"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Exhibit A Joint Filing Agreement</w:t>
      </w:r>
    </w:p>
    <w:p>
      <w:pPr>
        <w:spacing w:after="0" w:line="28" w:lineRule="exact"/>
        <w:rPr>
          <w:sz w:val="20"/>
          <w:szCs w:val="20"/>
          <w:color w:val="auto"/>
        </w:rPr>
      </w:pPr>
    </w:p>
    <w:p>
      <w:pPr>
        <w:ind w:left="1100" w:right="919"/>
        <w:spacing w:after="0" w:line="267" w:lineRule="auto"/>
        <w:rPr>
          <w:sz w:val="20"/>
          <w:szCs w:val="20"/>
          <w:color w:val="auto"/>
        </w:rPr>
      </w:pPr>
      <w:r>
        <w:rPr>
          <w:rFonts w:ascii="Courier New" w:cs="Courier New" w:eastAsia="Courier New" w:hAnsi="Courier New"/>
          <w:sz w:val="18"/>
          <w:szCs w:val="18"/>
          <w:color w:val="auto"/>
        </w:rPr>
        <w:t>Exhibit B Limited Powers of Attorney for Section 13 Reporting Obligations Exhibit C Item 7 Identification and Classification of Subsidiaries</w:t>
      </w:r>
    </w:p>
    <w:p>
      <w:pPr>
        <w:spacing w:after="0" w:line="2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136" w:lineRule="exact"/>
        <w:rPr>
          <w:sz w:val="20"/>
          <w:szCs w:val="20"/>
          <w:color w:val="auto"/>
        </w:rPr>
      </w:pPr>
    </w:p>
    <w:p>
      <w:pPr>
        <w:ind w:left="200" w:right="739"/>
        <w:spacing w:after="0" w:line="26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36" w:lineRule="exact"/>
        <w:rPr>
          <w:sz w:val="20"/>
          <w:szCs w:val="20"/>
          <w:color w:val="auto"/>
        </w:rPr>
      </w:pPr>
    </w:p>
    <w:p>
      <w:pPr>
        <w:ind w:left="200"/>
        <w:spacing w:after="0"/>
        <w:tabs>
          <w:tab w:leader="none" w:pos="10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7"/>
          <w:szCs w:val="17"/>
          <w:color w:val="auto"/>
        </w:rPr>
        <w:t>February 2, 2015</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14" w:lineRule="exact"/>
        <w:rPr>
          <w:sz w:val="20"/>
          <w:szCs w:val="20"/>
          <w:color w:val="auto"/>
        </w:rPr>
      </w:pPr>
    </w:p>
    <w:p>
      <w:pPr>
        <w:ind w:left="8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Maria Gray</w:t>
      </w:r>
    </w:p>
    <w:p>
      <w:pPr>
        <w:spacing w:after="0" w:line="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257" w:lineRule="exact"/>
        <w:rPr>
          <w:sz w:val="20"/>
          <w:szCs w:val="20"/>
          <w:color w:val="auto"/>
        </w:rPr>
      </w:pPr>
    </w:p>
    <w:p>
      <w:pPr>
        <w:ind w:left="860" w:right="6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860" w:right="11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42"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616585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19" w:right="1440" w:bottom="1440" w:gutter="0" w:footer="0" w:header="0"/>
          <w:type w:val="continuous"/>
        </w:sectPr>
      </w:pPr>
    </w:p>
    <w:bookmarkStart w:id="10" w:name="page11"/>
    <w:bookmarkEnd w:id="10"/>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11 of 14</w:t>
      </w:r>
    </w:p>
    <w:p>
      <w:pPr>
        <w:sectPr>
          <w:pgSz w:w="11900" w:h="16838" w:orient="portrait"/>
          <w:cols w:equalWidth="0" w:num="1">
            <w:col w:w="9919"/>
          </w:cols>
          <w:pgMar w:left="540" w:top="906" w:right="1440" w:bottom="1440" w:gutter="0" w:footer="0" w:header="0"/>
        </w:sectPr>
      </w:pPr>
    </w:p>
    <w:p>
      <w:pPr>
        <w:spacing w:after="0" w:line="18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A</w:t>
      </w:r>
    </w:p>
    <w:p>
      <w:pPr>
        <w:spacing w:after="0" w:line="24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JOINT FILING AGREEMENT</w:t>
      </w:r>
    </w:p>
    <w:p>
      <w:pPr>
        <w:spacing w:after="0" w:line="190" w:lineRule="exact"/>
        <w:rPr>
          <w:sz w:val="20"/>
          <w:szCs w:val="20"/>
          <w:color w:val="auto"/>
        </w:rPr>
      </w:pPr>
    </w:p>
    <w:p>
      <w:pPr>
        <w:ind w:left="200" w:right="739"/>
        <w:spacing w:after="0" w:line="224" w:lineRule="exact"/>
        <w:rPr>
          <w:sz w:val="20"/>
          <w:szCs w:val="20"/>
          <w:color w:val="auto"/>
        </w:rPr>
      </w:pPr>
      <w:r>
        <w:rPr>
          <w:rFonts w:ascii="Courier New" w:cs="Courier New" w:eastAsia="Courier New" w:hAnsi="Courier New"/>
          <w:sz w:val="18"/>
          <w:szCs w:val="18"/>
          <w:color w:val="auto"/>
        </w:rPr>
        <w:t>In accordance with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1(k) under the Securities Exchange Act of 1934, as amended, the undersigned hereby agree to the joint filing with each other of the attached statement on Schedule 13G and to all amendments to such statement and that such statement and all amendments to such statement are made on behalf of each of them.</w:t>
      </w:r>
    </w:p>
    <w:p>
      <w:pPr>
        <w:spacing w:after="0" w:line="12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IN WITNESS WHEREOF, the undersigned have executed this agreement on February 2, 2015.</w:t>
      </w:r>
    </w:p>
    <w:p>
      <w:pPr>
        <w:spacing w:after="0" w:line="278"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Resources, Inc.</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Charles B. Johnson</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Rupert H. Johnson, Jr.</w:t>
      </w:r>
    </w:p>
    <w:p>
      <w:pPr>
        <w:spacing w:after="0" w:line="255"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Franklin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/s/MARIA GRAY</w:t>
      </w:r>
    </w:p>
    <w:p>
      <w:pPr>
        <w:spacing w:after="0" w:line="14" w:lineRule="exact"/>
        <w:rPr>
          <w:sz w:val="20"/>
          <w:szCs w:val="20"/>
          <w:color w:val="auto"/>
        </w:rPr>
      </w:pPr>
    </w:p>
    <w:p>
      <w:pPr>
        <w:ind w:left="8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Maria Gray</w:t>
      </w:r>
    </w:p>
    <w:p>
      <w:pPr>
        <w:spacing w:after="0" w:line="1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Vice President and Secretary of Franklin Resources, Inc.</w:t>
      </w:r>
    </w:p>
    <w:p>
      <w:pPr>
        <w:spacing w:after="0" w:line="257" w:lineRule="exact"/>
        <w:rPr>
          <w:sz w:val="20"/>
          <w:szCs w:val="20"/>
          <w:color w:val="auto"/>
        </w:rPr>
      </w:pPr>
    </w:p>
    <w:p>
      <w:pPr>
        <w:ind w:left="860" w:right="63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Charles B. Johnson pursuant to Power of Attorney attached to this Schedule 13G</w:t>
      </w:r>
    </w:p>
    <w:p>
      <w:pPr>
        <w:spacing w:after="0" w:line="257" w:lineRule="exact"/>
        <w:rPr>
          <w:sz w:val="20"/>
          <w:szCs w:val="20"/>
          <w:color w:val="auto"/>
        </w:rPr>
      </w:pPr>
    </w:p>
    <w:p>
      <w:pPr>
        <w:ind w:left="860" w:right="1179"/>
        <w:spacing w:after="0" w:line="209"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for Rupert H. Johnson, Jr. pursuant to Power of Attorney attached to this Schedule 13G</w:t>
      </w:r>
    </w:p>
    <w:p>
      <w:pPr>
        <w:spacing w:after="0" w:line="242" w:lineRule="exact"/>
        <w:rPr>
          <w:sz w:val="20"/>
          <w:szCs w:val="20"/>
          <w:color w:val="auto"/>
        </w:rPr>
      </w:pPr>
    </w:p>
    <w:p>
      <w:pPr>
        <w:ind w:left="1000"/>
        <w:spacing w:after="0"/>
        <w:rPr>
          <w:sz w:val="20"/>
          <w:szCs w:val="20"/>
          <w:color w:val="auto"/>
        </w:rPr>
      </w:pPr>
      <w:r>
        <w:rPr>
          <w:rFonts w:ascii="Courier New" w:cs="Courier New" w:eastAsia="Courier New" w:hAnsi="Courier New"/>
          <w:sz w:val="18"/>
          <w:szCs w:val="18"/>
          <w:color w:val="auto"/>
        </w:rPr>
        <w:t>Secretary of Franklin Advisers,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2434590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06" w:right="1440" w:bottom="1440" w:gutter="0" w:footer="0" w:header="0"/>
          <w:type w:val="continuous"/>
        </w:sectPr>
      </w:pPr>
    </w:p>
    <w:bookmarkStart w:id="11" w:name="page12"/>
    <w:bookmarkEnd w:id="11"/>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12 of 14</w:t>
      </w:r>
    </w:p>
    <w:p>
      <w:pPr>
        <w:sectPr>
          <w:pgSz w:w="11900" w:h="16838" w:orient="portrait"/>
          <w:cols w:equalWidth="0" w:num="1">
            <w:col w:w="9919"/>
          </w:cols>
          <w:pgMar w:left="540" w:top="933" w:right="1440" w:bottom="1440" w:gutter="0" w:footer="0" w:header="0"/>
        </w:sectPr>
      </w:pPr>
    </w:p>
    <w:p>
      <w:pPr>
        <w:spacing w:after="0" w:line="174"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EXHIBIT B</w:t>
      </w:r>
    </w:p>
    <w:p>
      <w:pPr>
        <w:spacing w:after="0" w:line="242"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6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90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41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419" w:firstLine="8"/>
        <w:spacing w:after="0" w:line="269" w:lineRule="auto"/>
        <w:tabs>
          <w:tab w:leader="none" w:pos="1496"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419" w:firstLine="8"/>
        <w:spacing w:after="0" w:line="221" w:lineRule="exact"/>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ind w:left="200" w:right="419" w:firstLine="8"/>
        <w:spacing w:after="0" w:line="223" w:lineRule="exact"/>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0" w:lineRule="exact"/>
        <w:rPr>
          <w:rFonts w:ascii="Courier New" w:cs="Courier New" w:eastAsia="Courier New" w:hAnsi="Courier New"/>
          <w:sz w:val="18"/>
          <w:szCs w:val="18"/>
          <w:color w:val="auto"/>
        </w:rPr>
      </w:pPr>
    </w:p>
    <w:p>
      <w:pPr>
        <w:ind w:left="1500" w:hanging="1292"/>
        <w:spacing w:after="0" w:line="209" w:lineRule="exact"/>
        <w:tabs>
          <w:tab w:leader="none" w:pos="15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w:t>
      </w:r>
    </w:p>
    <w:p>
      <w:pPr>
        <w:spacing w:after="0" w:line="27" w:lineRule="exact"/>
        <w:rPr>
          <w:rFonts w:ascii="Courier New" w:cs="Courier New" w:eastAsia="Courier New" w:hAnsi="Courier New"/>
          <w:sz w:val="18"/>
          <w:szCs w:val="18"/>
          <w:color w:val="auto"/>
        </w:rPr>
      </w:pPr>
    </w:p>
    <w:p>
      <w:pPr>
        <w:jc w:val="both"/>
        <w:ind w:left="200" w:right="419"/>
        <w:spacing w:after="0" w:line="26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 any liability for the undersigned’s responsibility to comply with the requirements of the Exchange Act or (ii) any liability of the undersigned for any failure to comply with such requirements; and</w:t>
      </w:r>
    </w:p>
    <w:p>
      <w:pPr>
        <w:spacing w:after="0" w:line="3"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51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IN WITNESS WHEREOF,</w:t>
            </w:r>
          </w:p>
        </w:tc>
        <w:tc>
          <w:tcPr>
            <w:tcW w:w="49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the undersigned has caused this Limited Power</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Attorney to be</w:t>
            </w:r>
          </w:p>
        </w:tc>
      </w:tr>
      <w:tr>
        <w:trPr>
          <w:trHeight w:val="191"/>
        </w:trPr>
        <w:tc>
          <w:tcPr>
            <w:tcW w:w="2160" w:type="dxa"/>
            <w:vAlign w:val="bottom"/>
          </w:tcPr>
          <w:p>
            <w:pPr>
              <w:spacing w:after="0" w:line="191" w:lineRule="exact"/>
              <w:rPr>
                <w:sz w:val="20"/>
                <w:szCs w:val="20"/>
                <w:color w:val="auto"/>
              </w:rPr>
            </w:pPr>
            <w:r>
              <w:rPr>
                <w:rFonts w:ascii="Courier New" w:cs="Courier New" w:eastAsia="Courier New" w:hAnsi="Courier New"/>
                <w:sz w:val="18"/>
                <w:szCs w:val="18"/>
                <w:color w:val="auto"/>
              </w:rPr>
              <w:t>executed as of this</w:t>
            </w:r>
          </w:p>
        </w:tc>
        <w:tc>
          <w:tcPr>
            <w:tcW w:w="162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30th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April</w:t>
            </w: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73"/>
              </w:rPr>
              <w:t>,</w:t>
            </w:r>
          </w:p>
        </w:tc>
        <w:tc>
          <w:tcPr>
            <w:tcW w:w="190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/s/Charles B. Johnson</w:t>
      </w:r>
    </w:p>
    <w:p>
      <w:pPr>
        <w:spacing w:after="0" w:line="26"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u w:val="single" w:color="auto"/>
          <w:color w:val="auto"/>
        </w:rPr>
        <w:t>Charles B. Johnson</w:t>
      </w:r>
    </w:p>
    <w:p>
      <w:pPr>
        <w:spacing w:after="0" w:line="107" w:lineRule="exact"/>
        <w:rPr>
          <w:sz w:val="20"/>
          <w:szCs w:val="20"/>
          <w:color w:val="auto"/>
        </w:rPr>
      </w:pPr>
    </w:p>
    <w:p>
      <w:pPr>
        <w:ind w:left="60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119380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933" w:right="1440" w:bottom="1440" w:gutter="0" w:footer="0" w:header="0"/>
          <w:type w:val="continuous"/>
        </w:sectPr>
      </w:pPr>
    </w:p>
    <w:bookmarkStart w:id="12" w:name="page13"/>
    <w:bookmarkEnd w:id="12"/>
    <w:p>
      <w:pPr>
        <w:spacing w:after="0" w:line="142" w:lineRule="exact"/>
        <w:rPr>
          <w:sz w:val="20"/>
          <w:szCs w:val="20"/>
          <w:color w:val="auto"/>
        </w:rPr>
      </w:pPr>
    </w:p>
    <w:p>
      <w:pPr>
        <w:spacing w:after="0"/>
        <w:tabs>
          <w:tab w:leader="none" w:pos="4960" w:val="left"/>
          <w:tab w:leader="none" w:pos="8300" w:val="left"/>
        </w:tabs>
        <w:rPr>
          <w:sz w:val="20"/>
          <w:szCs w:val="20"/>
          <w:color w:val="auto"/>
        </w:rPr>
      </w:pPr>
      <w:r>
        <w:rPr>
          <w:rFonts w:ascii="Courier New" w:cs="Courier New" w:eastAsia="Courier New" w:hAnsi="Courier New"/>
          <w:sz w:val="18"/>
          <w:szCs w:val="18"/>
          <w:color w:val="auto"/>
        </w:rPr>
        <w:t>CUSIP NO. 34385P108</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13 of 14</w:t>
      </w:r>
    </w:p>
    <w:p>
      <w:pPr>
        <w:sectPr>
          <w:pgSz w:w="11900" w:h="16838" w:orient="portrait"/>
          <w:cols w:equalWidth="0" w:num="1">
            <w:col w:w="9919"/>
          </w:cols>
          <w:pgMar w:left="540" w:top="1440" w:right="1440" w:bottom="1440" w:gutter="0" w:footer="0" w:header="0"/>
        </w:sectPr>
      </w:pPr>
    </w:p>
    <w:p>
      <w:pPr>
        <w:spacing w:after="0" w:line="147" w:lineRule="exact"/>
        <w:rPr>
          <w:sz w:val="20"/>
          <w:szCs w:val="20"/>
          <w:color w:val="auto"/>
        </w:rPr>
      </w:pPr>
    </w:p>
    <w:p>
      <w:pPr>
        <w:ind w:left="3200"/>
        <w:spacing w:after="0"/>
        <w:rPr>
          <w:sz w:val="20"/>
          <w:szCs w:val="20"/>
          <w:color w:val="auto"/>
        </w:rPr>
      </w:pPr>
      <w:r>
        <w:rPr>
          <w:rFonts w:ascii="Courier New" w:cs="Courier New" w:eastAsia="Courier New" w:hAnsi="Courier New"/>
          <w:sz w:val="18"/>
          <w:szCs w:val="18"/>
          <w:color w:val="auto"/>
        </w:rPr>
        <w:t>LIMITED POWER OF ATTORNEY</w:t>
      </w:r>
    </w:p>
    <w:p>
      <w:pPr>
        <w:spacing w:after="0" w:line="26" w:lineRule="exact"/>
        <w:rPr>
          <w:sz w:val="20"/>
          <w:szCs w:val="20"/>
          <w:color w:val="auto"/>
        </w:rPr>
      </w:pPr>
    </w:p>
    <w:p>
      <w:pPr>
        <w:ind w:left="4300"/>
        <w:spacing w:after="0"/>
        <w:rPr>
          <w:sz w:val="20"/>
          <w:szCs w:val="20"/>
          <w:color w:val="auto"/>
        </w:rPr>
      </w:pPr>
      <w:r>
        <w:rPr>
          <w:rFonts w:ascii="Courier New" w:cs="Courier New" w:eastAsia="Courier New" w:hAnsi="Courier New"/>
          <w:sz w:val="18"/>
          <w:szCs w:val="18"/>
          <w:color w:val="auto"/>
        </w:rPr>
        <w:t>FOR</w:t>
      </w:r>
    </w:p>
    <w:p>
      <w:pPr>
        <w:spacing w:after="0" w:line="2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u w:val="single" w:color="auto"/>
          <w:color w:val="auto"/>
        </w:rPr>
        <w:t>SECTION 13 REPORTING OBLIGATIONS</w:t>
      </w:r>
    </w:p>
    <w:p>
      <w:pPr>
        <w:spacing w:after="0" w:line="244" w:lineRule="exact"/>
        <w:rPr>
          <w:sz w:val="20"/>
          <w:szCs w:val="20"/>
          <w:color w:val="auto"/>
        </w:rPr>
      </w:pPr>
    </w:p>
    <w:p>
      <w:pPr>
        <w:ind w:left="200" w:right="639" w:firstLine="1200"/>
        <w:spacing w:after="0" w:line="224" w:lineRule="exact"/>
        <w:rPr>
          <w:sz w:val="20"/>
          <w:szCs w:val="20"/>
          <w:color w:val="auto"/>
        </w:rPr>
      </w:pPr>
      <w:r>
        <w:rPr>
          <w:rFonts w:ascii="Courier New" w:cs="Courier New" w:eastAsia="Courier New" w:hAnsi="Courier New"/>
          <w:sz w:val="18"/>
          <w:szCs w:val="18"/>
          <w:color w:val="auto"/>
        </w:rPr>
        <w:t>Know all by these presents, that the undersigned hereby makes, constitutes and appoints each of Robert Rosselot and Maria Gray, each acting individually, as the undersigned’s true and lawful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 full power and authority as hereinafter described on behalf of and in the name, place and stead of the undersigned to:</w:t>
      </w:r>
    </w:p>
    <w:p>
      <w:pPr>
        <w:spacing w:after="0" w:line="246" w:lineRule="exact"/>
        <w:rPr>
          <w:sz w:val="20"/>
          <w:szCs w:val="20"/>
          <w:color w:val="auto"/>
        </w:rPr>
      </w:pPr>
    </w:p>
    <w:p>
      <w:pPr>
        <w:ind w:left="200" w:right="639" w:firstLine="8"/>
        <w:spacing w:after="0" w:line="269" w:lineRule="auto"/>
        <w:tabs>
          <w:tab w:leader="none" w:pos="149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Schedules 13D and 13G (including any amendments thereto or any related documentation) with the United States Securities and Exchange Commission, any national securities exchanges and Franklin Resources, Inc., a Delaware corporation (the “Reporting Entity”), as considered necessary or advisable under Section 13 of the Securities Exchange Act of 1934 and the rules and regulations promulgated thereunder, as amended from time to time (the “Exchange Act”); and</w:t>
      </w:r>
    </w:p>
    <w:p>
      <w:pPr>
        <w:spacing w:after="0" w:line="221" w:lineRule="exact"/>
        <w:rPr>
          <w:rFonts w:ascii="Courier New" w:cs="Courier New" w:eastAsia="Courier New" w:hAnsi="Courier New"/>
          <w:sz w:val="18"/>
          <w:szCs w:val="18"/>
          <w:color w:val="auto"/>
        </w:rPr>
      </w:pPr>
    </w:p>
    <w:p>
      <w:pPr>
        <w:ind w:left="1500" w:hanging="1292"/>
        <w:spacing w:after="0"/>
        <w:tabs>
          <w:tab w:leader="none" w:pos="150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 any and all other acts which in the discretion of such</w:t>
      </w:r>
    </w:p>
    <w:p>
      <w:pPr>
        <w:spacing w:after="0" w:line="28" w:lineRule="exact"/>
        <w:rPr>
          <w:sz w:val="20"/>
          <w:szCs w:val="20"/>
          <w:color w:val="auto"/>
        </w:rPr>
      </w:pPr>
    </w:p>
    <w:p>
      <w:pPr>
        <w:ind w:left="200" w:right="739"/>
        <w:spacing w:after="0" w:line="215" w:lineRule="exact"/>
        <w:rPr>
          <w:sz w:val="20"/>
          <w:szCs w:val="20"/>
          <w:color w:val="auto"/>
        </w:rPr>
      </w:pPr>
      <w:r>
        <w:rPr>
          <w:rFonts w:ascii="Courier New" w:cs="Courier New" w:eastAsia="Courier New" w:hAnsi="Courier New"/>
          <w:sz w:val="18"/>
          <w:szCs w:val="18"/>
          <w:color w:val="auto"/>
        </w:rPr>
        <w:t>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are necessary or desirable for and on behalf of the undersigned in connection with the foregoing.</w:t>
      </w:r>
    </w:p>
    <w:p>
      <w:pPr>
        <w:spacing w:after="0" w:line="243" w:lineRule="exact"/>
        <w:rPr>
          <w:sz w:val="20"/>
          <w:szCs w:val="20"/>
          <w:color w:val="auto"/>
        </w:rPr>
      </w:pPr>
    </w:p>
    <w:p>
      <w:pPr>
        <w:ind w:left="140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44" w:lineRule="exact"/>
        <w:rPr>
          <w:sz w:val="20"/>
          <w:szCs w:val="20"/>
          <w:color w:val="auto"/>
        </w:rPr>
      </w:pPr>
    </w:p>
    <w:p>
      <w:pPr>
        <w:ind w:left="200" w:right="959" w:firstLine="8"/>
        <w:spacing w:after="0" w:line="221"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to act in their discretion on information provided to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without independent verification of such information;</w:t>
      </w:r>
    </w:p>
    <w:p>
      <w:pPr>
        <w:spacing w:after="0" w:line="28" w:lineRule="exact"/>
        <w:rPr>
          <w:rFonts w:ascii="Courier New" w:cs="Courier New" w:eastAsia="Courier New" w:hAnsi="Courier New"/>
          <w:sz w:val="18"/>
          <w:szCs w:val="18"/>
          <w:color w:val="auto"/>
        </w:rPr>
      </w:pPr>
    </w:p>
    <w:p>
      <w:pPr>
        <w:jc w:val="both"/>
        <w:ind w:left="200" w:right="639" w:firstLine="8"/>
        <w:spacing w:after="0" w:line="223"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and/or executed by either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on behalf of the undersigned pursuant to this Limited Power of Attorney will be in such form and will contain such information and disclosure as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in his or her discretion, deems necessary or desirable;</w:t>
      </w:r>
    </w:p>
    <w:p>
      <w:pPr>
        <w:spacing w:after="0" w:line="27" w:lineRule="exact"/>
        <w:rPr>
          <w:rFonts w:ascii="Courier New" w:cs="Courier New" w:eastAsia="Courier New" w:hAnsi="Courier New"/>
          <w:sz w:val="18"/>
          <w:szCs w:val="18"/>
          <w:color w:val="auto"/>
        </w:rPr>
      </w:pPr>
    </w:p>
    <w:p>
      <w:pPr>
        <w:ind w:left="200" w:right="959" w:firstLine="8"/>
        <w:spacing w:after="0" w:line="223" w:lineRule="exact"/>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Reporting Entity nor either of such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assumes (i) any liability for the undersigned’s responsibility to comply with the requirements of the Exchange Act or (ii) any liability of the undersigned for any failure to comply with such requirements; and</w:t>
      </w:r>
    </w:p>
    <w:p>
      <w:pPr>
        <w:spacing w:after="0" w:line="29" w:lineRule="exact"/>
        <w:rPr>
          <w:rFonts w:ascii="Courier New" w:cs="Courier New" w:eastAsia="Courier New" w:hAnsi="Courier New"/>
          <w:sz w:val="18"/>
          <w:szCs w:val="18"/>
          <w:color w:val="auto"/>
        </w:rPr>
      </w:pPr>
    </w:p>
    <w:p>
      <w:pPr>
        <w:ind w:left="200" w:right="639" w:firstLine="8"/>
        <w:spacing w:after="0" w:line="269" w:lineRule="auto"/>
        <w:tabs>
          <w:tab w:leader="none" w:pos="1496"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the Exchange Act, including without limitation the reporting requirements under Section 13 of the Exchange Act.</w:t>
      </w:r>
    </w:p>
    <w:p>
      <w:pPr>
        <w:spacing w:after="0" w:line="4" w:lineRule="exact"/>
        <w:rPr>
          <w:rFonts w:ascii="Courier New" w:cs="Courier New" w:eastAsia="Courier New" w:hAnsi="Courier New"/>
          <w:sz w:val="18"/>
          <w:szCs w:val="18"/>
          <w:color w:val="auto"/>
        </w:rPr>
      </w:pPr>
    </w:p>
    <w:p>
      <w:pPr>
        <w:ind w:left="200" w:right="539" w:firstLine="1200"/>
        <w:spacing w:after="0" w:line="225"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gives and grants each of the foregoing attorneys</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 of, for and on behalf of the undersigned, shall lawfully do or cause to be done by virtue of this Limited Power of Attorney.</w:t>
      </w:r>
    </w:p>
    <w:p>
      <w:pPr>
        <w:spacing w:after="0" w:line="32" w:lineRule="exact"/>
        <w:rPr>
          <w:rFonts w:ascii="Courier New" w:cs="Courier New" w:eastAsia="Courier New" w:hAnsi="Courier New"/>
          <w:sz w:val="18"/>
          <w:szCs w:val="18"/>
          <w:color w:val="auto"/>
        </w:rPr>
      </w:pPr>
    </w:p>
    <w:p>
      <w:pPr>
        <w:ind w:left="200" w:right="1159" w:firstLine="1200"/>
        <w:spacing w:after="0" w:line="221" w:lineRule="exact"/>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shall remain in full force and effect until revoked by the undersigned in a signed writing delivered to each such attorney</w:t>
      </w:r>
      <w:r>
        <w:rPr>
          <w:rFonts w:ascii="MS Gothic" w:cs="MS Gothic" w:eastAsia="MS Gothic" w:hAnsi="MS Gothic"/>
          <w:sz w:val="18"/>
          <w:szCs w:val="18"/>
          <w:color w:val="auto"/>
        </w:rPr>
        <w:t>‑</w:t>
      </w:r>
      <w:r>
        <w:rPr>
          <w:rFonts w:ascii="Courier New" w:cs="Courier New" w:eastAsia="Courier New" w:hAnsi="Courier New"/>
          <w:sz w:val="18"/>
          <w:szCs w:val="18"/>
          <w:color w:val="auto"/>
        </w:rPr>
        <w:t>in</w:t>
      </w:r>
      <w:r>
        <w:rPr>
          <w:rFonts w:ascii="MS Gothic" w:cs="MS Gothic" w:eastAsia="MS Gothic" w:hAnsi="MS Gothic"/>
          <w:sz w:val="18"/>
          <w:szCs w:val="18"/>
          <w:color w:val="auto"/>
        </w:rPr>
        <w:t>‑</w:t>
      </w:r>
      <w:r>
        <w:rPr>
          <w:rFonts w:ascii="Courier New" w:cs="Courier New" w:eastAsia="Courier New" w:hAnsi="Courier New"/>
          <w:sz w:val="18"/>
          <w:szCs w:val="18"/>
          <w:color w:val="auto"/>
        </w:rPr>
        <w:t>fact.</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w w:val="99"/>
              </w:rPr>
              <w:t>IN WITNESS WHEREOF,</w:t>
            </w:r>
          </w:p>
        </w:tc>
        <w:tc>
          <w:tcPr>
            <w:tcW w:w="534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the undersigned has caused this Limited Power of</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Attorney to be</w:t>
            </w:r>
          </w:p>
        </w:tc>
      </w:tr>
      <w:tr>
        <w:trPr>
          <w:trHeight w:val="191"/>
        </w:trPr>
        <w:tc>
          <w:tcPr>
            <w:tcW w:w="2060" w:type="dxa"/>
            <w:vAlign w:val="bottom"/>
          </w:tcPr>
          <w:p>
            <w:pPr>
              <w:spacing w:after="0" w:line="191" w:lineRule="exact"/>
              <w:rPr>
                <w:sz w:val="20"/>
                <w:szCs w:val="20"/>
                <w:color w:val="auto"/>
              </w:rPr>
            </w:pPr>
            <w:r>
              <w:rPr>
                <w:rFonts w:ascii="Courier New" w:cs="Courier New" w:eastAsia="Courier New" w:hAnsi="Courier New"/>
                <w:sz w:val="18"/>
                <w:szCs w:val="18"/>
                <w:color w:val="auto"/>
                <w:w w:val="99"/>
              </w:rPr>
              <w:t>executed as of this</w:t>
            </w:r>
          </w:p>
        </w:tc>
        <w:tc>
          <w:tcPr>
            <w:tcW w:w="2380" w:type="dxa"/>
            <w:vAlign w:val="bottom"/>
            <w:tcBorders>
              <w:bottom w:val="single" w:sz="8" w:color="auto"/>
            </w:tcBorders>
          </w:tcPr>
          <w:p>
            <w:pPr>
              <w:ind w:left="980"/>
              <w:spacing w:after="0" w:line="191" w:lineRule="exact"/>
              <w:rPr>
                <w:sz w:val="20"/>
                <w:szCs w:val="20"/>
                <w:color w:val="auto"/>
              </w:rPr>
            </w:pPr>
            <w:r>
              <w:rPr>
                <w:rFonts w:ascii="Courier New" w:cs="Courier New" w:eastAsia="Courier New" w:hAnsi="Courier New"/>
                <w:sz w:val="18"/>
                <w:szCs w:val="18"/>
                <w:color w:val="auto"/>
              </w:rPr>
              <w:t>25th</w:t>
            </w:r>
          </w:p>
        </w:tc>
        <w:tc>
          <w:tcPr>
            <w:tcW w:w="760" w:type="dxa"/>
            <w:vAlign w:val="bottom"/>
          </w:tcPr>
          <w:p>
            <w:pPr>
              <w:spacing w:after="0" w:line="191" w:lineRule="exact"/>
              <w:rPr>
                <w:sz w:val="20"/>
                <w:szCs w:val="20"/>
                <w:color w:val="auto"/>
              </w:rPr>
            </w:pPr>
            <w:r>
              <w:rPr>
                <w:rFonts w:ascii="Courier New" w:cs="Courier New" w:eastAsia="Courier New" w:hAnsi="Courier New"/>
                <w:sz w:val="18"/>
                <w:szCs w:val="18"/>
                <w:color w:val="auto"/>
              </w:rPr>
              <w:t>day of</w:t>
            </w:r>
          </w:p>
        </w:tc>
        <w:tc>
          <w:tcPr>
            <w:tcW w:w="1560" w:type="dxa"/>
            <w:vAlign w:val="bottom"/>
            <w:tcBorders>
              <w:bottom w:val="single" w:sz="8" w:color="auto"/>
            </w:tcBorders>
          </w:tcPr>
          <w:p>
            <w:pPr>
              <w:ind w:left="540"/>
              <w:spacing w:after="0" w:line="191" w:lineRule="exact"/>
              <w:rPr>
                <w:sz w:val="20"/>
                <w:szCs w:val="20"/>
                <w:color w:val="auto"/>
              </w:rPr>
            </w:pPr>
            <w:r>
              <w:rPr>
                <w:rFonts w:ascii="Courier New" w:cs="Courier New" w:eastAsia="Courier New" w:hAnsi="Courier New"/>
                <w:sz w:val="18"/>
                <w:szCs w:val="18"/>
                <w:color w:val="auto"/>
              </w:rPr>
              <w:t>April</w:t>
            </w:r>
          </w:p>
        </w:tc>
        <w:tc>
          <w:tcPr>
            <w:tcW w:w="480" w:type="dxa"/>
            <w:vAlign w:val="bottom"/>
            <w:tcBorders>
              <w:bottom w:val="single" w:sz="8" w:color="auto"/>
            </w:tcBorders>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Courier New" w:cs="Courier New" w:eastAsia="Courier New" w:hAnsi="Courier New"/>
                <w:sz w:val="18"/>
                <w:szCs w:val="18"/>
                <w:color w:val="auto"/>
                <w:w w:val="92"/>
              </w:rPr>
              <w:t>,</w:t>
            </w:r>
          </w:p>
        </w:tc>
        <w:tc>
          <w:tcPr>
            <w:tcW w:w="1580" w:type="dxa"/>
            <w:vAlign w:val="bottom"/>
          </w:tcPr>
          <w:p>
            <w:pPr>
              <w:ind w:left="60"/>
              <w:spacing w:after="0" w:line="191" w:lineRule="exact"/>
              <w:rPr>
                <w:sz w:val="20"/>
                <w:szCs w:val="20"/>
                <w:color w:val="auto"/>
              </w:rPr>
            </w:pPr>
            <w:r>
              <w:rPr>
                <w:rFonts w:ascii="Courier New" w:cs="Courier New" w:eastAsia="Courier New" w:hAnsi="Courier New"/>
                <w:sz w:val="18"/>
                <w:szCs w:val="18"/>
                <w:color w:val="auto"/>
              </w:rPr>
              <w:t>2007</w:t>
            </w:r>
          </w:p>
        </w:tc>
      </w:tr>
    </w:tbl>
    <w:p>
      <w:pPr>
        <w:spacing w:after="0" w:line="267"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/s/ 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Signature</w:t>
      </w:r>
    </w:p>
    <w:p>
      <w:pPr>
        <w:spacing w:after="0" w:line="134"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u w:val="single" w:color="auto"/>
          <w:color w:val="auto"/>
        </w:rPr>
        <w:t>Rupert H. Johnson, Jr.</w:t>
      </w:r>
    </w:p>
    <w:p>
      <w:pPr>
        <w:spacing w:after="0" w:line="2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385445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919"/>
          </w:cols>
          <w:pgMar w:left="540" w:top="1440" w:right="1440" w:bottom="1440" w:gutter="0" w:footer="0" w:header="0"/>
          <w:type w:val="continuous"/>
        </w:sectPr>
      </w:pPr>
    </w:p>
    <w:bookmarkStart w:id="13" w:name="page14"/>
    <w:bookmarkEnd w:id="13"/>
    <w:tbl>
      <w:tblPr>
        <w:tblLayout w:type="fixed"/>
        <w:tblInd w:w="300" w:type="dxa"/>
        <w:tblCellMar>
          <w:top w:w="0" w:type="dxa"/>
          <w:left w:w="0" w:type="dxa"/>
          <w:bottom w:w="0" w:type="dxa"/>
          <w:right w:w="0" w:type="dxa"/>
        </w:tblCellMar>
      </w:tblPr>
      <w:tr>
        <w:trPr>
          <w:trHeight w:val="204"/>
        </w:trPr>
        <w:tc>
          <w:tcPr>
            <w:tcW w:w="4920" w:type="dxa"/>
            <w:vAlign w:val="bottom"/>
            <w:gridSpan w:val="2"/>
          </w:tcPr>
          <w:p>
            <w:pPr>
              <w:spacing w:after="0"/>
              <w:rPr>
                <w:sz w:val="20"/>
                <w:szCs w:val="20"/>
                <w:color w:val="auto"/>
              </w:rPr>
            </w:pPr>
            <w:r>
              <w:rPr>
                <w:rFonts w:ascii="Courier New" w:cs="Courier New" w:eastAsia="Courier New" w:hAnsi="Courier New"/>
                <w:sz w:val="18"/>
                <w:szCs w:val="18"/>
                <w:color w:val="auto"/>
              </w:rPr>
              <w:t>CUSIP NO. 34385P108</w:t>
            </w:r>
          </w:p>
        </w:tc>
        <w:tc>
          <w:tcPr>
            <w:tcW w:w="1080" w:type="dxa"/>
            <w:vAlign w:val="bottom"/>
          </w:tcPr>
          <w:p>
            <w:pPr>
              <w:ind w:left="60"/>
              <w:spacing w:after="0"/>
              <w:rPr>
                <w:sz w:val="20"/>
                <w:szCs w:val="20"/>
                <w:color w:val="auto"/>
              </w:rPr>
            </w:pPr>
            <w:r>
              <w:rPr>
                <w:rFonts w:ascii="Courier New" w:cs="Courier New" w:eastAsia="Courier New" w:hAnsi="Courier New"/>
                <w:sz w:val="18"/>
                <w:szCs w:val="18"/>
                <w:color w:val="auto"/>
              </w:rPr>
              <w:t>13G</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2"/>
          </w:tcPr>
          <w:p>
            <w:pPr>
              <w:ind w:left="920"/>
              <w:spacing w:after="0"/>
              <w:rPr>
                <w:sz w:val="20"/>
                <w:szCs w:val="20"/>
                <w:color w:val="auto"/>
              </w:rPr>
            </w:pPr>
            <w:r>
              <w:rPr>
                <w:rFonts w:ascii="Courier New" w:cs="Courier New" w:eastAsia="Courier New" w:hAnsi="Courier New"/>
                <w:sz w:val="18"/>
                <w:szCs w:val="18"/>
                <w:color w:val="auto"/>
                <w:w w:val="98"/>
              </w:rPr>
              <w:t>Page 14 of 14</w:t>
            </w:r>
          </w:p>
        </w:tc>
      </w:tr>
      <w:tr>
        <w:trPr>
          <w:trHeight w:val="351"/>
        </w:trPr>
        <w:tc>
          <w:tcPr>
            <w:tcW w:w="49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EXHIBIT C</w:t>
            </w: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459"/>
        </w:trPr>
        <w:tc>
          <w:tcPr>
            <w:tcW w:w="1120" w:type="dxa"/>
            <w:vAlign w:val="bottom"/>
          </w:tcPr>
          <w:p>
            <w:pPr>
              <w:ind w:left="200"/>
              <w:spacing w:after="0"/>
              <w:rPr>
                <w:sz w:val="20"/>
                <w:szCs w:val="20"/>
                <w:color w:val="auto"/>
              </w:rPr>
            </w:pPr>
            <w:r>
              <w:rPr>
                <w:rFonts w:ascii="Courier New" w:cs="Courier New" w:eastAsia="Courier New" w:hAnsi="Courier New"/>
                <w:sz w:val="18"/>
                <w:szCs w:val="18"/>
                <w:color w:val="auto"/>
              </w:rPr>
              <w:t>Franklin</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Advisers, Inc.</w:t>
            </w:r>
          </w:p>
        </w:tc>
        <w:tc>
          <w:tcPr>
            <w:tcW w:w="108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Courier New" w:cs="Courier New" w:eastAsia="Courier New" w:hAnsi="Courier New"/>
                <w:sz w:val="18"/>
                <w:szCs w:val="18"/>
                <w:color w:val="auto"/>
              </w:rPr>
              <w:t>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2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600" w:type="dxa"/>
            <w:vAlign w:val="bottom"/>
          </w:tcPr>
          <w:p>
            <w:pPr>
              <w:ind w:left="60"/>
              <w:spacing w:after="0"/>
              <w:rPr>
                <w:sz w:val="20"/>
                <w:szCs w:val="20"/>
                <w:color w:val="auto"/>
              </w:rPr>
            </w:pPr>
            <w:r>
              <w:rPr>
                <w:rFonts w:ascii="Courier New" w:cs="Courier New" w:eastAsia="Courier New" w:hAnsi="Courier New"/>
                <w:sz w:val="18"/>
                <w:szCs w:val="18"/>
                <w:color w:val="auto"/>
              </w:rPr>
              <w:t>3(e)</w:t>
            </w:r>
          </w:p>
        </w:tc>
      </w:tr>
      <w:tr>
        <w:trPr>
          <w:trHeight w:val="459"/>
        </w:trPr>
        <w:tc>
          <w:tcPr>
            <w:tcW w:w="1120" w:type="dxa"/>
            <w:vAlign w:val="bottom"/>
          </w:tcPr>
          <w:p>
            <w:pPr>
              <w:ind w:left="200"/>
              <w:spacing w:after="0"/>
              <w:rPr>
                <w:sz w:val="20"/>
                <w:szCs w:val="20"/>
                <w:color w:val="auto"/>
              </w:rPr>
            </w:pPr>
            <w:r>
              <w:rPr>
                <w:rFonts w:ascii="Courier New" w:cs="Courier New" w:eastAsia="Courier New" w:hAnsi="Courier New"/>
                <w:sz w:val="18"/>
                <w:szCs w:val="18"/>
                <w:color w:val="auto"/>
              </w:rPr>
              <w:t>Franklin</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Templeton Portfolio Advisors, Inc.</w:t>
            </w:r>
          </w:p>
        </w:tc>
        <w:tc>
          <w:tcPr>
            <w:tcW w:w="1080" w:type="dxa"/>
            <w:vAlign w:val="bottom"/>
          </w:tcPr>
          <w:p>
            <w:pPr>
              <w:spacing w:after="0"/>
              <w:rPr>
                <w:sz w:val="24"/>
                <w:szCs w:val="24"/>
                <w:color w:val="auto"/>
              </w:rPr>
            </w:pPr>
          </w:p>
        </w:tc>
        <w:tc>
          <w:tcPr>
            <w:tcW w:w="1180" w:type="dxa"/>
            <w:vAlign w:val="bottom"/>
          </w:tcPr>
          <w:p>
            <w:pPr>
              <w:ind w:left="680"/>
              <w:spacing w:after="0"/>
              <w:rPr>
                <w:sz w:val="20"/>
                <w:szCs w:val="20"/>
                <w:color w:val="auto"/>
              </w:rPr>
            </w:pPr>
            <w:r>
              <w:rPr>
                <w:rFonts w:ascii="Courier New" w:cs="Courier New" w:eastAsia="Courier New" w:hAnsi="Courier New"/>
                <w:sz w:val="18"/>
                <w:szCs w:val="18"/>
                <w:color w:val="auto"/>
              </w:rPr>
              <w:t>Item</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1720" w:type="dxa"/>
            <w:vAlign w:val="bottom"/>
          </w:tcPr>
          <w:p>
            <w:pPr>
              <w:ind w:left="40"/>
              <w:spacing w:after="0"/>
              <w:rPr>
                <w:sz w:val="20"/>
                <w:szCs w:val="20"/>
                <w:color w:val="auto"/>
              </w:rPr>
            </w:pPr>
            <w:r>
              <w:rPr>
                <w:rFonts w:ascii="Courier New" w:cs="Courier New" w:eastAsia="Courier New" w:hAnsi="Courier New"/>
                <w:sz w:val="18"/>
                <w:szCs w:val="18"/>
                <w:color w:val="auto"/>
              </w:rPr>
              <w:t>Classification:</w:t>
            </w:r>
          </w:p>
        </w:tc>
        <w:tc>
          <w:tcPr>
            <w:tcW w:w="600" w:type="dxa"/>
            <w:vAlign w:val="bottom"/>
          </w:tcPr>
          <w:p>
            <w:pPr>
              <w:ind w:left="60"/>
              <w:spacing w:after="0"/>
              <w:rPr>
                <w:sz w:val="20"/>
                <w:szCs w:val="20"/>
                <w:color w:val="auto"/>
              </w:rPr>
            </w:pPr>
            <w:r>
              <w:rPr>
                <w:rFonts w:ascii="Courier New" w:cs="Courier New" w:eastAsia="Courier New" w:hAnsi="Courier New"/>
                <w:sz w:val="18"/>
                <w:szCs w:val="18"/>
                <w:color w:val="auto"/>
              </w:rPr>
              <w:t>3(e)</w:t>
            </w:r>
          </w:p>
        </w:tc>
      </w:tr>
      <w:tr>
        <w:trPr>
          <w:trHeight w:val="446"/>
        </w:trPr>
        <w:tc>
          <w:tcPr>
            <w:tcW w:w="4920" w:type="dxa"/>
            <w:vAlign w:val="bottom"/>
            <w:gridSpan w:val="2"/>
          </w:tcPr>
          <w:p>
            <w:pPr>
              <w:ind w:left="240"/>
              <w:spacing w:after="0"/>
              <w:rPr>
                <w:sz w:val="20"/>
                <w:szCs w:val="20"/>
                <w:color w:val="auto"/>
              </w:rPr>
            </w:pPr>
            <w:r>
              <w:rPr>
                <w:rFonts w:ascii="Courier New" w:cs="Courier New" w:eastAsia="Courier New" w:hAnsi="Courier New"/>
                <w:sz w:val="18"/>
                <w:szCs w:val="18"/>
                <w:color w:val="auto"/>
              </w:rPr>
              <w:t>Fiduciary Trust Company International</w:t>
            </w:r>
          </w:p>
        </w:tc>
        <w:tc>
          <w:tcPr>
            <w:tcW w:w="1080" w:type="dxa"/>
            <w:vAlign w:val="bottom"/>
          </w:tcPr>
          <w:p>
            <w:pPr>
              <w:spacing w:after="0"/>
              <w:rPr>
                <w:sz w:val="24"/>
                <w:szCs w:val="24"/>
                <w:color w:val="auto"/>
              </w:rPr>
            </w:pPr>
          </w:p>
        </w:tc>
        <w:tc>
          <w:tcPr>
            <w:tcW w:w="3720" w:type="dxa"/>
            <w:vAlign w:val="bottom"/>
            <w:gridSpan w:val="4"/>
          </w:tcPr>
          <w:p>
            <w:pPr>
              <w:ind w:left="720"/>
              <w:spacing w:after="0"/>
              <w:rPr>
                <w:sz w:val="20"/>
                <w:szCs w:val="20"/>
                <w:color w:val="auto"/>
              </w:rPr>
            </w:pPr>
            <w:r>
              <w:rPr>
                <w:rFonts w:ascii="Courier New" w:cs="Courier New" w:eastAsia="Courier New" w:hAnsi="Courier New"/>
                <w:sz w:val="18"/>
                <w:szCs w:val="18"/>
                <w:color w:val="auto"/>
              </w:rPr>
              <w:t>Item 3 Classification: 3(b)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Footnotes to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42252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22525" cy="342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[1]</w:t>
      </w:r>
    </w:p>
    <w:p>
      <w:pPr>
        <w:spacing w:after="0" w:line="130" w:lineRule="exact"/>
        <w:rPr>
          <w:sz w:val="20"/>
          <w:szCs w:val="20"/>
          <w:color w:val="auto"/>
        </w:rPr>
      </w:pPr>
    </w:p>
    <w:p>
      <w:pPr>
        <w:ind w:left="400" w:right="619" w:firstLine="8"/>
        <w:spacing w:after="0" w:line="203" w:lineRule="exact"/>
        <w:rPr>
          <w:sz w:val="20"/>
          <w:szCs w:val="20"/>
          <w:color w:val="auto"/>
        </w:rPr>
      </w:pPr>
      <w:r>
        <w:rPr>
          <w:rFonts w:ascii="Courier New" w:cs="Courier New" w:eastAsia="Courier New" w:hAnsi="Courier New"/>
          <w:sz w:val="18"/>
          <w:szCs w:val="18"/>
          <w:color w:val="auto"/>
        </w:rPr>
        <w:t>Includes 302,494 shares of common stock issuable on conversion of debt securities (as computed under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3(d)(1)(i)).</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[2]</w:t>
      </w:r>
    </w:p>
    <w:p>
      <w:pPr>
        <w:spacing w:after="0" w:line="117" w:lineRule="exact"/>
        <w:rPr>
          <w:sz w:val="20"/>
          <w:szCs w:val="20"/>
          <w:color w:val="auto"/>
        </w:rPr>
      </w:pPr>
    </w:p>
    <w:p>
      <w:pPr>
        <w:ind w:left="400" w:right="519" w:firstLine="32"/>
        <w:spacing w:after="0" w:line="269" w:lineRule="auto"/>
        <w:rPr>
          <w:sz w:val="20"/>
          <w:szCs w:val="20"/>
          <w:color w:val="auto"/>
        </w:rPr>
      </w:pPr>
      <w:r>
        <w:rPr>
          <w:rFonts w:ascii="Courier New" w:cs="Courier New" w:eastAsia="Courier New" w:hAnsi="Courier New"/>
          <w:sz w:val="18"/>
          <w:szCs w:val="18"/>
          <w:color w:val="auto"/>
        </w:rPr>
        <w:t>Franklin Templeton Portfolio Advisors, Inc. (“FTPA”) may beneficially own these securities pursuant to various separately managed account investment management arrangements. Under these arrangements, underlying clients may, from time to time, delegate to FTPA the power to vote such securities, in which case FTPA has sole voting power. To the extent that the underlying client retains voting power over any securities, FTPA disclaims any power to vote or direct the vote of such securities.</w:t>
      </w:r>
    </w:p>
    <w:sectPr>
      <w:pgSz w:w="11900" w:h="16838" w:orient="portrait"/>
      <w:cols w:equalWidth="0" w:num="1">
        <w:col w:w="10219"/>
      </w:cols>
      <w:pgMar w:left="240" w:top="6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upperLetter"/>
      <w:start w:val="24"/>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2"/>
    </w:lvl>
  </w:abstractNum>
  <w:abstractNum w:abstractNumId="3">
    <w:nsid w:val="436C6125"/>
    <w:multiLevelType w:val="hybridMultilevel"/>
    <w:lvl w:ilvl="0">
      <w:lvlJc w:val="left"/>
      <w:lvlText w:val="%1."/>
      <w:numFmt w:val="decimal"/>
      <w:start w:val="3"/>
    </w:lvl>
    <w:lvl w:ilvl="1">
      <w:lvlJc w:val="left"/>
      <w:lvlText w:val="%2"/>
      <w:numFmt w:val="lowerLetter"/>
      <w:start w:val="1"/>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1."/>
      <w:numFmt w:val="decimal"/>
      <w:start w:val="10"/>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lvl w:ilvl="1">
      <w:lvlJc w:val="left"/>
      <w:lvlText w:val="(%2)"/>
      <w:numFmt w:val="lowerLetter"/>
      <w:start w:val="2"/>
    </w:lvl>
  </w:abstractNum>
  <w:abstractNum w:abstractNumId="8">
    <w:nsid w:val="2D1D5AE9"/>
    <w:multiLevelType w:val="hybridMultilevel"/>
    <w:lvl w:ilvl="0">
      <w:lvlJc w:val="left"/>
      <w:lvlText w:val="%1."/>
      <w:numFmt w:val="decimal"/>
      <w:start w:val="3"/>
    </w:lvl>
    <w:lvl w:ilvl="1">
      <w:lvlJc w:val="left"/>
      <w:lvlText w:val="%2"/>
      <w:numFmt w:val="lowerLetter"/>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1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Letter"/>
      <w:start w:val="2"/>
    </w:lvl>
  </w:abstractNum>
  <w:abstractNum w:abstractNumId="13">
    <w:nsid w:val="4353D0CD"/>
    <w:multiLevelType w:val="hybridMultilevel"/>
    <w:lvl w:ilvl="0">
      <w:lvlJc w:val="left"/>
      <w:lvlText w:val="%1."/>
      <w:numFmt w:val="decimal"/>
      <w:start w:val="3"/>
    </w:lvl>
    <w:lvl w:ilvl="1">
      <w:lvlJc w:val="left"/>
      <w:lvlText w:val="%2"/>
      <w:numFmt w:val="lowerLetter"/>
      <w:start w:val="1"/>
    </w:lvl>
  </w:abstractNum>
  <w:abstractNum w:abstractNumId="14">
    <w:nsid w:val="B03E0C6"/>
    <w:multiLevelType w:val="hybridMultilevel"/>
    <w:lvl w:ilvl="0">
      <w:lvlJc w:val="left"/>
      <w:lvlText w:val="%1."/>
      <w:numFmt w:val="decimal"/>
      <w:start w:val="5"/>
    </w:lvl>
  </w:abstractNum>
  <w:abstractNum w:abstractNumId="15">
    <w:nsid w:val="189A769B"/>
    <w:multiLevelType w:val="hybridMultilevel"/>
    <w:lvl w:ilvl="0">
      <w:lvlJc w:val="left"/>
      <w:lvlText w:val="%1."/>
      <w:numFmt w:val="decimal"/>
      <w:start w:val="1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2"/>
    </w:lvl>
  </w:abstractNum>
  <w:abstractNum w:abstractNumId="18">
    <w:nsid w:val="2CA88611"/>
    <w:multiLevelType w:val="hybridMultilevel"/>
    <w:lvl w:ilvl="0">
      <w:lvlJc w:val="left"/>
      <w:lvlText w:val="%1."/>
      <w:numFmt w:val="decimal"/>
      <w:start w:val="3"/>
    </w:lvl>
    <w:lvl w:ilvl="1">
      <w:lvlJc w:val="left"/>
      <w:lvlText w:val="%2"/>
      <w:numFmt w:val="lowerLetter"/>
      <w:start w:val="1"/>
    </w:lvl>
  </w:abstractNum>
  <w:abstractNum w:abstractNumId="19">
    <w:nsid w:val="836C40E"/>
    <w:multiLevelType w:val="hybridMultilevel"/>
    <w:lvl w:ilvl="0">
      <w:lvlJc w:val="left"/>
      <w:lvlText w:val="%1."/>
      <w:numFmt w:val="decimal"/>
      <w:start w:val="5"/>
    </w:lvl>
  </w:abstractNum>
  <w:abstractNum w:abstractNumId="20">
    <w:nsid w:val="2901D82"/>
    <w:multiLevelType w:val="hybridMultilevel"/>
    <w:lvl w:ilvl="0">
      <w:lvlJc w:val="left"/>
      <w:lvlText w:val="%1."/>
      <w:numFmt w:val="decimal"/>
      <w:start w:val="11"/>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1"/>
    </w:lvl>
  </w:abstractNum>
  <w:abstractNum w:abstractNumId="23">
    <w:nsid w:val="1E7FF521"/>
    <w:multiLevelType w:val="hybridMultilevel"/>
    <w:lvl w:ilvl="0">
      <w:lvlJc w:val="left"/>
      <w:lvlText w:val="(%1)"/>
      <w:numFmt w:val="lowerLetter"/>
      <w:start w:val="2"/>
    </w:lvl>
  </w:abstractNum>
  <w:abstractNum w:abstractNumId="24">
    <w:nsid w:val="7C3DBD3D"/>
    <w:multiLevelType w:val="hybridMultilevel"/>
    <w:lvl w:ilvl="0">
      <w:lvlJc w:val="left"/>
      <w:lvlText w:val="(%1)"/>
      <w:numFmt w:val="lowerLetter"/>
      <w:start w:val="3"/>
    </w:lvl>
  </w:abstractNum>
  <w:abstractNum w:abstractNumId="25">
    <w:nsid w:val="737B8DDC"/>
    <w:multiLevelType w:val="hybridMultilevel"/>
    <w:lvl w:ilvl="0">
      <w:lvlJc w:val="left"/>
      <w:lvlText w:val="%1"/>
      <w:numFmt w:val="lowerLetter"/>
      <w:start w:val="1"/>
    </w:lvl>
    <w:lvl w:ilvl="1">
      <w:lvlJc w:val="left"/>
      <w:lvlText w:val="(%2)"/>
      <w:numFmt w:val="lowerLetter"/>
      <w:start w:val="35"/>
    </w:lvl>
  </w:abstractNum>
  <w:abstractNum w:abstractNumId="26">
    <w:nsid w:val="6CEAF087"/>
    <w:multiLevelType w:val="hybridMultilevel"/>
    <w:lvl w:ilvl="0">
      <w:lvlJc w:val="left"/>
      <w:lvlText w:val="(%1)"/>
      <w:numFmt w:val="lowerLetter"/>
      <w:start w:val="4"/>
    </w:lvl>
    <w:lvl w:ilvl="1">
      <w:lvlJc w:val="left"/>
      <w:lvlText w:val="%2"/>
      <w:numFmt w:val="lowerLetter"/>
      <w:start w:val="1"/>
    </w:lvl>
  </w:abstractNum>
  <w:abstractNum w:abstractNumId="27">
    <w:nsid w:val="22221A70"/>
    <w:multiLevelType w:val="hybridMultilevel"/>
    <w:lvl w:ilvl="0">
      <w:lvlJc w:val="left"/>
      <w:lvlText w:val="(%1)"/>
      <w:numFmt w:val="lowerLetter"/>
      <w:start w:val="5"/>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1)"/>
      <w:numFmt w:val="lowerLetter"/>
      <w:start w:val="7"/>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Roman"/>
      <w:start w:val="3"/>
    </w:lvl>
  </w:abstractNum>
  <w:abstractNum w:abstractNumId="32">
    <w:nsid w:val="5577F8E1"/>
    <w:multiLevelType w:val="hybridMultilevel"/>
    <w:lvl w:ilvl="0">
      <w:lvlJc w:val="left"/>
      <w:lvlText w:val="(%1)"/>
      <w:numFmt w:val="lowerRoman"/>
      <w:start w:val="4"/>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2019-12-07T23:31:30Z</dcterms:created>
  <dcterms:modified xsi:type="dcterms:W3CDTF">2019-12-07T23:31:30Z</dcterms:modified>
</cp:coreProperties>
</file>