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1670656001565.xml.htm"/>
      <w:bookmarkStart w:id="1" w:name="kswfform4_161670656001565"/>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BARTHELEMY NICOLAS</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FLUIDIGM CORPORATION</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 TOWER PLACE, STE 2000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SOUTH SAN FRANCISCO</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94080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FLUIDIGM CORP</w:t>
              </w:r>
            </w:hyperlink>
            <w:r>
              <w:rPr/>
              <w:t xml:space="preserve"> [ </w:t>
            </w:r>
            <w:r>
              <w:rPr>
                <w:rFonts w:ascii="Times;serif" w:hAnsi="Times;serif"/>
                <w:color w:val="0000FF"/>
                <w:sz w:val="24"/>
                <w:highlight w:val="white"/>
              </w:rPr>
              <w:t>FLDM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03/23/2021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97"/>
        <w:gridCol w:w="931"/>
        <w:gridCol w:w="798"/>
        <w:gridCol w:w="618"/>
        <w:gridCol w:w="350"/>
        <w:gridCol w:w="842"/>
        <w:gridCol w:w="444"/>
        <w:gridCol w:w="612"/>
        <w:gridCol w:w="1158"/>
        <w:gridCol w:w="998"/>
        <w:gridCol w:w="125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7"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8"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5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7"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98"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1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4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58"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8"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257"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97"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03/23/2021</w:t>
            </w:r>
          </w:p>
        </w:tc>
        <w:tc>
          <w:tcPr>
            <w:tcW w:w="79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5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2,500</w:t>
            </w:r>
          </w:p>
        </w:tc>
        <w:tc>
          <w:tcPr>
            <w:tcW w:w="44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1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15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167,742</w:t>
            </w:r>
          </w:p>
        </w:tc>
        <w:tc>
          <w:tcPr>
            <w:tcW w:w="9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25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The Barthelemy 2001 Trust</w:t>
            </w:r>
          </w:p>
        </w:tc>
      </w:tr>
    </w:tbl>
    <w:tbl>
      <w:tblPr>
        <w:tblW w:w="11969" w:type="dxa"/>
        <w:jc w:val="left"/>
        <w:tblInd w:w="0" w:type="dxa"/>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03/23/2021</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2,500</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2,500</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Each Restricted Stock Unit represents the contingent right to receive one share of FLDM common stock.</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On March 23, 2017, the Reporting Person was granted 10,000 Restricted Stock Units vesting as to 25% of the total number of shares underlying the Restricted Stock Units on each anniversary date after the date of grant on the same day of the month as the date of grant, subject to continued service as a director.</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4"/>
        <w:gridCol w:w="2040"/>
        <w:gridCol w:w="2041"/>
      </w:tblGrid>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Nicolas Barthelemy by Nicholas Khadder,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03/25/2021</w:t>
            </w:r>
          </w:p>
        </w:tc>
      </w:tr>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83576" TargetMode="External"/><Relationship Id="rId4" Type="http://schemas.openxmlformats.org/officeDocument/2006/relationships/hyperlink" Target="http://www.sec.gov/cgi-bin/browse-edgar?action=getcompany&amp;CIK=000116219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616</Words>
  <CharactersWithSpaces>3838</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