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6)</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Fluidigm Corporation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$.001 par value per share</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220"/>
        <w:spacing w:after="0"/>
        <w:rPr>
          <w:sz w:val="20"/>
          <w:szCs w:val="20"/>
          <w:color w:val="auto"/>
        </w:rPr>
      </w:pPr>
      <w:r>
        <w:rPr>
          <w:rFonts w:ascii="Arial" w:cs="Arial" w:eastAsia="Arial" w:hAnsi="Arial"/>
          <w:sz w:val="22"/>
          <w:szCs w:val="22"/>
          <w:u w:val="single" w:color="auto"/>
          <w:color w:val="auto"/>
        </w:rPr>
        <w:t>34385P108</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John A. Levin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Levin Capital Strategies,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595 Madison Avenue, 17th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259-0800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December 12, 2018</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34385P108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Levin Capital Strategies,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 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9,084,238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12,378,190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12,378,190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26.1%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Levin Capital Strategies GP, LLC</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9,084,238</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12,378,190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12,378,190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26.1%</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Bi-Directional Disequilibrium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95,606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LCS, LLC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95,606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Levcap Alternative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431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LCS Event Partners, LLC</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Safinia Partners, L.P.</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LCS L/S, LLC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431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John A. Levin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United States of America</w:t>
            </w: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12,570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9,084,238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12,570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12,427,369</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12,427,369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26.2%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34385P108</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6 to the Schedule 13D filed by the undersigned (the "Amendment No. 6").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 amends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u w:val="single" w:color="auto"/>
          <w:color w:val="auto"/>
        </w:rPr>
        <w:t>IDENTITY AND BACKGROUND.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2 is hereby amended to add the following:</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Levcap and Safinia were liquidated and are not deemed to beneficially own any Shares and shall cease to be Reporting Persons upon filing of this Amendment No. 6. LCSEP and LCSLS, as the former General Partners of Levcap and Safinia, respectively, ceased to beneficially own any Shares and shall cease to be Reporting Persons upon filing of this Amendment No. 6. The remaining Reporting Persons will continue filing as a group, statements on Schedule 13D with respect to their beneficial ownership of securities of the Issuer to the extent required by applicable law. Each of the remaining Reporting Persons is party to the Joint Filing Agreement (defined and described in Item 6).</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SOURCE AND AMOUNT OF FUNDS OR OTHER CONSIDERATION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as follows:</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The Shares purchased by LCS on behalf of separately managed accounts, including Transamerica Large Cap Value Fund, a registered investment company under the Investment Company Act of 1940, as amended ("Transamerica"), for which LCS acts as sub-investment advisor, were purchased with general investment funds in open market purchases, except as otherwise noted on Schedule A. The aggregate purchase price of the 12,427,369 Shares beneficially owned directly by John A. Levin is approximately $74,218,034 including brokerage commissions. The aggregate purchase price of the 12,378,190 Shares beneficially owned directly by LCS is approximately $73,938,985, including brokerage commissions.</w:t>
      </w:r>
    </w:p>
    <w:p>
      <w:pPr>
        <w:spacing w:after="0" w:line="158"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The Shares purchased by Bi-Directional were purchased with general investment funds in open market purchases, except as otherwise noted. The aggregate purchase price of the 95,606 Shares owned directly by Bi-Directional is approximately $581,206, including brokerage commissions.</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To the best of the Reporting Persons’ knowledge, none of the persons listed on Appendix A to the Schedule 13D beneficially owns any securities of the Issuer.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INTEREST IN SECURITIES OF THE ISSUER</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5(a)-(d) are hereby amended and restated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47,465,785 Shares outstanding as of December 11, 2018, which is the total number of Shares outstanding as reported in the Issuer’s Form 424B5 or prospectus filed with the Securities and Exchange Commission on December 12, 2018.</w:t>
      </w:r>
    </w:p>
    <w:p>
      <w:pPr>
        <w:spacing w:after="0" w:line="18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LCS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the close of business on December 12, 2018, LCS beneficially owned 12,378,190 Shares on behalf of separately managed accounts, including 1,870,000 Shares held by the separately managed account Transamerica.</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26.1%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9,084,238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12,378,190</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transactions in the Shares by LCS on behalf of separately managed accounts, including Transamerica, since the filing of Amendment No. 5 to the Schedule 13D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LCS GP</w:t>
      </w:r>
    </w:p>
    <w:p>
      <w:pPr>
        <w:spacing w:after="0" w:line="225" w:lineRule="exact"/>
        <w:rPr>
          <w:rFonts w:ascii="Arial" w:cs="Arial" w:eastAsia="Arial" w:hAnsi="Arial"/>
          <w:sz w:val="18"/>
          <w:szCs w:val="18"/>
          <w:color w:val="auto"/>
        </w:rPr>
      </w:pPr>
    </w:p>
    <w:p>
      <w:pPr>
        <w:ind w:left="1300" w:right="1300" w:hanging="644"/>
        <w:spacing w:after="0" w:line="50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the General Partner of LCS, LCS GP is deemed to beneficially own the 12,378,190 Shares beneficially owned by LCS. Percentage: Approximately 26.1%</w:t>
      </w: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9,084,238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12,378,190</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LCS GP has not undertaken any transactions in the Shares since the filing of Amendment No. 5 to the Schedule 13D. The transactions in the Shares by LCS since the filing of Amendment No. 5 to the Schedule 13D are set forth in Schedule A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Bi-Directional</w:t>
      </w:r>
    </w:p>
    <w:p>
      <w:pPr>
        <w:spacing w:after="0" w:line="225" w:lineRule="exact"/>
        <w:rPr>
          <w:rFonts w:ascii="Arial" w:cs="Arial" w:eastAsia="Arial" w:hAnsi="Arial"/>
          <w:sz w:val="18"/>
          <w:szCs w:val="18"/>
          <w:color w:val="auto"/>
        </w:rPr>
      </w:pPr>
    </w:p>
    <w:p>
      <w:pPr>
        <w:ind w:left="1300" w:right="2840" w:hanging="644"/>
        <w:spacing w:after="0" w:line="50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of the close of business on December 12, 2018, Bi-Directional beneficially owned 95,606 Shares. Percentage: Less than 1.0%.</w:t>
      </w: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95,606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95,606</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Bi-Directional has not undertaken any transactions in the Shares since the filing of Amendment No. 5 to the Schedule 13D.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LCSL</w:t>
      </w:r>
    </w:p>
    <w:p>
      <w:pPr>
        <w:spacing w:after="0" w:line="225" w:lineRule="exact"/>
        <w:rPr>
          <w:rFonts w:ascii="Arial" w:cs="Arial" w:eastAsia="Arial" w:hAnsi="Arial"/>
          <w:sz w:val="18"/>
          <w:szCs w:val="18"/>
          <w:color w:val="auto"/>
        </w:rPr>
      </w:pPr>
    </w:p>
    <w:p>
      <w:pPr>
        <w:ind w:left="1300" w:right="400" w:hanging="644"/>
        <w:spacing w:after="0" w:line="50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the general partner of LCSL, Bi-Directional is deemed to beneficially own the 95,606 Shares beneficially owned by Bi-Directional. Percentage: Less than 1.0%.</w:t>
      </w: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95,606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95,606</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LCSL has not undertaken any transactions in the Shares since the filing of Amendment No. 5 to the Schedule 13D.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Levcap</w:t>
      </w:r>
    </w:p>
    <w:p>
      <w:pPr>
        <w:spacing w:after="0" w:line="225" w:lineRule="exact"/>
        <w:rPr>
          <w:rFonts w:ascii="Arial" w:cs="Arial" w:eastAsia="Arial" w:hAnsi="Arial"/>
          <w:sz w:val="18"/>
          <w:szCs w:val="18"/>
          <w:color w:val="auto"/>
        </w:rPr>
      </w:pPr>
    </w:p>
    <w:p>
      <w:pPr>
        <w:ind w:left="1300" w:right="3120" w:hanging="644"/>
        <w:spacing w:after="0" w:line="50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close of business on December 12, 2018, Levcap does not beneficially own any Shares. Percentage: 0.0%.</w:t>
      </w: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connection with its liquidation, Levcap made a pro-rata distribution of the Shares it beneficially owned to its general and limited partners. The transaction in the Shares, in connection with the liquidation of Levcap, since the filing of Amendment No. 5 to the Schedule 13D are set forth on Schedule A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LCSEP</w:t>
      </w:r>
    </w:p>
    <w:p>
      <w:pPr>
        <w:spacing w:after="0" w:line="225" w:lineRule="exact"/>
        <w:rPr>
          <w:rFonts w:ascii="Arial" w:cs="Arial" w:eastAsia="Arial" w:hAnsi="Arial"/>
          <w:sz w:val="18"/>
          <w:szCs w:val="18"/>
          <w:color w:val="auto"/>
        </w:rPr>
      </w:pPr>
    </w:p>
    <w:p>
      <w:pPr>
        <w:ind w:left="1300" w:right="3760" w:hanging="644"/>
        <w:spacing w:after="0" w:line="50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the former General Partner of Levcap, LCSEP does not beneficially own any Shares. Percentage: 0.0%.</w:t>
      </w: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LCSEP has not undertaken any transactions in the Shares since the filing of Amendment No. 5 to the Schedule 13D.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Safinia</w:t>
      </w:r>
    </w:p>
    <w:p>
      <w:pPr>
        <w:spacing w:after="0" w:line="225" w:lineRule="exact"/>
        <w:rPr>
          <w:rFonts w:ascii="Arial" w:cs="Arial" w:eastAsia="Arial" w:hAnsi="Arial"/>
          <w:sz w:val="18"/>
          <w:szCs w:val="18"/>
          <w:color w:val="auto"/>
        </w:rPr>
      </w:pPr>
    </w:p>
    <w:p>
      <w:pPr>
        <w:ind w:left="1300" w:right="3140" w:hanging="644"/>
        <w:spacing w:after="0" w:line="50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close of business on December 12, 2018, Safinia does not beneficially own any Shares. Percentage: 0.0%.</w:t>
      </w: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connection with its liquidation, Safinia made a pro-rata distribution of the Shares it beneficially owned to its general and limited partners. The transaction in the Shares, in connection with the liquidation of Safinia, since the filing of Amendment No. 5 to the Schedule 13D are set forth on Schedule A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LCSLS</w:t>
      </w:r>
    </w:p>
    <w:p>
      <w:pPr>
        <w:spacing w:after="0" w:line="225" w:lineRule="exact"/>
        <w:rPr>
          <w:rFonts w:ascii="Arial" w:cs="Arial" w:eastAsia="Arial" w:hAnsi="Arial"/>
          <w:sz w:val="18"/>
          <w:szCs w:val="18"/>
          <w:color w:val="auto"/>
        </w:rPr>
      </w:pPr>
    </w:p>
    <w:p>
      <w:pPr>
        <w:ind w:left="1300" w:right="3780" w:hanging="644"/>
        <w:spacing w:after="0" w:line="50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the former General Partner of Safinia, LCSLS does not beneficially own any Shares. Percentage: 0.0%.</w:t>
      </w: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LCSLS has not undertaken any transactions in the Shares since the filing of Amendment No. 5 to the Schedule 13D.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John Levin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the Chief Executive Officer of LCS and the Managing Member of each of LCSEP and LCSLS, Mr. Levin is deemed to beneficially own 12,427,369 Shares beneficially owned by LCS.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26.2%.</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12,570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9,084,238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12,570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12,427,369</w:t>
      </w:r>
    </w:p>
    <w:p>
      <w:pPr>
        <w:spacing w:after="0" w:line="210" w:lineRule="exact"/>
        <w:rPr>
          <w:rFonts w:ascii="Arial" w:cs="Arial" w:eastAsia="Arial" w:hAnsi="Arial"/>
          <w:sz w:val="18"/>
          <w:szCs w:val="18"/>
          <w:color w:val="auto"/>
        </w:rPr>
      </w:pPr>
    </w:p>
    <w:p>
      <w:pPr>
        <w:jc w:val="both"/>
        <w:ind w:left="1300" w:hanging="644"/>
        <w:spacing w:after="0" w:line="297"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connection with the liquidation of Levcap and Safinia, Mr. Levin, his spouse and certain family trusts that Mr. Levin is deemed to share voting and dispositive power over, received a pro-rata distribution of Shares from Levcap and Safinia as limited partners. The transaction in the Shares by Mr. Levin in connection with the pro-rata distribution of Shares from Levcap and Safinia since the filing of Amendment No. 5 to the Schedule 13D are set forth on Schedule A and are incorporated herein by reference. The transactions in the Shares by LCS since the filing of Amendment No. 5 to the Schedule 13D are set forth in Schedule A and are incorporated herein by reference.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best of the Reporting Persons’ knowledge, none of the persons listed on Appendix A to the Schedule 13D beneficially owns any securities of the Issuer.</w:t>
      </w:r>
    </w:p>
    <w:p>
      <w:pPr>
        <w:spacing w:after="0" w:line="170" w:lineRule="exact"/>
        <w:rPr>
          <w:sz w:val="20"/>
          <w:szCs w:val="20"/>
          <w:color w:val="auto"/>
        </w:rPr>
      </w:pPr>
    </w:p>
    <w:p>
      <w:pPr>
        <w:jc w:val="both"/>
        <w:ind w:firstLine="656"/>
        <w:spacing w:after="0" w:line="264" w:lineRule="auto"/>
        <w:tabs>
          <w:tab w:leader="none" w:pos="12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separately managed account, Transamerica, a registered investment company under the Investment Company Act of 1940, as amended, for which LCS acts as sub-investment advisor, has the right to receive dividends from, and the proceeds from the sale of, 1,870,000 Shares. Voting and dispositive power over such Shares is deemed to be shared between LCS and Transamerica.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34385P108</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Various other separately managed accounts for whom LCS acts as investment manager have the right to receive dividends from, and the proceeds from the sale of 10,412,584 Shares. Dispositive power over such Shares is shared. Voting power over such Shares is deemed shared between such managed accounts and LCS with respect to 7,118,632 Shares.</w:t>
      </w:r>
    </w:p>
    <w:p>
      <w:pPr>
        <w:spacing w:after="0" w:line="397" w:lineRule="exact"/>
        <w:rPr>
          <w:sz w:val="20"/>
          <w:szCs w:val="20"/>
          <w:color w:val="auto"/>
        </w:rPr>
      </w:pPr>
    </w:p>
    <w:p>
      <w:pPr>
        <w:ind w:left="1300" w:right="700" w:hanging="1296"/>
        <w:spacing w:after="0" w:line="277" w:lineRule="auto"/>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u w:val="single" w:color="auto"/>
          <w:color w:val="auto"/>
        </w:rPr>
        <w:t>CONTRACTS, ARRANGEMENTS, UNDERSTANDINGS OR RELATIONSHIPS WITH RESPECT TO SECURITIES OF THE ISSUER.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On December 14, 2018, the Reporting Persons entered into a Joint Filing Agreement in which the Reporting Persons who will remain Reporting Persons subsequent to this Amendment No. 6 agreed to the joint filing on behalf of each of them of statements on Schedule 13D with respect to the securities of the Issuer to the extent required by applicable law. A copy of the Joint Filing Agreement is attached hereto as Exhibit 99.1 and is incorporated herein by reference.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u w:val="single" w:color="auto"/>
          <w:color w:val="auto"/>
        </w:rPr>
        <w:t>MATERIAL TO BE FILED AS EXHIBITS</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dated December 14,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34385P108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14, 2018</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Levin Capital Strategies GP, LLC</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John A. Levin 2005 GRAT Separation Trust, as Managing</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Member</w:t>
            </w:r>
          </w:p>
        </w:tc>
        <w:tc>
          <w:tcPr>
            <w:tcW w:w="388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Elisabeth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Elisabeth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Trustee</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Bi-Directional Fund,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Levin Capital Strategies, L.P., the investment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rPr>
              <w:t>LCS, LLC</w:t>
            </w:r>
          </w:p>
        </w:tc>
        <w:tc>
          <w:tcPr>
            <w:tcW w:w="38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r>
        <w:trPr>
          <w:trHeight w:val="432"/>
        </w:trPr>
        <w:tc>
          <w:tcPr>
            <w:tcW w:w="5400" w:type="dxa"/>
            <w:vAlign w:val="bottom"/>
            <w:gridSpan w:val="3"/>
          </w:tcPr>
          <w:p>
            <w:pPr>
              <w:spacing w:after="0"/>
              <w:rPr>
                <w:sz w:val="20"/>
                <w:szCs w:val="20"/>
                <w:color w:val="auto"/>
              </w:rPr>
            </w:pPr>
            <w:r>
              <w:rPr>
                <w:rFonts w:ascii="Arial" w:cs="Arial" w:eastAsia="Arial" w:hAnsi="Arial"/>
                <w:sz w:val="18"/>
                <w:szCs w:val="18"/>
                <w:color w:val="auto"/>
              </w:rPr>
              <w:t>Levcap Alternative Fund,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Event Partners, LLC, 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34385P108</w:t>
      </w:r>
    </w:p>
    <w:p>
      <w:pPr>
        <w:spacing w:after="0" w:line="3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LCS Event Partners, LLC</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20" w:type="dxa"/>
            <w:vAlign w:val="bottom"/>
            <w:gridSpan w:val="2"/>
          </w:tcPr>
          <w:p>
            <w:pPr>
              <w:spacing w:after="0"/>
              <w:rPr>
                <w:sz w:val="20"/>
                <w:szCs w:val="20"/>
                <w:color w:val="auto"/>
              </w:rPr>
            </w:pPr>
            <w:r>
              <w:rPr>
                <w:rFonts w:ascii="Arial" w:cs="Arial" w:eastAsia="Arial" w:hAnsi="Arial"/>
                <w:sz w:val="18"/>
                <w:szCs w:val="18"/>
                <w:color w:val="auto"/>
                <w:w w:val="94"/>
              </w:rPr>
              <w:t>Safinia Partners, L.P.</w:t>
            </w:r>
          </w:p>
        </w:tc>
        <w:tc>
          <w:tcPr>
            <w:tcW w:w="37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L/S, LLC, 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20" w:type="dxa"/>
            <w:vAlign w:val="bottom"/>
            <w:gridSpan w:val="2"/>
          </w:tcPr>
          <w:p>
            <w:pPr>
              <w:spacing w:after="0"/>
              <w:rPr>
                <w:sz w:val="20"/>
                <w:szCs w:val="20"/>
                <w:color w:val="auto"/>
              </w:rPr>
            </w:pPr>
            <w:r>
              <w:rPr>
                <w:rFonts w:ascii="Arial" w:cs="Arial" w:eastAsia="Arial" w:hAnsi="Arial"/>
                <w:sz w:val="18"/>
                <w:szCs w:val="18"/>
                <w:color w:val="auto"/>
              </w:rPr>
              <w:t>LCS L/S, LLC</w:t>
            </w:r>
          </w:p>
        </w:tc>
        <w:tc>
          <w:tcPr>
            <w:tcW w:w="37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John A. Levin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302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CUSIP NO. 34385P108</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Transactions in the Shares Since the filing of Amendment No. 5 to the Schedule 13D</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640" w:type="dxa"/>
            <w:vAlign w:val="bottom"/>
            <w:tcBorders>
              <w:top w:val="single" w:sz="8" w:color="auto"/>
              <w:left w:val="single" w:sz="8" w:color="auto"/>
              <w:right w:val="single" w:sz="8" w:color="auto"/>
            </w:tcBorders>
            <w:vMerge w:val="restart"/>
            <w:shd w:val="clear" w:color="auto" w:fill="C0C0C0"/>
          </w:tcPr>
          <w:p>
            <w:pPr>
              <w:jc w:val="right"/>
              <w:ind w:right="570"/>
              <w:spacing w:after="0"/>
              <w:rPr>
                <w:sz w:val="20"/>
                <w:szCs w:val="20"/>
                <w:color w:val="auto"/>
              </w:rPr>
            </w:pPr>
            <w:r>
              <w:rPr>
                <w:rFonts w:ascii="Arial" w:cs="Arial" w:eastAsia="Arial" w:hAnsi="Arial"/>
                <w:sz w:val="18"/>
                <w:szCs w:val="18"/>
                <w:color w:val="auto"/>
              </w:rPr>
              <w:t>Date</w:t>
            </w:r>
          </w:p>
        </w:tc>
        <w:tc>
          <w:tcPr>
            <w:tcW w:w="1600" w:type="dxa"/>
            <w:vAlign w:val="bottom"/>
            <w:tcBorders>
              <w:top w:val="single" w:sz="8" w:color="auto"/>
              <w:right w:val="single" w:sz="8" w:color="auto"/>
            </w:tcBorders>
            <w:vMerge w:val="restart"/>
            <w:shd w:val="clear" w:color="auto" w:fill="C0C0C0"/>
          </w:tcPr>
          <w:p>
            <w:pPr>
              <w:ind w:left="380"/>
              <w:spacing w:after="0"/>
              <w:rPr>
                <w:sz w:val="20"/>
                <w:szCs w:val="20"/>
                <w:color w:val="auto"/>
              </w:rPr>
            </w:pPr>
            <w:r>
              <w:rPr>
                <w:rFonts w:ascii="Arial" w:cs="Arial" w:eastAsia="Arial" w:hAnsi="Arial"/>
                <w:sz w:val="18"/>
                <w:szCs w:val="18"/>
                <w:color w:val="auto"/>
              </w:rPr>
              <w:t>Buy or Sell</w:t>
            </w:r>
          </w:p>
        </w:tc>
        <w:tc>
          <w:tcPr>
            <w:tcW w:w="1240" w:type="dxa"/>
            <w:vAlign w:val="bottom"/>
            <w:tcBorders>
              <w:top w:val="single" w:sz="8" w:color="auto"/>
              <w:right w:val="single" w:sz="8" w:color="auto"/>
            </w:tcBorders>
            <w:vMerge w:val="restart"/>
            <w:shd w:val="clear" w:color="auto" w:fill="C0C0C0"/>
          </w:tcPr>
          <w:p>
            <w:pPr>
              <w:jc w:val="right"/>
              <w:ind w:right="230"/>
              <w:spacing w:after="0"/>
              <w:rPr>
                <w:sz w:val="20"/>
                <w:szCs w:val="20"/>
                <w:color w:val="auto"/>
              </w:rPr>
            </w:pPr>
            <w:r>
              <w:rPr>
                <w:rFonts w:ascii="Arial" w:cs="Arial" w:eastAsia="Arial" w:hAnsi="Arial"/>
                <w:sz w:val="18"/>
                <w:szCs w:val="18"/>
                <w:color w:val="auto"/>
              </w:rPr>
              <w:t>Quantity</w:t>
            </w:r>
          </w:p>
        </w:tc>
        <w:tc>
          <w:tcPr>
            <w:tcW w:w="182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8"/>
              </w:rPr>
              <w:t>Price Per Share</w:t>
            </w:r>
          </w:p>
        </w:tc>
        <w:tc>
          <w:tcPr>
            <w:tcW w:w="5120" w:type="dxa"/>
            <w:vAlign w:val="bottom"/>
            <w:tcBorders>
              <w:top w:val="single" w:sz="8" w:color="auto"/>
              <w:right w:val="single" w:sz="8" w:color="auto"/>
            </w:tcBorders>
            <w:vMerge w:val="restart"/>
            <w:shd w:val="clear" w:color="auto" w:fill="C0C0C0"/>
          </w:tcPr>
          <w:p>
            <w:pPr>
              <w:ind w:left="1920"/>
              <w:spacing w:after="0"/>
              <w:rPr>
                <w:sz w:val="20"/>
                <w:szCs w:val="20"/>
                <w:color w:val="auto"/>
              </w:rPr>
            </w:pPr>
            <w:r>
              <w:rPr>
                <w:rFonts w:ascii="Arial" w:cs="Arial" w:eastAsia="Arial" w:hAnsi="Arial"/>
                <w:sz w:val="18"/>
                <w:szCs w:val="18"/>
                <w:color w:val="auto"/>
              </w:rPr>
              <w:t>Reporting Person</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shd w:val="clear" w:color="auto" w:fill="C0C0C0"/>
          </w:tcPr>
          <w:p>
            <w:pPr>
              <w:spacing w:after="0"/>
              <w:rPr>
                <w:sz w:val="10"/>
                <w:szCs w:val="10"/>
                <w:color w:val="auto"/>
              </w:rPr>
            </w:pPr>
          </w:p>
        </w:tc>
        <w:tc>
          <w:tcPr>
            <w:tcW w:w="1600" w:type="dxa"/>
            <w:vAlign w:val="bottom"/>
            <w:tcBorders>
              <w:right w:val="single" w:sz="8" w:color="auto"/>
            </w:tcBorders>
            <w:vMerge w:val="continue"/>
            <w:shd w:val="clear" w:color="auto" w:fill="C0C0C0"/>
          </w:tcPr>
          <w:p>
            <w:pPr>
              <w:spacing w:after="0"/>
              <w:rPr>
                <w:sz w:val="10"/>
                <w:szCs w:val="10"/>
                <w:color w:val="auto"/>
              </w:rPr>
            </w:pPr>
          </w:p>
        </w:tc>
        <w:tc>
          <w:tcPr>
            <w:tcW w:w="1240" w:type="dxa"/>
            <w:vAlign w:val="bottom"/>
            <w:tcBorders>
              <w:right w:val="single" w:sz="8" w:color="auto"/>
            </w:tcBorders>
            <w:vMerge w:val="continue"/>
            <w:shd w:val="clear" w:color="auto" w:fill="C0C0C0"/>
          </w:tcPr>
          <w:p>
            <w:pPr>
              <w:spacing w:after="0"/>
              <w:rPr>
                <w:sz w:val="10"/>
                <w:szCs w:val="10"/>
                <w:color w:val="auto"/>
              </w:rPr>
            </w:pPr>
          </w:p>
        </w:tc>
        <w:tc>
          <w:tcPr>
            <w:tcW w:w="18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color w:val="auto"/>
                <w:w w:val="91"/>
              </w:rPr>
              <w:t>(before commission)</w:t>
            </w:r>
          </w:p>
        </w:tc>
        <w:tc>
          <w:tcPr>
            <w:tcW w:w="5120" w:type="dxa"/>
            <w:vAlign w:val="bottom"/>
            <w:tcBorders>
              <w:right w:val="single" w:sz="8" w:color="auto"/>
            </w:tcBorders>
            <w:vMerge w:val="continue"/>
            <w:shd w:val="clear" w:color="auto" w:fill="C0C0C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bottom w:val="single" w:sz="8" w:color="auto"/>
              <w:right w:val="single" w:sz="8" w:color="auto"/>
            </w:tcBorders>
            <w:shd w:val="clear" w:color="auto" w:fill="C0C0C0"/>
          </w:tcPr>
          <w:p>
            <w:pPr>
              <w:spacing w:after="0"/>
              <w:rPr>
                <w:sz w:val="9"/>
                <w:szCs w:val="9"/>
                <w:color w:val="auto"/>
              </w:rPr>
            </w:pPr>
          </w:p>
        </w:tc>
        <w:tc>
          <w:tcPr>
            <w:tcW w:w="1600" w:type="dxa"/>
            <w:vAlign w:val="bottom"/>
            <w:tcBorders>
              <w:bottom w:val="single" w:sz="8" w:color="auto"/>
              <w:right w:val="single" w:sz="8" w:color="auto"/>
            </w:tcBorders>
            <w:shd w:val="clear" w:color="auto" w:fill="C0C0C0"/>
          </w:tcPr>
          <w:p>
            <w:pPr>
              <w:spacing w:after="0"/>
              <w:rPr>
                <w:sz w:val="9"/>
                <w:szCs w:val="9"/>
                <w:color w:val="auto"/>
              </w:rPr>
            </w:pPr>
          </w:p>
        </w:tc>
        <w:tc>
          <w:tcPr>
            <w:tcW w:w="1240" w:type="dxa"/>
            <w:vAlign w:val="bottom"/>
            <w:tcBorders>
              <w:bottom w:val="single" w:sz="8" w:color="auto"/>
              <w:right w:val="single" w:sz="8" w:color="auto"/>
            </w:tcBorders>
            <w:shd w:val="clear" w:color="auto" w:fill="C0C0C0"/>
          </w:tcPr>
          <w:p>
            <w:pPr>
              <w:spacing w:after="0"/>
              <w:rPr>
                <w:sz w:val="9"/>
                <w:szCs w:val="9"/>
                <w:color w:val="auto"/>
              </w:rPr>
            </w:pPr>
          </w:p>
        </w:tc>
        <w:tc>
          <w:tcPr>
            <w:tcW w:w="182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5120" w:type="dxa"/>
            <w:vAlign w:val="bottom"/>
            <w:tcBorders>
              <w:bottom w:val="single" w:sz="8" w:color="auto"/>
              <w:right w:val="single" w:sz="8" w:color="auto"/>
            </w:tcBorders>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12/12/2018</w:t>
            </w:r>
          </w:p>
        </w:tc>
        <w:tc>
          <w:tcPr>
            <w:tcW w:w="1600" w:type="dxa"/>
            <w:vAlign w:val="bottom"/>
            <w:tcBorders>
              <w:bottom w:val="single" w:sz="8" w:color="auto"/>
              <w:right w:val="single" w:sz="8" w:color="auto"/>
            </w:tcBorders>
          </w:tcPr>
          <w:p>
            <w:pPr>
              <w:ind w:left="80"/>
              <w:spacing w:after="0" w:line="251" w:lineRule="exact"/>
              <w:rPr>
                <w:sz w:val="20"/>
                <w:szCs w:val="20"/>
                <w:color w:val="auto"/>
              </w:rPr>
            </w:pPr>
            <w:r>
              <w:rPr>
                <w:rFonts w:ascii="Arial" w:cs="Arial" w:eastAsia="Arial" w:hAnsi="Arial"/>
                <w:sz w:val="18"/>
                <w:szCs w:val="18"/>
                <w:color w:val="auto"/>
              </w:rPr>
              <w:t>Buy</w:t>
            </w:r>
            <w:r>
              <w:rPr>
                <w:rFonts w:ascii="Arial" w:cs="Arial" w:eastAsia="Arial" w:hAnsi="Arial"/>
                <w:sz w:val="29"/>
                <w:szCs w:val="29"/>
                <w:color w:val="auto"/>
                <w:vertAlign w:val="superscript"/>
              </w:rPr>
              <w:t>1</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564,731</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6.7500</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Transamerica Large Cap Value Fund</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12/12/2018</w:t>
            </w:r>
          </w:p>
        </w:tc>
        <w:tc>
          <w:tcPr>
            <w:tcW w:w="160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Buy</w:t>
            </w:r>
            <w:r>
              <w:rPr>
                <w:rFonts w:ascii="Arial" w:cs="Arial" w:eastAsia="Arial" w:hAnsi="Arial"/>
                <w:sz w:val="28"/>
                <w:szCs w:val="28"/>
                <w:color w:val="auto"/>
                <w:vertAlign w:val="superscript"/>
              </w:rPr>
              <w:t>1</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435,269</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6.7500</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12/12/2018</w:t>
            </w: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IA Addition</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7,943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12/10/2018</w:t>
            </w:r>
          </w:p>
        </w:tc>
        <w:tc>
          <w:tcPr>
            <w:tcW w:w="160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IA Termination</w:t>
            </w:r>
            <w:r>
              <w:rPr>
                <w:rFonts w:ascii="Arial" w:cs="Arial" w:eastAsia="Arial" w:hAnsi="Arial"/>
                <w:sz w:val="28"/>
                <w:szCs w:val="28"/>
                <w:color w:val="auto"/>
                <w:vertAlign w:val="superscript"/>
              </w:rPr>
              <w:t>2</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(970)</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12/10/2018</w:t>
            </w: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7.7200</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12/07/2018</w:t>
            </w: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7.9499</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12/03/2018</w:t>
            </w: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Liquidation</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(56,820)</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Levcap Alternative Fund, L.P.</w:t>
            </w: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12/03/2018</w:t>
            </w: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Liquidation</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(19,818)</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Safinia Partners, L.P.</w:t>
            </w:r>
          </w:p>
        </w:tc>
        <w:tc>
          <w:tcPr>
            <w:tcW w:w="0" w:type="dxa"/>
            <w:vAlign w:val="bottom"/>
          </w:tcPr>
          <w:p>
            <w:pPr>
              <w:spacing w:after="0"/>
              <w:rPr>
                <w:sz w:val="1"/>
                <w:szCs w:val="1"/>
                <w:color w:val="auto"/>
              </w:rPr>
            </w:pPr>
          </w:p>
        </w:tc>
      </w:tr>
      <w:tr>
        <w:trPr>
          <w:trHeight w:val="199"/>
        </w:trPr>
        <w:tc>
          <w:tcPr>
            <w:tcW w:w="164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80"/>
              <w:spacing w:after="0" w:line="199" w:lineRule="exact"/>
              <w:rPr>
                <w:sz w:val="20"/>
                <w:szCs w:val="20"/>
                <w:color w:val="auto"/>
              </w:rPr>
            </w:pPr>
            <w:r>
              <w:rPr>
                <w:rFonts w:ascii="Arial" w:cs="Arial" w:eastAsia="Arial" w:hAnsi="Arial"/>
                <w:sz w:val="18"/>
                <w:szCs w:val="18"/>
                <w:color w:val="auto"/>
              </w:rPr>
              <w:t>Pro-Rata</w:t>
            </w:r>
          </w:p>
        </w:tc>
        <w:tc>
          <w:tcPr>
            <w:tcW w:w="12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5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12/03/2018</w:t>
            </w:r>
          </w:p>
        </w:tc>
        <w:tc>
          <w:tcPr>
            <w:tcW w:w="1600" w:type="dxa"/>
            <w:vAlign w:val="bottom"/>
            <w:tcBorders>
              <w:bottom w:val="single" w:sz="8" w:color="auto"/>
              <w:right w:val="single" w:sz="8" w:color="auto"/>
            </w:tcBorders>
          </w:tcPr>
          <w:p>
            <w:pPr>
              <w:ind w:left="80"/>
              <w:spacing w:after="0" w:line="266" w:lineRule="exact"/>
              <w:rPr>
                <w:sz w:val="20"/>
                <w:szCs w:val="20"/>
                <w:color w:val="auto"/>
              </w:rPr>
            </w:pPr>
            <w:r>
              <w:rPr>
                <w:rFonts w:ascii="Arial" w:cs="Arial" w:eastAsia="Arial" w:hAnsi="Arial"/>
                <w:sz w:val="18"/>
                <w:szCs w:val="18"/>
                <w:color w:val="auto"/>
              </w:rPr>
              <w:t>Distribution</w:t>
            </w:r>
            <w:r>
              <w:rPr>
                <w:rFonts w:ascii="Arial" w:cs="Arial" w:eastAsia="Arial" w:hAnsi="Arial"/>
                <w:sz w:val="30"/>
                <w:szCs w:val="30"/>
                <w:color w:val="auto"/>
                <w:vertAlign w:val="superscript"/>
              </w:rPr>
              <w:t>3</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44,179</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John A. Levin</w:t>
            </w: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11/23/2018</w:t>
            </w: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IA Addition</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125,614</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11/14/2018</w:t>
            </w: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47,768</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7.5510</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11/08/2018</w:t>
            </w: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7.8399</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11/06/2018</w:t>
            </w: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828</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7.3988</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11/06/2018</w:t>
            </w:r>
          </w:p>
        </w:tc>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7.3999</w:t>
            </w:r>
          </w:p>
        </w:tc>
        <w:tc>
          <w:tcPr>
            <w:tcW w:w="5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 Shares purchased in the Issuer’s public offering of Shares that closed on December 14, 2018.</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2 On December 10, 2018, one of the Managed Accounts that held 970 shares closed. Accordingly, as of December 10, 2018, LCS ceased to serve as the investment manager for such Managed Account and as such, relinquished all voting and dispostive power over the shares held in the Managed Account.</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3 In connection with the pro rata distribution by Levcap and Safinia to its general and limited partners, Mr. Levin is deemed to beneficially own 13,145 Shares received by trusts for the benefit of various family members of which he has voting and dispositive power over, 24,189 Shares received in a trust for the benefit of his spouse of which he has voting and dispositive power over, and 6,845 Shares received directly by his spouse.</w:t>
      </w:r>
    </w:p>
    <w:p>
      <w:pPr>
        <w:sectPr>
          <w:pgSz w:w="11900" w:h="16838" w:orient="portrait"/>
          <w:cols w:equalWidth="0" w:num="1">
            <w:col w:w="11420"/>
          </w:cols>
          <w:pgMar w:left="240" w:top="226"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$0.001 par value, of Fluidigm Corporation, a Delaware corporation. This Joint Filing Agreement shall be filed as an Exhibit to such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14, 2018</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Levin Capital Strategies GP, LLC</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John A. Levin 2005 GRAT Separation Trust, as Managing</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Member</w:t>
            </w:r>
          </w:p>
        </w:tc>
        <w:tc>
          <w:tcPr>
            <w:tcW w:w="388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Elisabeth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Elisabeth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Trustee</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Bi-Directional Fund,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Levin Capital Strategies, L.P., the investment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rPr>
              <w:t>LCS, LLC</w:t>
            </w:r>
          </w:p>
        </w:tc>
        <w:tc>
          <w:tcPr>
            <w:tcW w:w="38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John A. Levin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30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1"/>
      <w:numFmt w:val="decimal"/>
      <w:start w:val="14"/>
    </w:lvl>
  </w:abstractNum>
  <w:abstractNum w:abstractNumId="3">
    <w:nsid w:val="515F007C"/>
    <w:multiLevelType w:val="hybridMultilevel"/>
    <w:lvl w:ilvl="0">
      <w:lvlJc w:val="left"/>
      <w:lvlText w:val="%1"/>
      <w:numFmt w:val="decimal"/>
      <w:start w:val="14"/>
    </w:lvl>
  </w:abstractNum>
  <w:abstractNum w:abstractNumId="4">
    <w:nsid w:val="5BD062C2"/>
    <w:multiLevelType w:val="hybridMultilevel"/>
    <w:lvl w:ilvl="0">
      <w:lvlJc w:val="left"/>
      <w:lvlText w:val="%1"/>
      <w:numFmt w:val="decimal"/>
      <w:start w:val="14"/>
    </w:lvl>
  </w:abstractNum>
  <w:abstractNum w:abstractNumId="5">
    <w:nsid w:val="12200854"/>
    <w:multiLevelType w:val="hybridMultilevel"/>
    <w:lvl w:ilvl="0">
      <w:lvlJc w:val="left"/>
      <w:lvlText w:val="%1."/>
      <w:numFmt w:val="upperLetter"/>
      <w:start w:val="1"/>
    </w:lvl>
    <w:lvl w:ilvl="1">
      <w:lvlJc w:val="left"/>
      <w:lvlText w:val="(%2)"/>
      <w:numFmt w:val="lowerLetter"/>
      <w:start w:val="1"/>
    </w:lvl>
  </w:abstractNum>
  <w:abstractNum w:abstractNumId="6">
    <w:nsid w:val="4DB127F8"/>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7">
    <w:nsid w:val="216231B"/>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2"/>
    </w:lvl>
  </w:abstractNum>
  <w:abstractNum w:abstractNumId="8">
    <w:nsid w:val="1F16E9E8"/>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9">
    <w:nsid w:val="1190CDE7"/>
    <w:multiLevelType w:val="hybridMultilevel"/>
    <w:lvl w:ilvl="0">
      <w:lvlJc w:val="left"/>
      <w:lvlText w:val="%1."/>
      <w:numFmt w:val="upperLetter"/>
      <w:start w:val="5"/>
    </w:lvl>
    <w:lvl w:ilvl="1">
      <w:lvlJc w:val="left"/>
      <w:lvlText w:val="(%2)"/>
      <w:numFmt w:val="lowerLetter"/>
      <w:start w:val="1"/>
    </w:lvl>
    <w:lvl w:ilvl="2">
      <w:lvlJc w:val="left"/>
      <w:lvlText w:val="%3."/>
      <w:numFmt w:val="decimal"/>
      <w:start w:val="2"/>
    </w:lvl>
  </w:abstractNum>
  <w:abstractNum w:abstractNumId="10">
    <w:nsid w:val="66EF438D"/>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1">
    <w:nsid w:val="140E0F76"/>
    <w:multiLevelType w:val="hybridMultilevel"/>
    <w:lvl w:ilvl="0">
      <w:lvlJc w:val="left"/>
      <w:lvlText w:val="%1."/>
      <w:numFmt w:val="upperLetter"/>
      <w:start w:val="9"/>
    </w:lvl>
    <w:lvl w:ilvl="1">
      <w:lvlJc w:val="left"/>
      <w:lvlText w:val="(%2)"/>
      <w:numFmt w:val="lowerLetter"/>
      <w:start w:val="1"/>
    </w:lvl>
    <w:lvl w:ilvl="2">
      <w:lvlJc w:val="left"/>
      <w:lvlText w:val="%3."/>
      <w:numFmt w:val="decimal"/>
      <w:start w:val="2"/>
    </w:lvl>
  </w:abstractNum>
  <w:abstractNum w:abstractNumId="12">
    <w:nsid w:val="33522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2019-12-06T18:59:42Z</dcterms:created>
  <dcterms:modified xsi:type="dcterms:W3CDTF">2019-12-06T18:59:42Z</dcterms:modified>
</cp:coreProperties>
</file>