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Egholm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STANDARD BIOTOOLS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65" w:lineRule="exact"/>
        <w:rPr>
          <w:sz w:val="24"/>
          <w:szCs w:val="24"/>
          <w:color w:val="auto"/>
        </w:rPr>
      </w:pPr>
    </w:p>
    <w:p>
      <w:pPr>
        <w:sectPr>
          <w:pgSz w:w="11900" w:h="16838" w:orient="portrait"/>
          <w:cols w:equalWidth="0" w:num="3">
            <w:col w:w="3200" w:space="720"/>
            <w:col w:w="3360" w:space="45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w w:val="95"/>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3,000,000</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3"/>
          </w:tcPr>
          <w:p>
            <w:pPr>
              <w:jc w:val="right"/>
              <w:ind w:righ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5,736,285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as to 25% of the RSUs on August 1, 2026, with the remaining 75% of the RSUs vesting in three equal annual installments thereafter, subject to the Reporting Person's continued service through the applicable vesting date. Each RSU represents the right to receive one share of common stock upon vesting.</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5,000 shares previously acquired by the Reporting Person under the Issuer's Employee Stock Purchase Plan.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Egholm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5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520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977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2025-08-05T17:24:50Z</dcterms:created>
  <dcterms:modified xsi:type="dcterms:W3CDTF">2025-08-05T17:24:50Z</dcterms:modified>
</cp:coreProperties>
</file>