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8, 2022</w:t>
      </w:r>
    </w:p>
    <w:p>
      <w:pPr>
        <w:spacing w:after="0" w:line="22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Standard BioTools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 Tower Place, Suite 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8"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$0.001 par value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rPr>
              <w:t>LAB</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August 8, 2022, Standard BioTools Inc. (the “Company”) issued a press release reporting its financial results for the second fiscal quarter of 2022. A copy of the press release is furnished herewith as Exhibit 99.1.</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foregoing information in this Current Report on Form 8-K, including exhibit 99.1 attached hereto, is being “furnished” and shall not be deemed “filed” for purposes of Section 18 of the Securities Exchange Act of 1934, as amended, and shall not be incorporated by reference in any filing under the Securities Exchange Act of 1934, as amended, or the Securities Act of 1933, as amended, except as expressly set forth by specific reference in such future filing.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18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August 8, 2022, Standard BioTools Inc., (the “Company”) announced a restructuring plan, including a reduction in force. In addition to the reduction in force, the Company will also seek to reduce leased office space and other operating expenses. The purpose of the restructuring plan is to improve operational efficiency and operating costs and better align the Company’s workforce with the current needs of its business.</w:t>
      </w:r>
    </w:p>
    <w:p>
      <w:pPr>
        <w:spacing w:after="0" w:line="13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currently expects cash expenses related to the reduction in force, consisting primarily of severance and termination benefits and related costs, to be in the range of $3 million to $5 million. At this time, the Company is not able, in good faith, to make a determination of the estimated amount or range of amounts to be incurred for every major type of restructuring cost, including the leased office space reduction charges. The Company will file an amendment to this report upon the determination of such amounts. The Company expects to recognize the restructuring costs over the next four quarters. These estimates are subject to a number of assumptions, and actual results may differ.</w:t>
      </w:r>
    </w:p>
    <w:p>
      <w:pPr>
        <w:spacing w:after="0" w:line="13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Item 2.05 contains “forward-looking statements” within the meaning of the Private Securities Litigation Reform Act of 1995, including, but not limited to, statements related to the expected costs associated with restructuring plan and expected reductions of operating expenses. These forward-looking statements are based on the Company’s current expectations and inherently involve significant risks and uncertainties. The Company’s actual results and the timing of events could differ materially from those anticipated in such forward-looking statements as a result of these risks and uncertainties, which include, without limitation, risks related to cost reduction efforts. In addition, the Company’s restructuring costs may be greater than anticipated and the workforce and operating expense reductions may have an adverse impact on the Company’s sales and development activities. Additionally, these forward-looking statements should be considered in conjunction with the cautionary statements and risk factors described in the Company’s Annual Report on Form 10-K for the year ended December 31, 2021, Quarterly Report on Form 10-Q for the quarter ended March 31, 2022, and its other filings filed from time to time with the Securities and Exchange Commission. The Company does not assume any obligation to update any forward-looking statement, except as required by law.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9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351"/>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80" w:type="dxa"/>
            <w:vAlign w:val="bottom"/>
          </w:tcPr>
          <w:p>
            <w:pPr>
              <w:spacing w:after="0"/>
              <w:rPr>
                <w:sz w:val="24"/>
                <w:szCs w:val="24"/>
                <w:color w:val="auto"/>
              </w:rPr>
            </w:pPr>
          </w:p>
        </w:tc>
        <w:tc>
          <w:tcPr>
            <w:tcW w:w="100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Standard BioTools Inc. Press Release dated August 8,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gridSpan w:val="2"/>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rPr>
              <w:t>Cover Page Interactive Data File (the cover page XBRL tags are embedded within the inline XBRL document).</w:t>
            </w:r>
          </w:p>
        </w:tc>
      </w:tr>
      <w:tr>
        <w:trPr>
          <w:trHeight w:val="243"/>
        </w:trPr>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576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3420" w:type="dxa"/>
            <w:vAlign w:val="bottom"/>
            <w:shd w:val="clear" w:color="auto" w:fill="000000"/>
          </w:tcPr>
          <w:p>
            <w:pPr>
              <w:spacing w:after="0"/>
              <w:rPr>
                <w:sz w:val="5"/>
                <w:szCs w:val="5"/>
                <w:color w:val="auto"/>
              </w:rPr>
            </w:pPr>
          </w:p>
        </w:tc>
        <w:tc>
          <w:tcPr>
            <w:tcW w:w="57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940" w:type="dxa"/>
            <w:vAlign w:val="bottom"/>
            <w:gridSpan w:val="3"/>
          </w:tcPr>
          <w:p>
            <w:pPr>
              <w:ind w:left="1960"/>
              <w:spacing w:after="0"/>
              <w:rPr>
                <w:sz w:val="20"/>
                <w:szCs w:val="20"/>
                <w:color w:val="auto"/>
              </w:rPr>
            </w:pPr>
            <w:r>
              <w:rPr>
                <w:rFonts w:ascii="Arial" w:cs="Arial" w:eastAsia="Arial" w:hAnsi="Arial"/>
                <w:sz w:val="18"/>
                <w:szCs w:val="18"/>
                <w:b w:val="1"/>
                <w:bCs w:val="1"/>
                <w:color w:val="auto"/>
                <w:w w:val="99"/>
              </w:rPr>
              <w:t>Standard BioTools Inc.</w:t>
            </w:r>
          </w:p>
        </w:tc>
      </w:tr>
      <w:tr>
        <w:trPr>
          <w:trHeight w:val="688"/>
        </w:trPr>
        <w:tc>
          <w:tcPr>
            <w:tcW w:w="3500" w:type="dxa"/>
            <w:vAlign w:val="bottom"/>
          </w:tcPr>
          <w:p>
            <w:pPr>
              <w:spacing w:after="0"/>
              <w:rPr>
                <w:sz w:val="20"/>
                <w:szCs w:val="20"/>
                <w:color w:val="auto"/>
              </w:rPr>
            </w:pPr>
            <w:r>
              <w:rPr>
                <w:rFonts w:ascii="Arial" w:cs="Arial" w:eastAsia="Arial" w:hAnsi="Arial"/>
                <w:sz w:val="18"/>
                <w:szCs w:val="18"/>
                <w:color w:val="auto"/>
              </w:rPr>
              <w:t>Date: August 8, 2022</w:t>
            </w:r>
          </w:p>
        </w:tc>
        <w:tc>
          <w:tcPr>
            <w:tcW w:w="3940" w:type="dxa"/>
            <w:vAlign w:val="bottom"/>
            <w:gridSpan w:val="3"/>
          </w:tcPr>
          <w:p>
            <w:pPr>
              <w:ind w:left="1960"/>
              <w:spacing w:after="0"/>
              <w:rPr>
                <w:sz w:val="20"/>
                <w:szCs w:val="20"/>
                <w:color w:val="auto"/>
              </w:rPr>
            </w:pPr>
            <w:r>
              <w:rPr>
                <w:rFonts w:ascii="Arial" w:cs="Arial" w:eastAsia="Arial" w:hAnsi="Arial"/>
                <w:sz w:val="18"/>
                <w:szCs w:val="18"/>
                <w:color w:val="auto"/>
              </w:rPr>
              <w:t>By: /s/ Vikram Jog</w:t>
            </w:r>
          </w:p>
        </w:tc>
      </w:tr>
      <w:tr>
        <w:trPr>
          <w:trHeight w:val="237"/>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260" w:type="dxa"/>
            <w:vAlign w:val="bottom"/>
          </w:tcPr>
          <w:p>
            <w:pPr>
              <w:spacing w:after="0"/>
              <w:rPr>
                <w:sz w:val="20"/>
                <w:szCs w:val="20"/>
                <w:color w:val="auto"/>
              </w:rPr>
            </w:pPr>
          </w:p>
        </w:tc>
      </w:tr>
      <w:tr>
        <w:trPr>
          <w:trHeight w:val="243"/>
        </w:trPr>
        <w:tc>
          <w:tcPr>
            <w:tcW w:w="35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w w:val="92"/>
              </w:rPr>
              <w:t>Chief Financial Officer</w:t>
            </w:r>
          </w:p>
        </w:tc>
      </w:tr>
    </w:tbl>
    <w:p>
      <w:pPr>
        <w:sectPr>
          <w:pgSz w:w="11900" w:h="16838" w:orient="portrait"/>
          <w:cols w:equalWidth="0" w:num="1">
            <w:col w:w="11200"/>
          </w:cols>
          <w:pgMar w:left="320" w:top="540" w:right="379" w:bottom="1440" w:gutter="0" w:footer="0" w:header="0"/>
        </w:sectPr>
      </w:pPr>
    </w:p>
    <w:bookmarkStart w:id="3" w:name="page4"/>
    <w:bookmarkEnd w:id="3"/>
    <w:p>
      <w:pPr>
        <w:spacing w:after="0" w:line="140" w:lineRule="exact"/>
        <w:rPr>
          <w:sz w:val="20"/>
          <w:szCs w:val="20"/>
          <w:color w:val="auto"/>
        </w:rPr>
      </w:pPr>
    </w:p>
    <w:p>
      <w:pPr>
        <w:ind w:left="9880"/>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Standard BioTools Announces Second Quarter 2022 Financial Results and Provides Strategic Update</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Second quarter revenue of $18.8 million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Completed $250 million strategic cash infusion from Casdin Capital and Viking Global</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Upgraded management team and added board members to bring significant sector and operational expertise to the company</w:t>
      </w:r>
    </w:p>
    <w:p>
      <w:pPr>
        <w:spacing w:after="0" w:line="241" w:lineRule="exact"/>
        <w:rPr>
          <w:sz w:val="20"/>
          <w:szCs w:val="20"/>
          <w:color w:val="auto"/>
        </w:rPr>
      </w:pPr>
    </w:p>
    <w:p>
      <w:pPr>
        <w:ind w:right="880"/>
        <w:spacing w:after="0" w:line="250" w:lineRule="auto"/>
        <w:rPr>
          <w:sz w:val="20"/>
          <w:szCs w:val="20"/>
          <w:color w:val="auto"/>
        </w:rPr>
      </w:pPr>
      <w:r>
        <w:rPr>
          <w:rFonts w:ascii="Arial" w:cs="Arial" w:eastAsia="Arial" w:hAnsi="Arial"/>
          <w:sz w:val="22"/>
          <w:szCs w:val="22"/>
          <w:i w:val="1"/>
          <w:iCs w:val="1"/>
          <w:color w:val="auto"/>
        </w:rPr>
        <w:t>Commenced restructuring program with the explicit goal of returning core business to growth, raising gross margins by approximately 7-10% and substantially reducing operating cash burn</w:t>
      </w:r>
    </w:p>
    <w:p>
      <w:pPr>
        <w:spacing w:after="0" w:line="175"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i w:val="1"/>
          <w:iCs w:val="1"/>
          <w:color w:val="auto"/>
        </w:rPr>
        <w:t>Cash, cash equivalents, and short-term investments expected to provide sufficient runway to generate positive free cash flow by end of 2024 while allowing for strategic M&amp;A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Company to host conference call and webcast today at 4:30 p.m. ET</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 xml:space="preserve">SOUTH SAN FRANCISCO, Calif., Aug. 08, 2022 (GLOBE NEWSWIRE) -- Standard BioTools Inc. (Nasdaq:LAB), driven by a bold purpose – </w:t>
      </w:r>
      <w:r>
        <w:rPr>
          <w:rFonts w:ascii="Arial" w:cs="Arial" w:eastAsia="Arial" w:hAnsi="Arial"/>
          <w:sz w:val="22"/>
          <w:szCs w:val="22"/>
          <w:i w:val="1"/>
          <w:iCs w:val="1"/>
          <w:color w:val="auto"/>
        </w:rPr>
        <w:t>Unleashing tools to accelerate breakthroughs in human health™</w:t>
      </w:r>
      <w:r>
        <w:rPr>
          <w:rFonts w:ascii="Arial" w:cs="Arial" w:eastAsia="Arial" w:hAnsi="Arial"/>
          <w:sz w:val="22"/>
          <w:szCs w:val="22"/>
          <w:color w:val="auto"/>
        </w:rPr>
        <w:t xml:space="preserve"> – today announced financial results for the second quarter ended June 30, 2022.</w:t>
      </w:r>
    </w:p>
    <w:p>
      <w:pPr>
        <w:spacing w:after="0" w:line="186"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“Four months after I joined the company as President and CEO, and now with a strategic review process completed, the potential to build a next-generation consolidated life science company around this portfolio of powerful technologies remains incredibly exciting,” said Michael Egholm, PhD, Chief Executive Officer and President of Standard BioTools™. “There is work to do to make this vision a reality, and while it will take time, we are confident we will get there.</w:t>
      </w:r>
    </w:p>
    <w:p>
      <w:pPr>
        <w:spacing w:after="0" w:line="174" w:lineRule="exact"/>
        <w:rPr>
          <w:sz w:val="20"/>
          <w:szCs w:val="20"/>
          <w:color w:val="auto"/>
        </w:rPr>
      </w:pPr>
    </w:p>
    <w:p>
      <w:pPr>
        <w:ind w:right="60"/>
        <w:spacing w:after="0"/>
        <w:rPr>
          <w:sz w:val="20"/>
          <w:szCs w:val="20"/>
          <w:color w:val="auto"/>
        </w:rPr>
      </w:pPr>
      <w:r>
        <w:rPr>
          <w:rFonts w:ascii="Arial" w:cs="Arial" w:eastAsia="Arial" w:hAnsi="Arial"/>
          <w:sz w:val="22"/>
          <w:szCs w:val="22"/>
          <w:color w:val="auto"/>
        </w:rPr>
        <w:t>“First, we are putting into motion a restructuring plan to return to steady growth across our organization, including improved product positioning and a new disciplined sales execution. This quarter’s results are not the standard we hold ourselves to and we can and will do better in coming quarters and years.</w:t>
      </w:r>
    </w:p>
    <w:p>
      <w:pPr>
        <w:spacing w:after="0" w:line="186" w:lineRule="exact"/>
        <w:rPr>
          <w:sz w:val="20"/>
          <w:szCs w:val="20"/>
          <w:color w:val="auto"/>
        </w:rPr>
      </w:pPr>
    </w:p>
    <w:p>
      <w:pPr>
        <w:ind w:right="520"/>
        <w:spacing w:after="0" w:line="238" w:lineRule="auto"/>
        <w:rPr>
          <w:sz w:val="20"/>
          <w:szCs w:val="20"/>
          <w:color w:val="auto"/>
        </w:rPr>
      </w:pPr>
      <w:r>
        <w:rPr>
          <w:rFonts w:ascii="Arial" w:cs="Arial" w:eastAsia="Arial" w:hAnsi="Arial"/>
          <w:sz w:val="22"/>
          <w:szCs w:val="22"/>
          <w:color w:val="auto"/>
        </w:rPr>
        <w:t>“Second, our plan has us leaning in on operations, assembling a world-class team of seasoned operators, and systematically rolling out our Standard BioTools Business System (SBS) approach. Through these initiatives, we have identified numerous opportunities for gross margin improvements, which we expect will yield an increase of approximately 7-10% by year end 2023.”</w:t>
      </w:r>
    </w:p>
    <w:p>
      <w:pPr>
        <w:spacing w:after="0" w:line="185" w:lineRule="exact"/>
        <w:rPr>
          <w:sz w:val="20"/>
          <w:szCs w:val="20"/>
          <w:color w:val="auto"/>
        </w:rPr>
      </w:pPr>
    </w:p>
    <w:p>
      <w:pPr>
        <w:ind w:right="420"/>
        <w:spacing w:after="0" w:line="249" w:lineRule="auto"/>
        <w:rPr>
          <w:sz w:val="20"/>
          <w:szCs w:val="20"/>
          <w:color w:val="auto"/>
        </w:rPr>
      </w:pPr>
      <w:r>
        <w:rPr>
          <w:rFonts w:ascii="Arial" w:cs="Arial" w:eastAsia="Arial" w:hAnsi="Arial"/>
          <w:sz w:val="21"/>
          <w:szCs w:val="21"/>
          <w:color w:val="auto"/>
        </w:rPr>
        <w:t>Continued Egholm, “I am committed as a leader and on the long-term vision, and we will drive our core business toward profitability while keeping capital available for portfolio expansion through strategic M&amp;A. There is a deep funnel of opportunities, and we believe those will fuel longer-term growth. We look forward to providing updates as we come closer to realizing the vision of Standard BioTools to become a leading solutions partner for the life science industry, offering an innovative portfolio of high-quality, impactful technologies.”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2022 and Recent Strategic Updates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Phased Restructuring</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A phased restructuring plan is underway that we expect will significantly lower operating cash burn beginning in the second half of 2022. With these actions and current cash, cash equivalents, and short-term investments, Standard BioTools expects its cash runway to be sufficient to fund current operations to cash flow breakeven by the end of 2024 while allowing for strategic M&amp;A. As part of the restructuring, the following steps are being taken:</w:t>
      </w:r>
    </w:p>
    <w:p>
      <w:pPr>
        <w:spacing w:after="0" w:line="179" w:lineRule="exact"/>
        <w:rPr>
          <w:sz w:val="20"/>
          <w:szCs w:val="20"/>
          <w:color w:val="auto"/>
        </w:rPr>
      </w:pPr>
    </w:p>
    <w:p>
      <w:pPr>
        <w:ind w:left="540" w:right="280"/>
        <w:spacing w:after="0" w:line="271" w:lineRule="auto"/>
        <w:rPr>
          <w:sz w:val="20"/>
          <w:szCs w:val="20"/>
          <w:color w:val="auto"/>
        </w:rPr>
      </w:pPr>
      <w:r>
        <w:rPr>
          <w:rFonts w:ascii="Arial" w:cs="Arial" w:eastAsia="Arial" w:hAnsi="Arial"/>
          <w:sz w:val="19"/>
          <w:szCs w:val="19"/>
          <w:b w:val="1"/>
          <w:bCs w:val="1"/>
          <w:color w:val="auto"/>
        </w:rPr>
        <w:t xml:space="preserve">Right-Sizing General and Administrative Expenses: </w:t>
      </w:r>
      <w:r>
        <w:rPr>
          <w:rFonts w:ascii="Arial" w:cs="Arial" w:eastAsia="Arial" w:hAnsi="Arial"/>
          <w:sz w:val="19"/>
          <w:szCs w:val="19"/>
          <w:color w:val="auto"/>
        </w:rPr>
        <w:t>The company plans to significantly lower general and</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spend through a reduction in headcount and a decrease in office space to better align with its streamlined operations. Specifically, the company plans to reduce its real estate footprint including its headquarters location in South San Francisco while fostering remote work for certain employees. Beyond these near-term initiatives, the company will pursue continued process optimization through a focused SBS-based approach that may result in additional cost savings and will direct resources into areas with the highest impact on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-874395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
        <w:spacing w:after="0" w:line="273" w:lineRule="auto"/>
        <w:rPr>
          <w:sz w:val="20"/>
          <w:szCs w:val="20"/>
          <w:color w:val="auto"/>
        </w:rPr>
      </w:pPr>
      <w:r>
        <w:rPr>
          <w:rFonts w:ascii="Arial" w:cs="Arial" w:eastAsia="Arial" w:hAnsi="Arial"/>
          <w:sz w:val="19"/>
          <w:szCs w:val="19"/>
          <w:b w:val="1"/>
          <w:bCs w:val="1"/>
          <w:color w:val="auto"/>
        </w:rPr>
        <w:t xml:space="preserve">Right-Sizing Microfluidics Business: </w:t>
      </w:r>
      <w:r>
        <w:rPr>
          <w:rFonts w:ascii="Arial" w:cs="Arial" w:eastAsia="Arial" w:hAnsi="Arial"/>
          <w:sz w:val="19"/>
          <w:szCs w:val="19"/>
          <w:color w:val="auto"/>
        </w:rPr>
        <w:t>The company will significantly reduce investment in research and development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marketing for the microfluidics business while narrowing its commercial focus to high-value niche markets for specialized applications for which the platform is ideally suited. In addition, the company plans to pursue additional OEM opportunities, similar to its relationship with Olink Holding AB, as a lower-cost and more efficient go-to-market approach. </w:t>
      </w:r>
      <w:r>
        <w:rPr>
          <w:rFonts w:ascii="Arial" w:cs="Arial" w:eastAsia="Arial" w:hAnsi="Arial"/>
          <w:sz w:val="19"/>
          <w:szCs w:val="19"/>
          <w:b w:val="1"/>
          <w:bCs w:val="1"/>
          <w:color w:val="auto"/>
        </w:rPr>
        <w:t xml:space="preserve">Portfolio Rationalization: </w:t>
      </w:r>
      <w:r>
        <w:rPr>
          <w:rFonts w:ascii="Arial" w:cs="Arial" w:eastAsia="Arial" w:hAnsi="Arial"/>
          <w:sz w:val="19"/>
          <w:szCs w:val="19"/>
          <w:color w:val="auto"/>
        </w:rPr>
        <w:t>As part of implementing rigorous portfolio management, the company is rationalizing its</w:t>
      </w:r>
      <w:r>
        <w:rPr>
          <w:rFonts w:ascii="Arial" w:cs="Arial" w:eastAsia="Arial" w:hAnsi="Arial"/>
          <w:sz w:val="19"/>
          <w:szCs w:val="19"/>
          <w:b w:val="1"/>
          <w:bCs w:val="1"/>
          <w:color w:val="auto"/>
        </w:rPr>
        <w:t xml:space="preserve"> </w:t>
      </w:r>
      <w:r>
        <w:rPr>
          <w:rFonts w:ascii="Arial" w:cs="Arial" w:eastAsia="Arial" w:hAnsi="Arial"/>
          <w:sz w:val="19"/>
          <w:szCs w:val="19"/>
          <w:color w:val="auto"/>
        </w:rPr>
        <w:t>expansive product portfolio by exiting its laser capture microdissection and Flow Conductor™ product lines, while de-emphasizing its diagnostics/COVID-19 product line. Revenues from these product lines are not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-1054735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-437515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Highlights</w:t>
      </w:r>
    </w:p>
    <w:p>
      <w:pPr>
        <w:spacing w:after="0" w:line="212" w:lineRule="exact"/>
        <w:rPr>
          <w:sz w:val="20"/>
          <w:szCs w:val="20"/>
          <w:color w:val="auto"/>
        </w:rPr>
      </w:pPr>
    </w:p>
    <w:p>
      <w:pPr>
        <w:ind w:left="540" w:right="60"/>
        <w:spacing w:after="0" w:line="297" w:lineRule="auto"/>
        <w:rPr>
          <w:sz w:val="20"/>
          <w:szCs w:val="20"/>
          <w:color w:val="auto"/>
        </w:rPr>
      </w:pPr>
      <w:r>
        <w:rPr>
          <w:rFonts w:ascii="Arial" w:cs="Arial" w:eastAsia="Arial" w:hAnsi="Arial"/>
          <w:sz w:val="19"/>
          <w:szCs w:val="19"/>
          <w:color w:val="auto"/>
        </w:rPr>
        <w:t>Top-grade new management team members with significant sector and operator experience added since capital infusion closed, including Michael Egholm as Chief Executive Officer and President; Alex Kim as Chief Operating Officer; Jeremy Davis as Chief Commercial Officer; Mona Abou-Sayed as Senior Vice President of SBS; Anders Davas as Senior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-453390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979" w:orient="portrait"/>
          <w:cols w:equalWidth="0" w:num="1">
            <w:col w:w="11240"/>
          </w:cols>
          <w:pgMar w:left="320" w:top="112" w:right="339" w:bottom="0" w:gutter="0" w:footer="0" w:header="0"/>
        </w:sectPr>
      </w:pPr>
    </w:p>
    <w:bookmarkStart w:id="4" w:name="page5"/>
    <w:bookmarkEnd w:id="4"/>
    <w:p>
      <w:pPr>
        <w:spacing w:after="0" w:line="9" w:lineRule="exact"/>
        <w:rPr>
          <w:sz w:val="20"/>
          <w:szCs w:val="20"/>
          <w:color w:val="auto"/>
        </w:rPr>
      </w:pPr>
    </w:p>
    <w:p>
      <w:pPr>
        <w:ind w:left="540" w:right="220"/>
        <w:spacing w:after="0" w:line="236" w:lineRule="auto"/>
        <w:rPr>
          <w:sz w:val="20"/>
          <w:szCs w:val="20"/>
          <w:color w:val="auto"/>
        </w:rPr>
      </w:pPr>
      <w:r>
        <w:rPr>
          <w:rFonts w:ascii="Arial" w:cs="Arial" w:eastAsia="Arial" w:hAnsi="Arial"/>
          <w:sz w:val="22"/>
          <w:szCs w:val="22"/>
          <w:color w:val="auto"/>
        </w:rPr>
        <w:t>President, Global Operations; and, more recently, Matt Ritchie as Vice President, Global Sales Operations; Seiya Ohta as Vice President, Customer &amp; User Experience; David Panzarella as Vice President, Commercial Operations – Americas; and Kathy Harrell as Vice President and Controller.</w:t>
      </w:r>
    </w:p>
    <w:p>
      <w:pPr>
        <w:spacing w:after="0" w:line="1" w:lineRule="exact"/>
        <w:rPr>
          <w:sz w:val="20"/>
          <w:szCs w:val="20"/>
          <w:color w:val="auto"/>
        </w:rPr>
      </w:pPr>
    </w:p>
    <w:p>
      <w:pPr>
        <w:ind w:left="540" w:right="580"/>
        <w:spacing w:after="0" w:line="230" w:lineRule="auto"/>
        <w:rPr>
          <w:sz w:val="20"/>
          <w:szCs w:val="20"/>
          <w:color w:val="auto"/>
        </w:rPr>
      </w:pPr>
      <w:r>
        <w:rPr>
          <w:rFonts w:ascii="Arial" w:cs="Arial" w:eastAsia="Arial" w:hAnsi="Arial"/>
          <w:sz w:val="22"/>
          <w:szCs w:val="22"/>
          <w:color w:val="auto"/>
        </w:rPr>
        <w:t>Highly experienced new board members with life sciences and capital markets expertise appointed, including Martin Madaus, PhD, Frank Witney, PhD, and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36" w:lineRule="auto"/>
        <w:rPr>
          <w:sz w:val="20"/>
          <w:szCs w:val="20"/>
          <w:color w:val="auto"/>
        </w:rPr>
      </w:pPr>
      <w:r>
        <w:rPr>
          <w:rFonts w:ascii="Arial" w:cs="Arial" w:eastAsia="Arial" w:hAnsi="Arial"/>
          <w:sz w:val="22"/>
          <w:szCs w:val="22"/>
          <w:color w:val="auto"/>
        </w:rPr>
        <w:t>Closed $250 million strategic capital infusion from leading life science investors Casdin Capital, LLC, and Viking Global Investors LP on April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-266065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2022 Financial Results</w:t>
      </w:r>
    </w:p>
    <w:p>
      <w:pPr>
        <w:spacing w:after="0" w:line="239" w:lineRule="exact"/>
        <w:rPr>
          <w:sz w:val="20"/>
          <w:szCs w:val="20"/>
          <w:color w:val="auto"/>
        </w:rPr>
      </w:pPr>
    </w:p>
    <w:p>
      <w:pPr>
        <w:jc w:val="both"/>
        <w:ind w:right="520"/>
        <w:spacing w:after="0" w:line="297" w:lineRule="auto"/>
        <w:rPr>
          <w:sz w:val="20"/>
          <w:szCs w:val="20"/>
          <w:color w:val="auto"/>
        </w:rPr>
      </w:pPr>
      <w:r>
        <w:rPr>
          <w:rFonts w:ascii="Arial" w:cs="Arial" w:eastAsia="Arial" w:hAnsi="Arial"/>
          <w:sz w:val="19"/>
          <w:szCs w:val="19"/>
          <w:color w:val="auto"/>
        </w:rPr>
        <w:t>Total revenue was $18.8 million for the quarter ended June 30, 2022, compared with $31.0 million for the second quarter of 2021, driven by lower instrument and COVID-19 testing revenue. Base product and service revenue (excluding COVID-19 testing revenue) was $17.5 million, approximately 35% lower compared with $26.9 million for the second quarter of 2021.</w:t>
      </w:r>
    </w:p>
    <w:p>
      <w:pPr>
        <w:spacing w:after="0" w:line="134"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GAAP net loss for the quarter ended June 30, 2022, was $63.5 million, compared with a GAAP net loss of $17.1 million for the second quarter of 2021. The year-over-year increase in GAAP net loss was driven by increases in fair value of the forward sale contract related to the Series B Preferred Stock and bridge loans aggregating $25.4 million, lower revenue, lower product and service margin, and higher operating expenses. Product line exits during the quarter negatively affected product and service gross profit and net loss by $4.7 million and $8.2 million, respectively.</w:t>
      </w:r>
    </w:p>
    <w:p>
      <w:pPr>
        <w:spacing w:after="0" w:line="205" w:lineRule="exact"/>
        <w:rPr>
          <w:sz w:val="20"/>
          <w:szCs w:val="20"/>
          <w:color w:val="auto"/>
        </w:rPr>
      </w:pPr>
    </w:p>
    <w:p>
      <w:pPr>
        <w:ind w:right="520"/>
        <w:spacing w:after="0"/>
        <w:rPr>
          <w:sz w:val="20"/>
          <w:szCs w:val="20"/>
          <w:color w:val="auto"/>
        </w:rPr>
      </w:pPr>
      <w:r>
        <w:rPr>
          <w:rFonts w:ascii="Arial" w:cs="Arial" w:eastAsia="Arial" w:hAnsi="Arial"/>
          <w:sz w:val="22"/>
          <w:szCs w:val="22"/>
          <w:color w:val="auto"/>
        </w:rPr>
        <w:t>Non-GAAP net loss, which excludes the fair value increases noted above, stock-based compensation, depreciation and amortization expenses, and interest expense, was $25.8 million for the quarter, compared with a non-GAAP net loss of $9.3 million for the second quarter of 2021.</w:t>
      </w:r>
    </w:p>
    <w:p>
      <w:pPr>
        <w:spacing w:after="0" w:line="186"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Cash, cash equivalents and short-term investments as of June 30, 2022, were $211.2 million, compared with $30.0 million as of March 31, 2022.</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212" w:lineRule="exact"/>
        <w:rPr>
          <w:sz w:val="20"/>
          <w:szCs w:val="20"/>
          <w:color w:val="auto"/>
        </w:rPr>
      </w:pPr>
    </w:p>
    <w:p>
      <w:pPr>
        <w:ind w:right="420"/>
        <w:spacing w:after="0" w:line="236" w:lineRule="auto"/>
        <w:rPr>
          <w:sz w:val="20"/>
          <w:szCs w:val="20"/>
          <w:color w:val="auto"/>
        </w:rPr>
      </w:pPr>
      <w:r>
        <w:rPr>
          <w:rFonts w:ascii="Arial" w:cs="Arial" w:eastAsia="Arial" w:hAnsi="Arial"/>
          <w:sz w:val="22"/>
          <w:szCs w:val="22"/>
          <w:color w:val="auto"/>
        </w:rPr>
        <w:t>The company’s management will host a conference call and webcast today at 1:30 p.m. PT/4:30 p.m. ET, to discuss second quarter 2022 financial results and operational progress as well as to provide additional color on its restructuring and strategic actions.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Individuals interested in listening to the conference call may do so by dialing:</w:t>
      </w:r>
    </w:p>
    <w:p>
      <w:pPr>
        <w:spacing w:after="0" w:line="18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US domestic callers: (888) 346-3970</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Outside US callers: (412) 902-4297</w:t>
      </w:r>
    </w:p>
    <w:p>
      <w:pPr>
        <w:spacing w:after="0" w:line="188" w:lineRule="exact"/>
        <w:rPr>
          <w:sz w:val="20"/>
          <w:szCs w:val="20"/>
          <w:color w:val="auto"/>
        </w:rPr>
      </w:pPr>
    </w:p>
    <w:p>
      <w:pPr>
        <w:ind w:right="720"/>
        <w:spacing w:after="0"/>
        <w:rPr>
          <w:sz w:val="20"/>
          <w:szCs w:val="20"/>
          <w:color w:val="auto"/>
        </w:rPr>
      </w:pPr>
      <w:r>
        <w:rPr>
          <w:rFonts w:ascii="Arial" w:cs="Arial" w:eastAsia="Arial" w:hAnsi="Arial"/>
          <w:sz w:val="22"/>
          <w:szCs w:val="22"/>
          <w:color w:val="auto"/>
        </w:rPr>
        <w:t xml:space="preserve">Live audio of the webcast will be available online from the Investor Relations page of the company’s website at </w:t>
      </w:r>
      <w:r>
        <w:rPr>
          <w:rFonts w:ascii="Arial" w:cs="Arial" w:eastAsia="Arial" w:hAnsi="Arial"/>
          <w:sz w:val="22"/>
          <w:szCs w:val="22"/>
          <w:u w:val="single" w:color="auto"/>
          <w:color w:val="auto"/>
        </w:rPr>
        <w:t>Events &amp;</w:t>
      </w:r>
      <w:r>
        <w:rPr>
          <w:rFonts w:ascii="Arial" w:cs="Arial" w:eastAsia="Arial" w:hAnsi="Arial"/>
          <w:sz w:val="22"/>
          <w:szCs w:val="22"/>
          <w:color w:val="auto"/>
        </w:rPr>
        <w:t xml:space="preserve"> </w:t>
      </w:r>
      <w:r>
        <w:rPr>
          <w:rFonts w:ascii="Arial" w:cs="Arial" w:eastAsia="Arial" w:hAnsi="Arial"/>
          <w:sz w:val="22"/>
          <w:szCs w:val="22"/>
          <w:u w:val="single" w:color="auto"/>
          <w:color w:val="auto"/>
        </w:rPr>
        <w:t>Presentations</w:t>
      </w:r>
      <w:r>
        <w:rPr>
          <w:rFonts w:ascii="Arial" w:cs="Arial" w:eastAsia="Arial" w:hAnsi="Arial"/>
          <w:sz w:val="22"/>
          <w:szCs w:val="22"/>
          <w:color w:val="auto"/>
        </w:rPr>
        <w:t xml:space="preserve">. The webcast will be archived and available on the Standard BioTools Investor Relations page at </w:t>
      </w:r>
      <w:r>
        <w:rPr>
          <w:rFonts w:ascii="Arial" w:cs="Arial" w:eastAsia="Arial" w:hAnsi="Arial"/>
          <w:sz w:val="22"/>
          <w:szCs w:val="22"/>
          <w:u w:val="single" w:color="auto"/>
          <w:color w:val="auto"/>
        </w:rPr>
        <w:t>investors.fluidigm.com</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GAAP to non-GAAP financial measures can be found in the tables of this news release.</w:t>
      </w:r>
    </w:p>
    <w:p>
      <w:pPr>
        <w:spacing w:after="0" w:line="233"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Our investor presentation including Supplemental Financial Information has been posted on our website concurrent with this release.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239"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Standard BioTools has presented certain financial information in accordance with U.S. GAAP and also on a non-GAAP basis for the three- and six-month periods ended June 30, 2022, and June 30, 2021.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operational and strategic plans, deployment of capital, our cash runway and sufficiency of cash resources, margin expectations, potential M&amp;A activity, and expectations with respect to our restructuring plans (including expense reduction activities involving potential subleasing and talent relocation plans, modifications to the scope of the company’s microfluidics and mass cytometry franchises and discontinuing of certain product lines). Forward-looking statements are subject to numerous risks and uncertainties that could cause actual results to differ materially from currently anticipated results, including but not limited to risks that we may not realize expected cost savings from the restructuring, including the anticipated decrease in operational expenses, at the levels we expect; possible restructuring and transition-related</w:t>
      </w:r>
    </w:p>
    <w:p>
      <w:pPr>
        <w:sectPr>
          <w:pgSz w:w="11900" w:h="16847" w:orient="portrait"/>
          <w:cols w:equalWidth="0" w:num="1">
            <w:col w:w="11220"/>
          </w:cols>
          <w:pgMar w:left="320" w:top="118" w:right="359" w:bottom="0" w:gutter="0" w:footer="0" w:header="0"/>
        </w:sectPr>
      </w:pPr>
    </w:p>
    <w:bookmarkStart w:id="5" w:name="page6"/>
    <w:bookmarkEnd w:id="5"/>
    <w:p>
      <w:pPr>
        <w:spacing w:after="0" w:line="17"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disruption, including through the loss of customers, suppliers and employees and adverse impacts on our development activities and results of operation; restructuring activities, including our ability to execute subleasing plans, customer and employee relations, management distraction and reduced operating resources; internal and external costs required for ongoing and planned activities may be higher than expected which may cause us to use cash more quickly than we expect or change or curtail some of our plans or both; our expectations as to expenses, cash usage and cash needs may prove not to be correct for other reasons such as changes in plans or actual events being different than our assumptions; risks related to the adverse effects of the COVID-19 pandemic on our business and operating results; changes in Standard BioTools’ business or external market conditions; customers and prospective customers continuing to curtail or suspend activities utilizing our products due to the COVID-19 pandemic; our ability and/or the ability of the research institutions utilizing our products and technology to obtain and maintain Emergency Use Authorization from the FDA and any other requisite authorizations or approvals to use our products and technology for diagnostic testing purposes; challenges inherent in developing, manufacturing, launching, marketing, and selling new products; interruptions or delays in the supply of components or materials for, or manufacturing of, Standard BioTools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Standard BioTools research and development and distribution plans and capabilities; potential product performance and quality issues; risks associated with international operations; intellectual property risks; and competition. Information on these and additional risks and uncertainties and other information affecting Standard BioTools’ business and operating results is contained in its Annual Report on Form 10-K for the year ended December 31, 2021, and in its other filings with the Securities and Exchange Commission. These forward-looking statements speak only as of the date hereof. Standard BioTools disclaims any obligation to update these forward-looking statements except as may be required by law.</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Standard BioTools Inc.</w:t>
      </w:r>
    </w:p>
    <w:p>
      <w:pPr>
        <w:spacing w:after="0" w:line="212"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 xml:space="preserve">Standard BioTools Inc. (Nasdaq:LAB), previously known as Fluidigm Corporation, is driven by a bold purpose – </w:t>
      </w:r>
      <w:r>
        <w:rPr>
          <w:rFonts w:ascii="Arial" w:cs="Arial" w:eastAsia="Arial" w:hAnsi="Arial"/>
          <w:sz w:val="19"/>
          <w:szCs w:val="19"/>
          <w:i w:val="1"/>
          <w:iCs w:val="1"/>
          <w:color w:val="auto"/>
        </w:rPr>
        <w:t>Unleashing</w:t>
      </w:r>
      <w:r>
        <w:rPr>
          <w:rFonts w:ascii="Arial" w:cs="Arial" w:eastAsia="Arial" w:hAnsi="Arial"/>
          <w:sz w:val="19"/>
          <w:szCs w:val="19"/>
          <w:color w:val="auto"/>
        </w:rPr>
        <w:t xml:space="preserve"> </w:t>
      </w:r>
      <w:r>
        <w:rPr>
          <w:rFonts w:ascii="Arial" w:cs="Arial" w:eastAsia="Arial" w:hAnsi="Arial"/>
          <w:sz w:val="19"/>
          <w:szCs w:val="19"/>
          <w:i w:val="1"/>
          <w:iCs w:val="1"/>
          <w:color w:val="auto"/>
        </w:rPr>
        <w:t>tools to accelerate breakthroughs in human health</w:t>
      </w:r>
      <w:r>
        <w:rPr>
          <w:rFonts w:ascii="Arial" w:cs="Arial" w:eastAsia="Arial" w:hAnsi="Arial"/>
          <w:sz w:val="19"/>
          <w:szCs w:val="19"/>
          <w:color w:val="auto"/>
        </w:rPr>
        <w:t>. Standard BioTools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w:t>
      </w:r>
    </w:p>
    <w:p>
      <w:pPr>
        <w:spacing w:after="0" w:line="4" w:lineRule="exact"/>
        <w:rPr>
          <w:sz w:val="20"/>
          <w:szCs w:val="20"/>
          <w:color w:val="auto"/>
        </w:rPr>
      </w:pPr>
    </w:p>
    <w:p>
      <w:pPr>
        <w:jc w:val="both"/>
        <w:ind w:right="140"/>
        <w:spacing w:after="0" w:line="216" w:lineRule="auto"/>
        <w:rPr>
          <w:sz w:val="20"/>
          <w:szCs w:val="20"/>
          <w:color w:val="auto"/>
        </w:rPr>
      </w:pPr>
      <w:r>
        <w:rPr>
          <w:rFonts w:ascii="Arial" w:cs="Arial" w:eastAsia="Arial" w:hAnsi="Arial"/>
          <w:sz w:val="22"/>
          <w:szCs w:val="22"/>
          <w:color w:val="auto"/>
        </w:rPr>
        <w:t xml:space="preserve">more at </w:t>
      </w:r>
      <w:r>
        <w:rPr>
          <w:rFonts w:ascii="Arial" w:cs="Arial" w:eastAsia="Arial" w:hAnsi="Arial"/>
          <w:sz w:val="22"/>
          <w:szCs w:val="22"/>
          <w:u w:val="single" w:color="auto"/>
          <w:color w:val="auto"/>
        </w:rPr>
        <w:t>www.standardbiotools.com</w:t>
      </w:r>
      <w:r>
        <w:rPr>
          <w:rFonts w:ascii="Arial" w:cs="Arial" w:eastAsia="Arial" w:hAnsi="Arial"/>
          <w:sz w:val="22"/>
          <w:szCs w:val="22"/>
          <w:color w:val="auto"/>
        </w:rPr>
        <w:t xml:space="preserve"> or connect with us on </w:t>
      </w:r>
      <w:r>
        <w:rPr>
          <w:rFonts w:ascii="Arial" w:cs="Arial" w:eastAsia="Arial" w:hAnsi="Arial"/>
          <w:sz w:val="22"/>
          <w:szCs w:val="22"/>
          <w:u w:val="single" w:color="auto"/>
          <w:color w:val="auto"/>
        </w:rPr>
        <w:t>Twitter</w:t>
      </w:r>
      <w:r>
        <w:rPr>
          <w:rFonts w:ascii="Arial" w:cs="Arial" w:eastAsia="Arial" w:hAnsi="Arial"/>
          <w:sz w:val="35"/>
          <w:szCs w:val="35"/>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Facebook</w:t>
      </w:r>
      <w:r>
        <w:rPr>
          <w:rFonts w:ascii="Arial" w:cs="Arial" w:eastAsia="Arial" w:hAnsi="Arial"/>
          <w:sz w:val="35"/>
          <w:szCs w:val="35"/>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LinkedIn</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YouTube</w:t>
      </w:r>
      <w:r>
        <w:rPr>
          <w:rFonts w:ascii="Arial" w:cs="Arial" w:eastAsia="Arial" w:hAnsi="Arial"/>
          <w:sz w:val="35"/>
          <w:szCs w:val="35"/>
          <w:color w:val="auto"/>
          <w:vertAlign w:val="superscript"/>
        </w:rPr>
        <w:t>™</w:t>
      </w:r>
      <w:r>
        <w:rPr>
          <w:rFonts w:ascii="Arial" w:cs="Arial" w:eastAsia="Arial" w:hAnsi="Arial"/>
          <w:sz w:val="22"/>
          <w:szCs w:val="22"/>
          <w:color w:val="auto"/>
        </w:rPr>
        <w:t xml:space="preserve">. Standard BioTools, the Standard BioTools logo, Fluidigm, the Fluidigm logo, and “Unleashing tools to accelerate breakthroughs in human health” are trademarks and/or registered trademarks of Standard BioTools Inc. or its affiliates in the United States and/or other countries. All other trademarks are the sole property of their respective owners. Standard BioTools products are provided for </w:t>
      </w:r>
      <w:r>
        <w:rPr>
          <w:rFonts w:ascii="Arial" w:cs="Arial" w:eastAsia="Arial" w:hAnsi="Arial"/>
          <w:sz w:val="22"/>
          <w:szCs w:val="22"/>
          <w:b w:val="1"/>
          <w:bCs w:val="1"/>
          <w:color w:val="auto"/>
        </w:rPr>
        <w:t>Research Use</w:t>
      </w:r>
      <w:r>
        <w:rPr>
          <w:rFonts w:ascii="Arial" w:cs="Arial" w:eastAsia="Arial" w:hAnsi="Arial"/>
          <w:sz w:val="22"/>
          <w:szCs w:val="22"/>
          <w:color w:val="auto"/>
        </w:rPr>
        <w:t xml:space="preserve"> </w:t>
      </w:r>
      <w:r>
        <w:rPr>
          <w:rFonts w:ascii="Arial" w:cs="Arial" w:eastAsia="Arial" w:hAnsi="Arial"/>
          <w:sz w:val="22"/>
          <w:szCs w:val="22"/>
          <w:b w:val="1"/>
          <w:bCs w:val="1"/>
          <w:color w:val="auto"/>
        </w:rPr>
        <w:t>Only</w:t>
      </w:r>
      <w:r>
        <w:rPr>
          <w:rFonts w:ascii="Arial" w:cs="Arial" w:eastAsia="Arial" w:hAnsi="Arial"/>
          <w:sz w:val="22"/>
          <w:szCs w:val="22"/>
          <w:color w:val="auto"/>
        </w:rPr>
        <w:t>. Not for use in diagnostic procedures.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Standard BioTools uses its website (</w:t>
      </w:r>
      <w:r>
        <w:rPr>
          <w:rFonts w:ascii="Arial" w:cs="Arial" w:eastAsia="Arial" w:hAnsi="Arial"/>
          <w:sz w:val="19"/>
          <w:szCs w:val="19"/>
          <w:u w:val="single" w:color="auto"/>
          <w:color w:val="auto"/>
        </w:rPr>
        <w:t>standardbio.com</w:t>
      </w:r>
      <w:r>
        <w:rPr>
          <w:rFonts w:ascii="Arial" w:cs="Arial" w:eastAsia="Arial" w:hAnsi="Arial"/>
          <w:sz w:val="19"/>
          <w:szCs w:val="19"/>
          <w:color w:val="auto"/>
        </w:rPr>
        <w:t>), investor site (</w:t>
      </w:r>
      <w:r>
        <w:rPr>
          <w:rFonts w:ascii="Arial" w:cs="Arial" w:eastAsia="Arial" w:hAnsi="Arial"/>
          <w:sz w:val="19"/>
          <w:szCs w:val="19"/>
          <w:u w:val="single" w:color="auto"/>
          <w:color w:val="auto"/>
        </w:rPr>
        <w:t>investors.standardbiotools.com</w:t>
      </w:r>
      <w:r>
        <w:rPr>
          <w:rFonts w:ascii="Arial" w:cs="Arial" w:eastAsia="Arial" w:hAnsi="Arial"/>
          <w:sz w:val="19"/>
          <w:szCs w:val="19"/>
          <w:color w:val="auto"/>
        </w:rPr>
        <w:t>), corporate Twitter account (@Standard_BioT), Facebook page (facebook.com/StandardBioT), and LinkedIn page (linkedin.com/company/standard-biotools) as channels of distribution of information about its products, its planned financial and other announcements, its attendance at upcoming investor and industry conferences, and other matters. Such information may be deemed material information,</w:t>
      </w:r>
    </w:p>
    <w:p>
      <w:pPr>
        <w:spacing w:after="0" w:line="3" w:lineRule="exact"/>
        <w:rPr>
          <w:sz w:val="20"/>
          <w:szCs w:val="20"/>
          <w:color w:val="auto"/>
        </w:rPr>
      </w:pPr>
    </w:p>
    <w:p>
      <w:pPr>
        <w:ind w:right="720"/>
        <w:spacing w:after="0" w:line="234" w:lineRule="auto"/>
        <w:rPr>
          <w:sz w:val="20"/>
          <w:szCs w:val="20"/>
          <w:color w:val="auto"/>
        </w:rPr>
      </w:pPr>
      <w:r>
        <w:rPr>
          <w:rFonts w:ascii="Arial" w:cs="Arial" w:eastAsia="Arial" w:hAnsi="Arial"/>
          <w:sz w:val="22"/>
          <w:szCs w:val="22"/>
          <w:color w:val="auto"/>
        </w:rPr>
        <w:t>and Standard BioTools may use these channels to comply with its disclosure obligations under Regulation FD. Therefore, investors should monitor Standard BioTools’ website and its social media accounts in addition to following its press releases, SEC filings, public conference calls, and webcasts.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Peter DeNardo</w:t>
      </w:r>
    </w:p>
    <w:p>
      <w:pPr>
        <w:spacing w:after="0" w:line="230" w:lineRule="auto"/>
        <w:rPr>
          <w:sz w:val="20"/>
          <w:szCs w:val="20"/>
          <w:color w:val="auto"/>
        </w:rPr>
      </w:pPr>
      <w:r>
        <w:rPr>
          <w:rFonts w:ascii="Arial" w:cs="Arial" w:eastAsia="Arial" w:hAnsi="Arial"/>
          <w:sz w:val="22"/>
          <w:szCs w:val="22"/>
          <w:color w:val="auto"/>
        </w:rPr>
        <w:t>415 389 6400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ir@standardbio.com</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STANDARD BIOTOOLS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(formerly known as FLUIDIGM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80" w:type="dxa"/>
            <w:vAlign w:val="bottom"/>
            <w:gridSpan w:val="6"/>
          </w:tcPr>
          <w:p>
            <w:pPr>
              <w:jc w:val="center"/>
              <w:ind w:right="260"/>
              <w:spacing w:after="0"/>
              <w:rPr>
                <w:sz w:val="20"/>
                <w:szCs w:val="20"/>
                <w:color w:val="auto"/>
              </w:rPr>
            </w:pPr>
            <w:r>
              <w:rPr>
                <w:rFonts w:ascii="Arial" w:cs="Arial" w:eastAsia="Arial" w:hAnsi="Arial"/>
                <w:sz w:val="22"/>
                <w:szCs w:val="22"/>
                <w:b w:val="1"/>
                <w:bCs w:val="1"/>
                <w:color w:val="auto"/>
                <w:w w:val="90"/>
              </w:rPr>
              <w:t>Three Months Ended June</w:t>
            </w:r>
          </w:p>
        </w:tc>
        <w:tc>
          <w:tcPr>
            <w:tcW w:w="120" w:type="dxa"/>
            <w:vAlign w:val="bottom"/>
          </w:tcPr>
          <w:p>
            <w:pPr>
              <w:spacing w:after="0"/>
              <w:rPr>
                <w:sz w:val="21"/>
                <w:szCs w:val="21"/>
                <w:color w:val="auto"/>
              </w:rPr>
            </w:pPr>
          </w:p>
        </w:tc>
        <w:tc>
          <w:tcPr>
            <w:tcW w:w="2680" w:type="dxa"/>
            <w:vAlign w:val="bottom"/>
            <w:gridSpan w:val="4"/>
            <w:vMerge w:val="restart"/>
          </w:tcPr>
          <w:p>
            <w:pPr>
              <w:jc w:val="right"/>
              <w:ind w:right="32"/>
              <w:spacing w:after="0"/>
              <w:rPr>
                <w:sz w:val="20"/>
                <w:szCs w:val="20"/>
                <w:color w:val="auto"/>
              </w:rPr>
            </w:pPr>
            <w:r>
              <w:rPr>
                <w:rFonts w:ascii="Arial" w:cs="Arial" w:eastAsia="Arial" w:hAnsi="Arial"/>
                <w:sz w:val="22"/>
                <w:szCs w:val="22"/>
                <w:b w:val="1"/>
                <w:bCs w:val="1"/>
                <w:color w:val="auto"/>
                <w:w w:val="88"/>
              </w:rPr>
              <w:t>Six Months Ended June 30,</w:t>
            </w:r>
          </w:p>
        </w:tc>
        <w:tc>
          <w:tcPr>
            <w:tcW w:w="0" w:type="dxa"/>
            <w:vAlign w:val="bottom"/>
          </w:tcPr>
          <w:p>
            <w:pPr>
              <w:spacing w:after="0"/>
              <w:rPr>
                <w:sz w:val="1"/>
                <w:szCs w:val="1"/>
                <w:color w:val="auto"/>
              </w:rPr>
            </w:pPr>
          </w:p>
        </w:tc>
      </w:tr>
      <w:tr>
        <w:trPr>
          <w:trHeight w:val="159"/>
        </w:trPr>
        <w:tc>
          <w:tcPr>
            <w:tcW w:w="5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gridSpan w:val="3"/>
            <w:vMerge w:val="restart"/>
          </w:tcPr>
          <w:p>
            <w:pPr>
              <w:jc w:val="right"/>
              <w:ind w:right="200"/>
              <w:spacing w:after="0"/>
              <w:rPr>
                <w:sz w:val="20"/>
                <w:szCs w:val="20"/>
                <w:color w:val="auto"/>
              </w:rPr>
            </w:pPr>
            <w:r>
              <w:rPr>
                <w:rFonts w:ascii="Arial" w:cs="Arial" w:eastAsia="Arial" w:hAnsi="Arial"/>
                <w:sz w:val="22"/>
                <w:szCs w:val="22"/>
                <w:b w:val="1"/>
                <w:bCs w:val="1"/>
                <w:color w:val="auto"/>
                <w:w w:val="84"/>
              </w:rPr>
              <w:t>30,</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3"/>
            <w:vMerge w:val="continue"/>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5500" w:type="dxa"/>
            <w:vAlign w:val="bottom"/>
            <w:vMerge w:val="restart"/>
          </w:tcPr>
          <w:p>
            <w:pPr>
              <w:spacing w:after="0"/>
              <w:rPr>
                <w:sz w:val="20"/>
                <w:szCs w:val="20"/>
                <w:color w:val="auto"/>
              </w:rPr>
            </w:pPr>
            <w:r>
              <w:rPr>
                <w:rFonts w:ascii="Arial" w:cs="Arial" w:eastAsia="Arial" w:hAnsi="Arial"/>
                <w:sz w:val="22"/>
                <w:szCs w:val="22"/>
                <w:color w:val="auto"/>
              </w:rPr>
              <w:t>Revenue</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2022</w:t>
            </w:r>
          </w:p>
        </w:tc>
        <w:tc>
          <w:tcPr>
            <w:tcW w:w="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2021</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2022</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2021</w:t>
            </w:r>
          </w:p>
        </w:tc>
        <w:tc>
          <w:tcPr>
            <w:tcW w:w="0" w:type="dxa"/>
            <w:vAlign w:val="bottom"/>
          </w:tcPr>
          <w:p>
            <w:pPr>
              <w:spacing w:after="0"/>
              <w:rPr>
                <w:sz w:val="1"/>
                <w:szCs w:val="1"/>
                <w:color w:val="auto"/>
              </w:rPr>
            </w:pPr>
          </w:p>
        </w:tc>
      </w:tr>
      <w:tr>
        <w:trPr>
          <w:trHeight w:val="246"/>
        </w:trPr>
        <w:tc>
          <w:tcPr>
            <w:tcW w:w="55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500" w:type="dxa"/>
            <w:vAlign w:val="bottom"/>
          </w:tcPr>
          <w:p>
            <w:pPr>
              <w:ind w:left="320"/>
              <w:spacing w:after="0"/>
              <w:rPr>
                <w:sz w:val="20"/>
                <w:szCs w:val="20"/>
                <w:color w:val="auto"/>
              </w:rPr>
            </w:pPr>
            <w:r>
              <w:rPr>
                <w:rFonts w:ascii="Arial" w:cs="Arial" w:eastAsia="Arial" w:hAnsi="Arial"/>
                <w:sz w:val="22"/>
                <w:szCs w:val="22"/>
                <w:color w:val="auto"/>
              </w:rPr>
              <w:t>Product revenue</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12,219</w:t>
            </w:r>
          </w:p>
        </w:tc>
        <w:tc>
          <w:tcPr>
            <w:tcW w:w="480" w:type="dxa"/>
            <w:vAlign w:val="bottom"/>
            <w:gridSpan w:val="3"/>
          </w:tcPr>
          <w:p>
            <w:pPr>
              <w:jc w:val="right"/>
              <w:ind w:right="160"/>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22,627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32,223</w:t>
            </w:r>
          </w:p>
        </w:tc>
        <w:tc>
          <w:tcPr>
            <w:tcW w:w="100" w:type="dxa"/>
            <w:vAlign w:val="bottom"/>
          </w:tcPr>
          <w:p>
            <w:pPr>
              <w:spacing w:after="0"/>
              <w:rPr>
                <w:sz w:val="24"/>
                <w:szCs w:val="24"/>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47,355</w:t>
            </w:r>
          </w:p>
        </w:tc>
        <w:tc>
          <w:tcPr>
            <w:tcW w:w="0" w:type="dxa"/>
            <w:vAlign w:val="bottom"/>
          </w:tcPr>
          <w:p>
            <w:pPr>
              <w:spacing w:after="0"/>
              <w:rPr>
                <w:sz w:val="1"/>
                <w:szCs w:val="1"/>
                <w:color w:val="auto"/>
              </w:rPr>
            </w:pPr>
          </w:p>
        </w:tc>
      </w:tr>
      <w:tr>
        <w:trPr>
          <w:trHeight w:val="274"/>
        </w:trPr>
        <w:tc>
          <w:tcPr>
            <w:tcW w:w="5500" w:type="dxa"/>
            <w:vAlign w:val="bottom"/>
          </w:tcPr>
          <w:p>
            <w:pPr>
              <w:ind w:left="320"/>
              <w:spacing w:after="0"/>
              <w:rPr>
                <w:sz w:val="20"/>
                <w:szCs w:val="20"/>
                <w:color w:val="auto"/>
              </w:rPr>
            </w:pPr>
            <w:r>
              <w:rPr>
                <w:rFonts w:ascii="Arial" w:cs="Arial" w:eastAsia="Arial" w:hAnsi="Arial"/>
                <w:sz w:val="22"/>
                <w:szCs w:val="22"/>
                <w:color w:val="auto"/>
              </w:rPr>
              <w:t>Service revenue</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5,806</w:t>
            </w:r>
          </w:p>
        </w:tc>
        <w:tc>
          <w:tcPr>
            <w:tcW w:w="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6,627</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11,950</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12,913</w:t>
            </w:r>
          </w:p>
        </w:tc>
        <w:tc>
          <w:tcPr>
            <w:tcW w:w="0" w:type="dxa"/>
            <w:vAlign w:val="bottom"/>
          </w:tcPr>
          <w:p>
            <w:pPr>
              <w:spacing w:after="0"/>
              <w:rPr>
                <w:sz w:val="1"/>
                <w:szCs w:val="1"/>
                <w:color w:val="auto"/>
              </w:rPr>
            </w:pPr>
          </w:p>
        </w:tc>
      </w:tr>
      <w:tr>
        <w:trPr>
          <w:trHeight w:val="271"/>
        </w:trPr>
        <w:tc>
          <w:tcPr>
            <w:tcW w:w="5500" w:type="dxa"/>
            <w:vAlign w:val="bottom"/>
          </w:tcPr>
          <w:p>
            <w:pPr>
              <w:ind w:left="120"/>
              <w:spacing w:after="0"/>
              <w:rPr>
                <w:sz w:val="20"/>
                <w:szCs w:val="20"/>
                <w:color w:val="auto"/>
              </w:rPr>
            </w:pPr>
            <w:r>
              <w:rPr>
                <w:rFonts w:ascii="Arial" w:cs="Arial" w:eastAsia="Arial" w:hAnsi="Arial"/>
                <w:sz w:val="22"/>
                <w:szCs w:val="22"/>
                <w:color w:val="auto"/>
              </w:rPr>
              <w:t>Product and service revenue</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18,025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29,254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44,173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60,268</w:t>
            </w:r>
          </w:p>
        </w:tc>
        <w:tc>
          <w:tcPr>
            <w:tcW w:w="0" w:type="dxa"/>
            <w:vAlign w:val="bottom"/>
          </w:tcPr>
          <w:p>
            <w:pPr>
              <w:spacing w:after="0"/>
              <w:rPr>
                <w:sz w:val="1"/>
                <w:szCs w:val="1"/>
                <w:color w:val="auto"/>
              </w:rPr>
            </w:pPr>
          </w:p>
        </w:tc>
      </w:tr>
    </w:tbl>
    <w:p>
      <w:pPr>
        <w:sectPr>
          <w:pgSz w:w="11900" w:h="16855" w:orient="portrait"/>
          <w:cols w:equalWidth="0" w:num="1">
            <w:col w:w="11240"/>
          </w:cols>
          <w:pgMar w:left="320" w:top="118"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500" w:type="dxa"/>
            <w:vAlign w:val="bottom"/>
          </w:tcPr>
          <w:p>
            <w:pPr>
              <w:ind w:left="120"/>
              <w:spacing w:after="0"/>
              <w:rPr>
                <w:sz w:val="20"/>
                <w:szCs w:val="20"/>
                <w:color w:val="auto"/>
              </w:rPr>
            </w:pPr>
            <w:r>
              <w:rPr>
                <w:rFonts w:ascii="Arial" w:cs="Arial" w:eastAsia="Arial" w:hAnsi="Arial"/>
                <w:sz w:val="22"/>
                <w:szCs w:val="22"/>
                <w:color w:val="auto"/>
              </w:rPr>
              <w:t>Other revenue (1)</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752</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1,764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1,108</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3,544</w:t>
            </w:r>
          </w:p>
        </w:tc>
        <w:tc>
          <w:tcPr>
            <w:tcW w:w="0" w:type="dxa"/>
            <w:vAlign w:val="bottom"/>
          </w:tcPr>
          <w:p>
            <w:pPr>
              <w:spacing w:after="0"/>
              <w:rPr>
                <w:sz w:val="1"/>
                <w:szCs w:val="1"/>
                <w:color w:val="auto"/>
              </w:rPr>
            </w:pPr>
          </w:p>
        </w:tc>
      </w:tr>
      <w:tr>
        <w:trPr>
          <w:trHeight w:val="259"/>
        </w:trPr>
        <w:tc>
          <w:tcPr>
            <w:tcW w:w="5500" w:type="dxa"/>
            <w:vAlign w:val="bottom"/>
          </w:tcPr>
          <w:p>
            <w:pPr>
              <w:spacing w:after="0"/>
              <w:rPr>
                <w:sz w:val="20"/>
                <w:szCs w:val="20"/>
                <w:color w:val="auto"/>
              </w:rPr>
            </w:pPr>
            <w:r>
              <w:rPr>
                <w:rFonts w:ascii="Arial" w:cs="Arial" w:eastAsia="Arial" w:hAnsi="Arial"/>
                <w:sz w:val="22"/>
                <w:szCs w:val="22"/>
                <w:color w:val="auto"/>
              </w:rPr>
              <w:t>Total revenue</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18,777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31,018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45,281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63,812</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Costs and expenses</w:t>
            </w: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120"/>
              <w:spacing w:after="0"/>
              <w:rPr>
                <w:sz w:val="20"/>
                <w:szCs w:val="20"/>
                <w:color w:val="auto"/>
              </w:rPr>
            </w:pPr>
            <w:r>
              <w:rPr>
                <w:rFonts w:ascii="Arial" w:cs="Arial" w:eastAsia="Arial" w:hAnsi="Arial"/>
                <w:sz w:val="22"/>
                <w:szCs w:val="22"/>
                <w:color w:val="auto"/>
              </w:rPr>
              <w:t>Cost of product revenue</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12,738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12,730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25,077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24,393</w:t>
            </w:r>
          </w:p>
        </w:tc>
        <w:tc>
          <w:tcPr>
            <w:tcW w:w="0" w:type="dxa"/>
            <w:vAlign w:val="bottom"/>
          </w:tcPr>
          <w:p>
            <w:pPr>
              <w:spacing w:after="0"/>
              <w:rPr>
                <w:sz w:val="1"/>
                <w:szCs w:val="1"/>
                <w:color w:val="auto"/>
              </w:rPr>
            </w:pPr>
          </w:p>
        </w:tc>
      </w:tr>
      <w:tr>
        <w:trPr>
          <w:trHeight w:val="274"/>
        </w:trPr>
        <w:tc>
          <w:tcPr>
            <w:tcW w:w="5500" w:type="dxa"/>
            <w:vAlign w:val="bottom"/>
          </w:tcPr>
          <w:p>
            <w:pPr>
              <w:ind w:left="120"/>
              <w:spacing w:after="0"/>
              <w:rPr>
                <w:sz w:val="20"/>
                <w:szCs w:val="20"/>
                <w:color w:val="auto"/>
              </w:rPr>
            </w:pPr>
            <w:r>
              <w:rPr>
                <w:rFonts w:ascii="Arial" w:cs="Arial" w:eastAsia="Arial" w:hAnsi="Arial"/>
                <w:sz w:val="22"/>
                <w:szCs w:val="22"/>
                <w:color w:val="auto"/>
              </w:rPr>
              <w:t>Cost of service revenue</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1,612</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1,867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3,540</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3,957</w:t>
            </w:r>
          </w:p>
        </w:tc>
        <w:tc>
          <w:tcPr>
            <w:tcW w:w="0" w:type="dxa"/>
            <w:vAlign w:val="bottom"/>
          </w:tcPr>
          <w:p>
            <w:pPr>
              <w:spacing w:after="0"/>
              <w:rPr>
                <w:sz w:val="1"/>
                <w:szCs w:val="1"/>
                <w:color w:val="auto"/>
              </w:rPr>
            </w:pPr>
          </w:p>
        </w:tc>
      </w:tr>
      <w:tr>
        <w:trPr>
          <w:trHeight w:val="259"/>
        </w:trPr>
        <w:tc>
          <w:tcPr>
            <w:tcW w:w="5500" w:type="dxa"/>
            <w:vAlign w:val="bottom"/>
          </w:tcPr>
          <w:p>
            <w:pPr>
              <w:ind w:left="120"/>
              <w:spacing w:after="0"/>
              <w:rPr>
                <w:sz w:val="20"/>
                <w:szCs w:val="20"/>
                <w:color w:val="auto"/>
              </w:rPr>
            </w:pPr>
            <w:r>
              <w:rPr>
                <w:rFonts w:ascii="Arial" w:cs="Arial" w:eastAsia="Arial" w:hAnsi="Arial"/>
                <w:sz w:val="22"/>
                <w:szCs w:val="22"/>
                <w:color w:val="auto"/>
              </w:rPr>
              <w:t>Cost of product and service revenue</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14,350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14,597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28,617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28,350</w:t>
            </w:r>
          </w:p>
        </w:tc>
        <w:tc>
          <w:tcPr>
            <w:tcW w:w="0" w:type="dxa"/>
            <w:vAlign w:val="bottom"/>
          </w:tcPr>
          <w:p>
            <w:pPr>
              <w:spacing w:after="0"/>
              <w:rPr>
                <w:sz w:val="1"/>
                <w:szCs w:val="1"/>
                <w:color w:val="auto"/>
              </w:rPr>
            </w:pPr>
          </w:p>
        </w:tc>
      </w:tr>
      <w:tr>
        <w:trPr>
          <w:trHeight w:val="270"/>
        </w:trPr>
        <w:tc>
          <w:tcPr>
            <w:tcW w:w="5500" w:type="dxa"/>
            <w:vAlign w:val="bottom"/>
          </w:tcPr>
          <w:p>
            <w:pPr>
              <w:ind w:left="120"/>
              <w:spacing w:after="0"/>
              <w:rPr>
                <w:sz w:val="20"/>
                <w:szCs w:val="20"/>
                <w:color w:val="auto"/>
              </w:rPr>
            </w:pPr>
            <w:r>
              <w:rPr>
                <w:rFonts w:ascii="Arial" w:cs="Arial" w:eastAsia="Arial" w:hAnsi="Arial"/>
                <w:sz w:val="22"/>
                <w:szCs w:val="22"/>
                <w:color w:val="auto"/>
              </w:rPr>
              <w:t>Research and development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12,606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9,441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21,471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20,194</w:t>
            </w:r>
          </w:p>
        </w:tc>
        <w:tc>
          <w:tcPr>
            <w:tcW w:w="0" w:type="dxa"/>
            <w:vAlign w:val="bottom"/>
          </w:tcPr>
          <w:p>
            <w:pPr>
              <w:spacing w:after="0"/>
              <w:rPr>
                <w:sz w:val="1"/>
                <w:szCs w:val="1"/>
                <w:color w:val="auto"/>
              </w:rPr>
            </w:pPr>
          </w:p>
        </w:tc>
      </w:tr>
      <w:tr>
        <w:trPr>
          <w:trHeight w:val="274"/>
        </w:trPr>
        <w:tc>
          <w:tcPr>
            <w:tcW w:w="5500" w:type="dxa"/>
            <w:vAlign w:val="bottom"/>
          </w:tcPr>
          <w:p>
            <w:pPr>
              <w:ind w:left="120"/>
              <w:spacing w:after="0"/>
              <w:rPr>
                <w:sz w:val="20"/>
                <w:szCs w:val="20"/>
                <w:color w:val="auto"/>
              </w:rPr>
            </w:pPr>
            <w:r>
              <w:rPr>
                <w:rFonts w:ascii="Arial" w:cs="Arial" w:eastAsia="Arial" w:hAnsi="Arial"/>
                <w:sz w:val="22"/>
                <w:szCs w:val="22"/>
                <w:color w:val="auto"/>
              </w:rPr>
              <w:t>Selling, general and administrative</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30,384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24,248</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61,259</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51,856</w:t>
            </w:r>
          </w:p>
        </w:tc>
        <w:tc>
          <w:tcPr>
            <w:tcW w:w="0" w:type="dxa"/>
            <w:vAlign w:val="bottom"/>
          </w:tcPr>
          <w:p>
            <w:pPr>
              <w:spacing w:after="0"/>
              <w:rPr>
                <w:sz w:val="1"/>
                <w:szCs w:val="1"/>
                <w:color w:val="auto"/>
              </w:rPr>
            </w:pPr>
          </w:p>
        </w:tc>
      </w:tr>
      <w:tr>
        <w:trPr>
          <w:trHeight w:val="267"/>
        </w:trPr>
        <w:tc>
          <w:tcPr>
            <w:tcW w:w="5500" w:type="dxa"/>
            <w:vAlign w:val="bottom"/>
          </w:tcPr>
          <w:p>
            <w:pPr>
              <w:spacing w:after="0"/>
              <w:rPr>
                <w:sz w:val="20"/>
                <w:szCs w:val="20"/>
                <w:color w:val="auto"/>
              </w:rPr>
            </w:pPr>
            <w:r>
              <w:rPr>
                <w:rFonts w:ascii="Arial" w:cs="Arial" w:eastAsia="Arial" w:hAnsi="Arial"/>
                <w:sz w:val="22"/>
                <w:szCs w:val="22"/>
                <w:color w:val="auto"/>
              </w:rPr>
              <w:t>Total costs and expenses</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57,340</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48,286</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111,347</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100,400</w:t>
            </w:r>
          </w:p>
        </w:tc>
        <w:tc>
          <w:tcPr>
            <w:tcW w:w="0" w:type="dxa"/>
            <w:vAlign w:val="bottom"/>
          </w:tcPr>
          <w:p>
            <w:pPr>
              <w:spacing w:after="0"/>
              <w:rPr>
                <w:sz w:val="1"/>
                <w:szCs w:val="1"/>
                <w:color w:val="auto"/>
              </w:rPr>
            </w:pPr>
          </w:p>
        </w:tc>
      </w:tr>
      <w:tr>
        <w:trPr>
          <w:trHeight w:val="256"/>
        </w:trPr>
        <w:tc>
          <w:tcPr>
            <w:tcW w:w="5500" w:type="dxa"/>
            <w:vAlign w:val="bottom"/>
          </w:tcPr>
          <w:p>
            <w:pPr>
              <w:spacing w:after="0"/>
              <w:rPr>
                <w:sz w:val="20"/>
                <w:szCs w:val="20"/>
                <w:color w:val="auto"/>
              </w:rPr>
            </w:pPr>
            <w:r>
              <w:rPr>
                <w:rFonts w:ascii="Arial" w:cs="Arial" w:eastAsia="Arial" w:hAnsi="Arial"/>
                <w:sz w:val="22"/>
                <w:szCs w:val="22"/>
                <w:color w:val="auto"/>
              </w:rPr>
              <w:t>Loss from operations</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(38,563)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(17,268)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(66,066)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(36,588)</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Interest expense</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(1,062)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(896)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(2,092)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(1,783)</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Loss on forward sale of Series B Preferred Stock</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(22,289)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(60,081)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Loss on bridge loans</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(3,064)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(13,719)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5500" w:type="dxa"/>
            <w:vAlign w:val="bottom"/>
          </w:tcPr>
          <w:p>
            <w:pPr>
              <w:spacing w:after="0"/>
              <w:rPr>
                <w:sz w:val="20"/>
                <w:szCs w:val="20"/>
                <w:color w:val="auto"/>
              </w:rPr>
            </w:pPr>
            <w:r>
              <w:rPr>
                <w:rFonts w:ascii="Arial" w:cs="Arial" w:eastAsia="Arial" w:hAnsi="Arial"/>
                <w:sz w:val="22"/>
                <w:szCs w:val="22"/>
                <w:color w:val="auto"/>
              </w:rPr>
              <w:t>Other income (expense), net</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219</w:t>
            </w:r>
          </w:p>
        </w:tc>
        <w:tc>
          <w:tcPr>
            <w:tcW w:w="0" w:type="dxa"/>
            <w:vAlign w:val="bottom"/>
          </w:tcPr>
          <w:p>
            <w:pPr>
              <w:spacing w:after="0"/>
              <w:rPr>
                <w:sz w:val="1"/>
                <w:szCs w:val="1"/>
                <w:color w:val="auto"/>
              </w:rPr>
            </w:pPr>
          </w:p>
        </w:tc>
      </w:tr>
      <w:tr>
        <w:trPr>
          <w:trHeight w:val="259"/>
        </w:trPr>
        <w:tc>
          <w:tcPr>
            <w:tcW w:w="550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(65,152)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(17,660)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(142,014)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(38,152)</w:t>
            </w:r>
          </w:p>
        </w:tc>
        <w:tc>
          <w:tcPr>
            <w:tcW w:w="0" w:type="dxa"/>
            <w:vAlign w:val="bottom"/>
          </w:tcPr>
          <w:p>
            <w:pPr>
              <w:spacing w:after="0"/>
              <w:rPr>
                <w:sz w:val="1"/>
                <w:szCs w:val="1"/>
                <w:color w:val="auto"/>
              </w:rPr>
            </w:pPr>
          </w:p>
        </w:tc>
      </w:tr>
      <w:tr>
        <w:trPr>
          <w:trHeight w:val="274"/>
        </w:trPr>
        <w:tc>
          <w:tcPr>
            <w:tcW w:w="5500" w:type="dxa"/>
            <w:vAlign w:val="bottom"/>
          </w:tcPr>
          <w:p>
            <w:pPr>
              <w:spacing w:after="0"/>
              <w:rPr>
                <w:sz w:val="20"/>
                <w:szCs w:val="20"/>
                <w:color w:val="auto"/>
              </w:rPr>
            </w:pPr>
            <w:r>
              <w:rPr>
                <w:rFonts w:ascii="Arial" w:cs="Arial" w:eastAsia="Arial" w:hAnsi="Arial"/>
                <w:sz w:val="22"/>
                <w:szCs w:val="22"/>
                <w:color w:val="auto"/>
              </w:rPr>
              <w:t>Income tax benefit</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1,613</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2,187</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2,188</w:t>
            </w:r>
          </w:p>
        </w:tc>
        <w:tc>
          <w:tcPr>
            <w:tcW w:w="0" w:type="dxa"/>
            <w:vAlign w:val="bottom"/>
          </w:tcPr>
          <w:p>
            <w:pPr>
              <w:spacing w:after="0"/>
              <w:rPr>
                <w:sz w:val="1"/>
                <w:szCs w:val="1"/>
                <w:color w:val="auto"/>
              </w:rPr>
            </w:pPr>
          </w:p>
        </w:tc>
      </w:tr>
      <w:tr>
        <w:trPr>
          <w:trHeight w:val="267"/>
        </w:trPr>
        <w:tc>
          <w:tcPr>
            <w:tcW w:w="5500" w:type="dxa"/>
            <w:vAlign w:val="bottom"/>
          </w:tcPr>
          <w:p>
            <w:pPr>
              <w:spacing w:after="0"/>
              <w:rPr>
                <w:sz w:val="20"/>
                <w:szCs w:val="20"/>
                <w:color w:val="auto"/>
              </w:rPr>
            </w:pPr>
            <w:r>
              <w:rPr>
                <w:rFonts w:ascii="Arial" w:cs="Arial" w:eastAsia="Arial" w:hAnsi="Arial"/>
                <w:sz w:val="22"/>
                <w:szCs w:val="22"/>
                <w:color w:val="auto"/>
              </w:rPr>
              <w:t>Net loss</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(63,539)</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(17,143)</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(139,827)</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(35,964)</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5500" w:type="dxa"/>
            <w:vAlign w:val="bottom"/>
          </w:tcPr>
          <w:p>
            <w:pPr>
              <w:spacing w:after="0"/>
              <w:rPr>
                <w:sz w:val="20"/>
                <w:szCs w:val="20"/>
                <w:color w:val="auto"/>
              </w:rPr>
            </w:pPr>
            <w:r>
              <w:rPr>
                <w:rFonts w:ascii="Arial" w:cs="Arial" w:eastAsia="Arial" w:hAnsi="Arial"/>
                <w:sz w:val="22"/>
                <w:szCs w:val="22"/>
                <w:color w:val="auto"/>
              </w:rPr>
              <w:t>Net loss per share, basic and diluted</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(0.82)</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(0.23)</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(1.81)</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(0.48)</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22"/>
                <w:szCs w:val="22"/>
                <w:color w:val="auto"/>
                <w:w w:val="89"/>
              </w:rPr>
              <w:t>Shares used in computing net loss per share, basic and diluted</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500" w:type="dxa"/>
            <w:vAlign w:val="bottom"/>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77,821</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75,452</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77,430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75,084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Note: (1) Other revenue includes product development, license and grant revenue.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20" w:type="dxa"/>
            <w:vAlign w:val="bottom"/>
          </w:tcPr>
          <w:p>
            <w:pPr>
              <w:jc w:val="center"/>
              <w:ind w:left="3472"/>
              <w:spacing w:after="0"/>
              <w:rPr>
                <w:sz w:val="20"/>
                <w:szCs w:val="20"/>
                <w:color w:val="auto"/>
              </w:rPr>
            </w:pPr>
            <w:r>
              <w:rPr>
                <w:rFonts w:ascii="Arial" w:cs="Arial" w:eastAsia="Arial" w:hAnsi="Arial"/>
                <w:sz w:val="22"/>
                <w:szCs w:val="22"/>
                <w:b w:val="1"/>
                <w:bCs w:val="1"/>
                <w:color w:val="auto"/>
                <w:w w:val="97"/>
              </w:rPr>
              <w:t>STANDARD BIOTOOLS INC.</w:t>
            </w: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60" w:type="dxa"/>
            <w:vAlign w:val="bottom"/>
            <w:gridSpan w:val="2"/>
          </w:tcPr>
          <w:p>
            <w:pPr>
              <w:jc w:val="center"/>
              <w:ind w:left="3052"/>
              <w:spacing w:after="0"/>
              <w:rPr>
                <w:sz w:val="20"/>
                <w:szCs w:val="20"/>
                <w:color w:val="auto"/>
              </w:rPr>
            </w:pPr>
            <w:r>
              <w:rPr>
                <w:rFonts w:ascii="Arial" w:cs="Arial" w:eastAsia="Arial" w:hAnsi="Arial"/>
                <w:sz w:val="22"/>
                <w:szCs w:val="22"/>
                <w:b w:val="1"/>
                <w:bCs w:val="1"/>
                <w:color w:val="auto"/>
                <w:w w:val="96"/>
              </w:rPr>
              <w:t>(formerly known as FLUIDIGM CORPORATION)</w:t>
            </w: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9540" w:type="dxa"/>
            <w:vAlign w:val="bottom"/>
            <w:gridSpan w:val="4"/>
          </w:tcPr>
          <w:p>
            <w:pPr>
              <w:jc w:val="center"/>
              <w:ind w:left="1552"/>
              <w:spacing w:after="0"/>
              <w:rPr>
                <w:sz w:val="20"/>
                <w:szCs w:val="20"/>
                <w:color w:val="auto"/>
              </w:rPr>
            </w:pPr>
            <w:r>
              <w:rPr>
                <w:rFonts w:ascii="Arial" w:cs="Arial" w:eastAsia="Arial" w:hAnsi="Arial"/>
                <w:sz w:val="22"/>
                <w:szCs w:val="22"/>
                <w:b w:val="1"/>
                <w:bCs w:val="1"/>
                <w:color w:val="auto"/>
                <w:w w:val="97"/>
              </w:rPr>
              <w:t>CONDENSED CONSOLIDATED BALANCE SHEETS</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20" w:type="dxa"/>
            <w:vAlign w:val="bottom"/>
          </w:tcPr>
          <w:p>
            <w:pPr>
              <w:jc w:val="center"/>
              <w:ind w:left="3472"/>
              <w:spacing w:after="0"/>
              <w:rPr>
                <w:sz w:val="20"/>
                <w:szCs w:val="20"/>
                <w:color w:val="auto"/>
              </w:rPr>
            </w:pPr>
            <w:r>
              <w:rPr>
                <w:rFonts w:ascii="Arial" w:cs="Arial" w:eastAsia="Arial" w:hAnsi="Arial"/>
                <w:sz w:val="22"/>
                <w:szCs w:val="22"/>
                <w:b w:val="1"/>
                <w:bCs w:val="1"/>
                <w:i w:val="1"/>
                <w:iCs w:val="1"/>
                <w:color w:val="auto"/>
                <w:w w:val="87"/>
              </w:rPr>
              <w:t>(In thousands)</w:t>
            </w:r>
          </w:p>
        </w:tc>
        <w:tc>
          <w:tcPr>
            <w:tcW w:w="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620" w:type="dxa"/>
            <w:vAlign w:val="bottom"/>
          </w:tcPr>
          <w:p>
            <w:pPr>
              <w:jc w:val="center"/>
              <w:ind w:left="3472"/>
              <w:spacing w:after="0"/>
              <w:rPr>
                <w:sz w:val="20"/>
                <w:szCs w:val="20"/>
                <w:color w:val="auto"/>
              </w:rPr>
            </w:pPr>
            <w:r>
              <w:rPr>
                <w:rFonts w:ascii="Arial" w:cs="Arial" w:eastAsia="Arial" w:hAnsi="Arial"/>
                <w:sz w:val="22"/>
                <w:szCs w:val="22"/>
                <w:b w:val="1"/>
                <w:bCs w:val="1"/>
                <w:color w:val="auto"/>
                <w:w w:val="91"/>
              </w:rPr>
              <w:t>(Unaudited)</w:t>
            </w:r>
          </w:p>
        </w:tc>
        <w:tc>
          <w:tcPr>
            <w:tcW w:w="440" w:type="dxa"/>
            <w:vAlign w:val="bottom"/>
          </w:tcPr>
          <w:p>
            <w:pPr>
              <w:spacing w:after="0"/>
              <w:rPr>
                <w:sz w:val="24"/>
                <w:szCs w:val="24"/>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22"/>
                <w:szCs w:val="22"/>
                <w:b w:val="1"/>
                <w:bCs w:val="1"/>
                <w:color w:val="auto"/>
              </w:rPr>
              <w:t>June 30,</w:t>
            </w:r>
          </w:p>
        </w:tc>
        <w:tc>
          <w:tcPr>
            <w:tcW w:w="160" w:type="dxa"/>
            <w:vAlign w:val="bottom"/>
          </w:tcPr>
          <w:p>
            <w:pPr>
              <w:spacing w:after="0"/>
              <w:rPr>
                <w:sz w:val="24"/>
                <w:szCs w:val="24"/>
                <w:color w:val="auto"/>
              </w:rPr>
            </w:pPr>
          </w:p>
        </w:tc>
        <w:tc>
          <w:tcPr>
            <w:tcW w:w="1520" w:type="dxa"/>
            <w:vAlign w:val="bottom"/>
            <w:vMerge w:val="restart"/>
          </w:tcPr>
          <w:p>
            <w:pPr>
              <w:jc w:val="right"/>
              <w:ind w:right="112"/>
              <w:spacing w:after="0"/>
              <w:rPr>
                <w:sz w:val="20"/>
                <w:szCs w:val="20"/>
                <w:color w:val="auto"/>
              </w:rPr>
            </w:pPr>
            <w:r>
              <w:rPr>
                <w:rFonts w:ascii="Arial" w:cs="Arial" w:eastAsia="Arial" w:hAnsi="Arial"/>
                <w:sz w:val="22"/>
                <w:szCs w:val="22"/>
                <w:b w:val="1"/>
                <w:bCs w:val="1"/>
                <w:color w:val="auto"/>
                <w:w w:val="89"/>
              </w:rPr>
              <w:t>December 31,</w:t>
            </w:r>
          </w:p>
        </w:tc>
        <w:tc>
          <w:tcPr>
            <w:tcW w:w="0" w:type="dxa"/>
            <w:vAlign w:val="bottom"/>
          </w:tcPr>
          <w:p>
            <w:pPr>
              <w:spacing w:after="0"/>
              <w:rPr>
                <w:sz w:val="1"/>
                <w:szCs w:val="1"/>
                <w:color w:val="auto"/>
              </w:rPr>
            </w:pPr>
          </w:p>
        </w:tc>
      </w:tr>
      <w:tr>
        <w:trPr>
          <w:trHeight w:val="233"/>
        </w:trPr>
        <w:tc>
          <w:tcPr>
            <w:tcW w:w="7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762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2022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2021 (1)</w:t>
            </w:r>
          </w:p>
        </w:tc>
        <w:tc>
          <w:tcPr>
            <w:tcW w:w="0" w:type="dxa"/>
            <w:vAlign w:val="bottom"/>
          </w:tcPr>
          <w:p>
            <w:pPr>
              <w:spacing w:after="0"/>
              <w:rPr>
                <w:sz w:val="1"/>
                <w:szCs w:val="1"/>
                <w:color w:val="auto"/>
              </w:rPr>
            </w:pPr>
          </w:p>
        </w:tc>
      </w:tr>
      <w:tr>
        <w:trPr>
          <w:trHeight w:val="248"/>
        </w:trPr>
        <w:tc>
          <w:tcPr>
            <w:tcW w:w="762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7620" w:type="dxa"/>
            <w:vAlign w:val="bottom"/>
          </w:tcPr>
          <w:p>
            <w:pPr>
              <w:spacing w:after="0"/>
              <w:rPr>
                <w:sz w:val="20"/>
                <w:szCs w:val="20"/>
                <w:color w:val="auto"/>
              </w:rPr>
            </w:pPr>
            <w:r>
              <w:rPr>
                <w:rFonts w:ascii="Arial" w:cs="Arial" w:eastAsia="Arial" w:hAnsi="Arial"/>
                <w:sz w:val="22"/>
                <w:szCs w:val="22"/>
                <w:color w:val="auto"/>
              </w:rPr>
              <w:t>Current assets:</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120"/>
              <w:spacing w:after="0"/>
              <w:rPr>
                <w:sz w:val="20"/>
                <w:szCs w:val="20"/>
                <w:color w:val="auto"/>
              </w:rPr>
            </w:pPr>
            <w:r>
              <w:rPr>
                <w:rFonts w:ascii="Arial" w:cs="Arial" w:eastAsia="Arial" w:hAnsi="Arial"/>
                <w:sz w:val="22"/>
                <w:szCs w:val="22"/>
                <w:color w:val="auto"/>
              </w:rPr>
              <w:t>Cash and cash equivalents (2)</w:t>
            </w: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1360" w:type="dxa"/>
            <w:vAlign w:val="bottom"/>
          </w:tcPr>
          <w:p>
            <w:pPr>
              <w:jc w:val="right"/>
              <w:spacing w:after="0"/>
              <w:rPr>
                <w:sz w:val="20"/>
                <w:szCs w:val="20"/>
                <w:color w:val="auto"/>
              </w:rPr>
            </w:pPr>
            <w:r>
              <w:rPr>
                <w:rFonts w:ascii="Arial" w:cs="Arial" w:eastAsia="Arial" w:hAnsi="Arial"/>
                <w:sz w:val="22"/>
                <w:szCs w:val="22"/>
                <w:color w:val="auto"/>
              </w:rPr>
              <w:t>74,361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28,451</w:t>
            </w:r>
          </w:p>
        </w:tc>
        <w:tc>
          <w:tcPr>
            <w:tcW w:w="0" w:type="dxa"/>
            <w:vAlign w:val="bottom"/>
          </w:tcPr>
          <w:p>
            <w:pPr>
              <w:spacing w:after="0"/>
              <w:rPr>
                <w:sz w:val="1"/>
                <w:szCs w:val="1"/>
                <w:color w:val="auto"/>
              </w:rPr>
            </w:pPr>
          </w:p>
        </w:tc>
      </w:tr>
      <w:tr>
        <w:trPr>
          <w:trHeight w:val="270"/>
        </w:trPr>
        <w:tc>
          <w:tcPr>
            <w:tcW w:w="7620" w:type="dxa"/>
            <w:vAlign w:val="bottom"/>
          </w:tcPr>
          <w:p>
            <w:pPr>
              <w:ind w:left="120"/>
              <w:spacing w:after="0"/>
              <w:rPr>
                <w:sz w:val="20"/>
                <w:szCs w:val="20"/>
                <w:color w:val="auto"/>
              </w:rPr>
            </w:pPr>
            <w:r>
              <w:rPr>
                <w:rFonts w:ascii="Arial" w:cs="Arial" w:eastAsia="Arial" w:hAnsi="Arial"/>
                <w:sz w:val="22"/>
                <w:szCs w:val="22"/>
                <w:color w:val="auto"/>
              </w:rPr>
              <w:t>Short-term investments (2)</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136,850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620" w:type="dxa"/>
            <w:vAlign w:val="bottom"/>
          </w:tcPr>
          <w:p>
            <w:pPr>
              <w:ind w:left="120"/>
              <w:spacing w:after="0"/>
              <w:rPr>
                <w:sz w:val="20"/>
                <w:szCs w:val="20"/>
                <w:color w:val="auto"/>
              </w:rPr>
            </w:pPr>
            <w:r>
              <w:rPr>
                <w:rFonts w:ascii="Arial" w:cs="Arial" w:eastAsia="Arial" w:hAnsi="Arial"/>
                <w:sz w:val="22"/>
                <w:szCs w:val="22"/>
                <w:color w:val="auto"/>
              </w:rPr>
              <w:t>Accounts receivable, net</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10,937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18,320</w:t>
            </w:r>
          </w:p>
        </w:tc>
        <w:tc>
          <w:tcPr>
            <w:tcW w:w="0" w:type="dxa"/>
            <w:vAlign w:val="bottom"/>
          </w:tcPr>
          <w:p>
            <w:pPr>
              <w:spacing w:after="0"/>
              <w:rPr>
                <w:sz w:val="1"/>
                <w:szCs w:val="1"/>
                <w:color w:val="auto"/>
              </w:rPr>
            </w:pPr>
          </w:p>
        </w:tc>
      </w:tr>
      <w:tr>
        <w:trPr>
          <w:trHeight w:val="270"/>
        </w:trPr>
        <w:tc>
          <w:tcPr>
            <w:tcW w:w="7620" w:type="dxa"/>
            <w:vAlign w:val="bottom"/>
          </w:tcPr>
          <w:p>
            <w:pPr>
              <w:ind w:left="120"/>
              <w:spacing w:after="0"/>
              <w:rPr>
                <w:sz w:val="20"/>
                <w:szCs w:val="20"/>
                <w:color w:val="auto"/>
              </w:rPr>
            </w:pPr>
            <w:r>
              <w:rPr>
                <w:rFonts w:ascii="Arial" w:cs="Arial" w:eastAsia="Arial" w:hAnsi="Arial"/>
                <w:sz w:val="22"/>
                <w:szCs w:val="22"/>
                <w:color w:val="auto"/>
              </w:rPr>
              <w:t>Inventories, net</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22,791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20,825</w:t>
            </w:r>
          </w:p>
        </w:tc>
        <w:tc>
          <w:tcPr>
            <w:tcW w:w="0" w:type="dxa"/>
            <w:vAlign w:val="bottom"/>
          </w:tcPr>
          <w:p>
            <w:pPr>
              <w:spacing w:after="0"/>
              <w:rPr>
                <w:sz w:val="1"/>
                <w:szCs w:val="1"/>
                <w:color w:val="auto"/>
              </w:rPr>
            </w:pPr>
          </w:p>
        </w:tc>
      </w:tr>
      <w:tr>
        <w:trPr>
          <w:trHeight w:val="274"/>
        </w:trPr>
        <w:tc>
          <w:tcPr>
            <w:tcW w:w="7620" w:type="dxa"/>
            <w:vAlign w:val="bottom"/>
          </w:tcPr>
          <w:p>
            <w:pPr>
              <w:spacing w:after="0"/>
              <w:rPr>
                <w:sz w:val="20"/>
                <w:szCs w:val="20"/>
                <w:color w:val="auto"/>
              </w:rPr>
            </w:pPr>
            <w:r>
              <w:rPr>
                <w:rFonts w:ascii="Arial" w:cs="Arial" w:eastAsia="Arial" w:hAnsi="Arial"/>
                <w:sz w:val="22"/>
                <w:szCs w:val="22"/>
                <w:color w:val="auto"/>
              </w:rPr>
              <w:t>Prepaid expenses and other current assets</w:t>
            </w: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5,938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4,470</w:t>
            </w:r>
          </w:p>
        </w:tc>
        <w:tc>
          <w:tcPr>
            <w:tcW w:w="0" w:type="dxa"/>
            <w:vAlign w:val="bottom"/>
          </w:tcPr>
          <w:p>
            <w:pPr>
              <w:spacing w:after="0"/>
              <w:rPr>
                <w:sz w:val="1"/>
                <w:szCs w:val="1"/>
                <w:color w:val="auto"/>
              </w:rPr>
            </w:pPr>
          </w:p>
        </w:tc>
      </w:tr>
      <w:tr>
        <w:trPr>
          <w:trHeight w:val="259"/>
        </w:trPr>
        <w:tc>
          <w:tcPr>
            <w:tcW w:w="7620" w:type="dxa"/>
            <w:vAlign w:val="bottom"/>
          </w:tcPr>
          <w:p>
            <w:pPr>
              <w:spacing w:after="0"/>
              <w:rPr>
                <w:sz w:val="20"/>
                <w:szCs w:val="20"/>
                <w:color w:val="auto"/>
              </w:rPr>
            </w:pPr>
            <w:r>
              <w:rPr>
                <w:rFonts w:ascii="Arial" w:cs="Arial" w:eastAsia="Arial" w:hAnsi="Arial"/>
                <w:sz w:val="22"/>
                <w:szCs w:val="22"/>
                <w:color w:val="auto"/>
              </w:rPr>
              <w:t>Total current assets</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250,877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72,066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27,275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28,034</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22"/>
                <w:szCs w:val="22"/>
                <w:color w:val="auto"/>
              </w:rPr>
              <w:t>Operating lease right-of-use asset, net</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35,412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37,119</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3,158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3,689</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22"/>
                <w:szCs w:val="22"/>
                <w:color w:val="auto"/>
              </w:rPr>
              <w:t>Developed technology, net</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18,200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27,927</w:t>
            </w:r>
          </w:p>
        </w:tc>
        <w:tc>
          <w:tcPr>
            <w:tcW w:w="0" w:type="dxa"/>
            <w:vAlign w:val="bottom"/>
          </w:tcPr>
          <w:p>
            <w:pPr>
              <w:spacing w:after="0"/>
              <w:rPr>
                <w:sz w:val="1"/>
                <w:szCs w:val="1"/>
                <w:color w:val="auto"/>
              </w:rPr>
            </w:pPr>
          </w:p>
        </w:tc>
      </w:tr>
      <w:tr>
        <w:trPr>
          <w:trHeight w:val="274"/>
        </w:trPr>
        <w:tc>
          <w:tcPr>
            <w:tcW w:w="7620" w:type="dxa"/>
            <w:vAlign w:val="bottom"/>
          </w:tcPr>
          <w:p>
            <w:pPr>
              <w:spacing w:after="0"/>
              <w:rPr>
                <w:sz w:val="20"/>
                <w:szCs w:val="20"/>
                <w:color w:val="auto"/>
              </w:rPr>
            </w:pPr>
            <w:r>
              <w:rPr>
                <w:rFonts w:ascii="Arial" w:cs="Arial" w:eastAsia="Arial" w:hAnsi="Arial"/>
                <w:sz w:val="22"/>
                <w:szCs w:val="22"/>
                <w:color w:val="auto"/>
              </w:rPr>
              <w:t>Goodwill</w:t>
            </w: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106,200</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106,379</w:t>
            </w:r>
          </w:p>
        </w:tc>
        <w:tc>
          <w:tcPr>
            <w:tcW w:w="0" w:type="dxa"/>
            <w:vAlign w:val="bottom"/>
          </w:tcPr>
          <w:p>
            <w:pPr>
              <w:spacing w:after="0"/>
              <w:rPr>
                <w:sz w:val="1"/>
                <w:szCs w:val="1"/>
                <w:color w:val="auto"/>
              </w:rPr>
            </w:pPr>
          </w:p>
        </w:tc>
      </w:tr>
      <w:tr>
        <w:trPr>
          <w:trHeight w:val="267"/>
        </w:trPr>
        <w:tc>
          <w:tcPr>
            <w:tcW w:w="7620" w:type="dxa"/>
            <w:vAlign w:val="bottom"/>
          </w:tcPr>
          <w:p>
            <w:pPr>
              <w:spacing w:after="0"/>
              <w:rPr>
                <w:sz w:val="20"/>
                <w:szCs w:val="20"/>
                <w:color w:val="auto"/>
              </w:rPr>
            </w:pPr>
            <w:r>
              <w:rPr>
                <w:rFonts w:ascii="Arial" w:cs="Arial" w:eastAsia="Arial" w:hAnsi="Arial"/>
                <w:sz w:val="22"/>
                <w:szCs w:val="22"/>
                <w:color w:val="auto"/>
              </w:rPr>
              <w:t>Total assets</w:t>
            </w: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441,122</w:t>
            </w:r>
          </w:p>
        </w:tc>
        <w:tc>
          <w:tcPr>
            <w:tcW w:w="12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275,214</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22"/>
                <w:szCs w:val="22"/>
                <w:b w:val="1"/>
                <w:bCs w:val="1"/>
                <w:color w:val="auto"/>
              </w:rPr>
              <w:t>LIABILITIES, MEZZANINE EQUITY AND STOCKHOLDERS’ EQUITY</w:t>
            </w: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76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620" w:type="dxa"/>
            <w:vAlign w:val="bottom"/>
          </w:tcPr>
          <w:p>
            <w:pPr>
              <w:spacing w:after="0"/>
              <w:rPr>
                <w:sz w:val="20"/>
                <w:szCs w:val="20"/>
                <w:color w:val="auto"/>
              </w:rPr>
            </w:pPr>
            <w:r>
              <w:rPr>
                <w:rFonts w:ascii="Arial" w:cs="Arial" w:eastAsia="Arial" w:hAnsi="Arial"/>
                <w:sz w:val="22"/>
                <w:szCs w:val="22"/>
                <w:b w:val="1"/>
                <w:bCs w:val="1"/>
                <w:color w:val="auto"/>
              </w:rPr>
              <w:t>(DEFICIT)</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22"/>
                <w:szCs w:val="22"/>
                <w:color w:val="auto"/>
              </w:rPr>
              <w:t>Current liabilities:</w:t>
            </w: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120"/>
              <w:spacing w:after="0"/>
              <w:rPr>
                <w:sz w:val="20"/>
                <w:szCs w:val="20"/>
                <w:color w:val="auto"/>
              </w:rPr>
            </w:pPr>
            <w:r>
              <w:rPr>
                <w:rFonts w:ascii="Arial" w:cs="Arial" w:eastAsia="Arial" w:hAnsi="Arial"/>
                <w:sz w:val="22"/>
                <w:szCs w:val="22"/>
                <w:color w:val="auto"/>
              </w:rPr>
              <w:t>Accounts payable</w:t>
            </w: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1360" w:type="dxa"/>
            <w:vAlign w:val="bottom"/>
          </w:tcPr>
          <w:p>
            <w:pPr>
              <w:jc w:val="right"/>
              <w:spacing w:after="0"/>
              <w:rPr>
                <w:sz w:val="20"/>
                <w:szCs w:val="20"/>
                <w:color w:val="auto"/>
              </w:rPr>
            </w:pPr>
            <w:r>
              <w:rPr>
                <w:rFonts w:ascii="Arial" w:cs="Arial" w:eastAsia="Arial" w:hAnsi="Arial"/>
                <w:sz w:val="22"/>
                <w:szCs w:val="22"/>
                <w:color w:val="auto"/>
              </w:rPr>
              <w:t>9,016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10,602</w:t>
            </w:r>
          </w:p>
        </w:tc>
        <w:tc>
          <w:tcPr>
            <w:tcW w:w="0" w:type="dxa"/>
            <w:vAlign w:val="bottom"/>
          </w:tcPr>
          <w:p>
            <w:pPr>
              <w:spacing w:after="0"/>
              <w:rPr>
                <w:sz w:val="1"/>
                <w:szCs w:val="1"/>
                <w:color w:val="auto"/>
              </w:rPr>
            </w:pPr>
          </w:p>
        </w:tc>
      </w:tr>
      <w:tr>
        <w:trPr>
          <w:trHeight w:val="270"/>
        </w:trPr>
        <w:tc>
          <w:tcPr>
            <w:tcW w:w="7620" w:type="dxa"/>
            <w:vAlign w:val="bottom"/>
          </w:tcPr>
          <w:p>
            <w:pPr>
              <w:ind w:left="120"/>
              <w:spacing w:after="0"/>
              <w:rPr>
                <w:sz w:val="20"/>
                <w:szCs w:val="20"/>
                <w:color w:val="auto"/>
              </w:rPr>
            </w:pPr>
            <w:r>
              <w:rPr>
                <w:rFonts w:ascii="Arial" w:cs="Arial" w:eastAsia="Arial" w:hAnsi="Arial"/>
                <w:sz w:val="22"/>
                <w:szCs w:val="22"/>
                <w:color w:val="auto"/>
              </w:rPr>
              <w:t>Accrued compensation and related benefits</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8,576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4,920</w:t>
            </w:r>
          </w:p>
        </w:tc>
        <w:tc>
          <w:tcPr>
            <w:tcW w:w="0" w:type="dxa"/>
            <w:vAlign w:val="bottom"/>
          </w:tcPr>
          <w:p>
            <w:pPr>
              <w:spacing w:after="0"/>
              <w:rPr>
                <w:sz w:val="1"/>
                <w:szCs w:val="1"/>
                <w:color w:val="auto"/>
              </w:rPr>
            </w:pPr>
          </w:p>
        </w:tc>
      </w:tr>
      <w:tr>
        <w:trPr>
          <w:trHeight w:val="270"/>
        </w:trPr>
        <w:tc>
          <w:tcPr>
            <w:tcW w:w="7620" w:type="dxa"/>
            <w:vAlign w:val="bottom"/>
          </w:tcPr>
          <w:p>
            <w:pPr>
              <w:ind w:left="120"/>
              <w:spacing w:after="0"/>
              <w:rPr>
                <w:sz w:val="20"/>
                <w:szCs w:val="20"/>
                <w:color w:val="auto"/>
              </w:rPr>
            </w:pPr>
            <w:r>
              <w:rPr>
                <w:rFonts w:ascii="Arial" w:cs="Arial" w:eastAsia="Arial" w:hAnsi="Arial"/>
                <w:sz w:val="22"/>
                <w:szCs w:val="22"/>
                <w:color w:val="auto"/>
              </w:rPr>
              <w:t>Operating lease liabilities, current</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3,293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3,053</w:t>
            </w:r>
          </w:p>
        </w:tc>
        <w:tc>
          <w:tcPr>
            <w:tcW w:w="0" w:type="dxa"/>
            <w:vAlign w:val="bottom"/>
          </w:tcPr>
          <w:p>
            <w:pPr>
              <w:spacing w:after="0"/>
              <w:rPr>
                <w:sz w:val="1"/>
                <w:szCs w:val="1"/>
                <w:color w:val="auto"/>
              </w:rPr>
            </w:pPr>
          </w:p>
        </w:tc>
      </w:tr>
      <w:tr>
        <w:trPr>
          <w:trHeight w:val="270"/>
        </w:trPr>
        <w:tc>
          <w:tcPr>
            <w:tcW w:w="7620" w:type="dxa"/>
            <w:vAlign w:val="bottom"/>
          </w:tcPr>
          <w:p>
            <w:pPr>
              <w:ind w:left="120"/>
              <w:spacing w:after="0"/>
              <w:rPr>
                <w:sz w:val="20"/>
                <w:szCs w:val="20"/>
                <w:color w:val="auto"/>
              </w:rPr>
            </w:pPr>
            <w:r>
              <w:rPr>
                <w:rFonts w:ascii="Arial" w:cs="Arial" w:eastAsia="Arial" w:hAnsi="Arial"/>
                <w:sz w:val="22"/>
                <w:szCs w:val="22"/>
                <w:color w:val="auto"/>
              </w:rPr>
              <w:t>Deferred revenue, current</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11,409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11,947</w:t>
            </w:r>
          </w:p>
        </w:tc>
        <w:tc>
          <w:tcPr>
            <w:tcW w:w="0" w:type="dxa"/>
            <w:vAlign w:val="bottom"/>
          </w:tcPr>
          <w:p>
            <w:pPr>
              <w:spacing w:after="0"/>
              <w:rPr>
                <w:sz w:val="1"/>
                <w:szCs w:val="1"/>
                <w:color w:val="auto"/>
              </w:rPr>
            </w:pPr>
          </w:p>
        </w:tc>
      </w:tr>
      <w:tr>
        <w:trPr>
          <w:trHeight w:val="270"/>
        </w:trPr>
        <w:tc>
          <w:tcPr>
            <w:tcW w:w="7620" w:type="dxa"/>
            <w:vAlign w:val="bottom"/>
          </w:tcPr>
          <w:p>
            <w:pPr>
              <w:ind w:left="120"/>
              <w:spacing w:after="0"/>
              <w:rPr>
                <w:sz w:val="20"/>
                <w:szCs w:val="20"/>
                <w:color w:val="auto"/>
              </w:rPr>
            </w:pPr>
            <w:r>
              <w:rPr>
                <w:rFonts w:ascii="Arial" w:cs="Arial" w:eastAsia="Arial" w:hAnsi="Arial"/>
                <w:sz w:val="22"/>
                <w:szCs w:val="22"/>
                <w:color w:val="auto"/>
              </w:rPr>
              <w:t>Deferred grant income, current</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3,729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3,535</w:t>
            </w:r>
          </w:p>
        </w:tc>
        <w:tc>
          <w:tcPr>
            <w:tcW w:w="0" w:type="dxa"/>
            <w:vAlign w:val="bottom"/>
          </w:tcPr>
          <w:p>
            <w:pPr>
              <w:spacing w:after="0"/>
              <w:rPr>
                <w:sz w:val="1"/>
                <w:szCs w:val="1"/>
                <w:color w:val="auto"/>
              </w:rPr>
            </w:pPr>
          </w:p>
        </w:tc>
      </w:tr>
      <w:tr>
        <w:trPr>
          <w:trHeight w:val="270"/>
        </w:trPr>
        <w:tc>
          <w:tcPr>
            <w:tcW w:w="7620" w:type="dxa"/>
            <w:vAlign w:val="bottom"/>
          </w:tcPr>
          <w:p>
            <w:pPr>
              <w:ind w:left="120"/>
              <w:spacing w:after="0"/>
              <w:rPr>
                <w:sz w:val="20"/>
                <w:szCs w:val="20"/>
                <w:color w:val="auto"/>
              </w:rPr>
            </w:pPr>
            <w:r>
              <w:rPr>
                <w:rFonts w:ascii="Arial" w:cs="Arial" w:eastAsia="Arial" w:hAnsi="Arial"/>
                <w:sz w:val="22"/>
                <w:szCs w:val="22"/>
                <w:color w:val="auto"/>
              </w:rPr>
              <w:t>Other accrued liabilities</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6,747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8,673</w:t>
            </w:r>
          </w:p>
        </w:tc>
        <w:tc>
          <w:tcPr>
            <w:tcW w:w="0" w:type="dxa"/>
            <w:vAlign w:val="bottom"/>
          </w:tcPr>
          <w:p>
            <w:pPr>
              <w:spacing w:after="0"/>
              <w:rPr>
                <w:sz w:val="1"/>
                <w:szCs w:val="1"/>
                <w:color w:val="auto"/>
              </w:rPr>
            </w:pPr>
          </w:p>
        </w:tc>
      </w:tr>
      <w:tr>
        <w:trPr>
          <w:trHeight w:val="274"/>
        </w:trPr>
        <w:tc>
          <w:tcPr>
            <w:tcW w:w="7620" w:type="dxa"/>
            <w:vAlign w:val="bottom"/>
          </w:tcPr>
          <w:p>
            <w:pPr>
              <w:ind w:left="120"/>
              <w:spacing w:after="0"/>
              <w:rPr>
                <w:sz w:val="20"/>
                <w:szCs w:val="20"/>
                <w:color w:val="auto"/>
              </w:rPr>
            </w:pPr>
            <w:r>
              <w:rPr>
                <w:rFonts w:ascii="Arial" w:cs="Arial" w:eastAsia="Arial" w:hAnsi="Arial"/>
                <w:sz w:val="22"/>
                <w:szCs w:val="22"/>
                <w:color w:val="auto"/>
              </w:rPr>
              <w:t>Advances under revolving credit agreement, current</w:t>
            </w:r>
          </w:p>
        </w:tc>
        <w:tc>
          <w:tcPr>
            <w:tcW w:w="4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6,838</w:t>
            </w:r>
          </w:p>
        </w:tc>
        <w:tc>
          <w:tcPr>
            <w:tcW w:w="0" w:type="dxa"/>
            <w:vAlign w:val="bottom"/>
          </w:tcPr>
          <w:p>
            <w:pPr>
              <w:spacing w:after="0"/>
              <w:rPr>
                <w:sz w:val="1"/>
                <w:szCs w:val="1"/>
                <w:color w:val="auto"/>
              </w:rPr>
            </w:pPr>
          </w:p>
        </w:tc>
      </w:tr>
      <w:tr>
        <w:trPr>
          <w:trHeight w:val="259"/>
        </w:trPr>
        <w:tc>
          <w:tcPr>
            <w:tcW w:w="762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4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42,770</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49,568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22"/>
                <w:szCs w:val="22"/>
                <w:color w:val="auto"/>
              </w:rPr>
              <w:t>Convertible notes, net</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54,384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54,160</w:t>
            </w:r>
          </w:p>
        </w:tc>
        <w:tc>
          <w:tcPr>
            <w:tcW w:w="0" w:type="dxa"/>
            <w:vAlign w:val="bottom"/>
          </w:tcPr>
          <w:p>
            <w:pPr>
              <w:spacing w:after="0"/>
              <w:rPr>
                <w:sz w:val="1"/>
                <w:szCs w:val="1"/>
                <w:color w:val="auto"/>
              </w:rPr>
            </w:pPr>
          </w:p>
        </w:tc>
      </w:tr>
      <w:tr>
        <w:trPr>
          <w:trHeight w:val="274"/>
        </w:trPr>
        <w:tc>
          <w:tcPr>
            <w:tcW w:w="7620" w:type="dxa"/>
            <w:vAlign w:val="bottom"/>
          </w:tcPr>
          <w:p>
            <w:pPr>
              <w:spacing w:after="0"/>
              <w:rPr>
                <w:sz w:val="20"/>
                <w:szCs w:val="20"/>
                <w:color w:val="auto"/>
              </w:rPr>
            </w:pPr>
            <w:r>
              <w:rPr>
                <w:rFonts w:ascii="Arial" w:cs="Arial" w:eastAsia="Arial" w:hAnsi="Arial"/>
                <w:sz w:val="22"/>
                <w:szCs w:val="22"/>
                <w:color w:val="auto"/>
              </w:rPr>
              <w:t>Term loan, net</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10,162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10,049</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8"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620" w:type="dxa"/>
            <w:vAlign w:val="bottom"/>
          </w:tcPr>
          <w:p>
            <w:pPr>
              <w:spacing w:after="0"/>
              <w:rPr>
                <w:sz w:val="20"/>
                <w:szCs w:val="20"/>
                <w:color w:val="auto"/>
              </w:rPr>
            </w:pPr>
            <w:r>
              <w:rPr>
                <w:rFonts w:ascii="Arial" w:cs="Arial" w:eastAsia="Arial" w:hAnsi="Arial"/>
                <w:sz w:val="22"/>
                <w:szCs w:val="22"/>
                <w:color w:val="auto"/>
              </w:rPr>
              <w:t>Deferred tax liability</w:t>
            </w:r>
          </w:p>
        </w:tc>
        <w:tc>
          <w:tcPr>
            <w:tcW w:w="5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1,651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4,329</w:t>
            </w:r>
          </w:p>
        </w:tc>
      </w:tr>
      <w:tr>
        <w:trPr>
          <w:trHeight w:val="270"/>
        </w:trPr>
        <w:tc>
          <w:tcPr>
            <w:tcW w:w="7620" w:type="dxa"/>
            <w:vAlign w:val="bottom"/>
          </w:tcPr>
          <w:p>
            <w:pPr>
              <w:spacing w:after="0"/>
              <w:rPr>
                <w:sz w:val="20"/>
                <w:szCs w:val="20"/>
                <w:color w:val="auto"/>
              </w:rPr>
            </w:pPr>
            <w:r>
              <w:rPr>
                <w:rFonts w:ascii="Arial" w:cs="Arial" w:eastAsia="Arial" w:hAnsi="Arial"/>
                <w:sz w:val="22"/>
                <w:szCs w:val="22"/>
                <w:color w:val="auto"/>
              </w:rPr>
              <w:t>Operating lease liabilities, non-current</w:t>
            </w:r>
          </w:p>
        </w:tc>
        <w:tc>
          <w:tcPr>
            <w:tcW w:w="5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35,732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37,548</w:t>
            </w:r>
          </w:p>
        </w:tc>
      </w:tr>
      <w:tr>
        <w:trPr>
          <w:trHeight w:val="270"/>
        </w:trPr>
        <w:tc>
          <w:tcPr>
            <w:tcW w:w="7620" w:type="dxa"/>
            <w:vAlign w:val="bottom"/>
          </w:tcPr>
          <w:p>
            <w:pPr>
              <w:spacing w:after="0"/>
              <w:rPr>
                <w:sz w:val="20"/>
                <w:szCs w:val="20"/>
                <w:color w:val="auto"/>
              </w:rPr>
            </w:pPr>
            <w:r>
              <w:rPr>
                <w:rFonts w:ascii="Arial" w:cs="Arial" w:eastAsia="Arial" w:hAnsi="Arial"/>
                <w:sz w:val="22"/>
                <w:szCs w:val="22"/>
                <w:color w:val="auto"/>
              </w:rPr>
              <w:t>Deferred revenue, non-current</w:t>
            </w:r>
          </w:p>
        </w:tc>
        <w:tc>
          <w:tcPr>
            <w:tcW w:w="5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5,064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5,966</w:t>
            </w:r>
          </w:p>
        </w:tc>
      </w:tr>
      <w:tr>
        <w:trPr>
          <w:trHeight w:val="270"/>
        </w:trPr>
        <w:tc>
          <w:tcPr>
            <w:tcW w:w="7620" w:type="dxa"/>
            <w:vAlign w:val="bottom"/>
          </w:tcPr>
          <w:p>
            <w:pPr>
              <w:spacing w:after="0"/>
              <w:rPr>
                <w:sz w:val="20"/>
                <w:szCs w:val="20"/>
                <w:color w:val="auto"/>
              </w:rPr>
            </w:pPr>
            <w:r>
              <w:rPr>
                <w:rFonts w:ascii="Arial" w:cs="Arial" w:eastAsia="Arial" w:hAnsi="Arial"/>
                <w:sz w:val="22"/>
                <w:szCs w:val="22"/>
                <w:color w:val="auto"/>
              </w:rPr>
              <w:t>Deferred grant income, non-current</w:t>
            </w:r>
          </w:p>
        </w:tc>
        <w:tc>
          <w:tcPr>
            <w:tcW w:w="5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16,263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18,116</w:t>
            </w:r>
          </w:p>
        </w:tc>
      </w:tr>
      <w:tr>
        <w:trPr>
          <w:trHeight w:val="274"/>
        </w:trPr>
        <w:tc>
          <w:tcPr>
            <w:tcW w:w="762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5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1,297</w:t>
            </w:r>
          </w:p>
        </w:tc>
        <w:tc>
          <w:tcPr>
            <w:tcW w:w="12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882</w:t>
            </w:r>
          </w:p>
        </w:tc>
      </w:tr>
      <w:tr>
        <w:trPr>
          <w:trHeight w:val="259"/>
        </w:trPr>
        <w:tc>
          <w:tcPr>
            <w:tcW w:w="7620" w:type="dxa"/>
            <w:vAlign w:val="bottom"/>
          </w:tcPr>
          <w:p>
            <w:pPr>
              <w:spacing w:after="0"/>
              <w:rPr>
                <w:sz w:val="20"/>
                <w:szCs w:val="20"/>
                <w:color w:val="auto"/>
              </w:rPr>
            </w:pPr>
            <w:r>
              <w:rPr>
                <w:rFonts w:ascii="Arial" w:cs="Arial" w:eastAsia="Arial" w:hAnsi="Arial"/>
                <w:sz w:val="22"/>
                <w:szCs w:val="22"/>
                <w:color w:val="auto"/>
              </w:rPr>
              <w:t>Total liabilities</w:t>
            </w:r>
          </w:p>
        </w:tc>
        <w:tc>
          <w:tcPr>
            <w:tcW w:w="5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167,323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180,618</w:t>
            </w:r>
          </w:p>
        </w:tc>
      </w:tr>
      <w:tr>
        <w:trPr>
          <w:trHeight w:val="270"/>
        </w:trPr>
        <w:tc>
          <w:tcPr>
            <w:tcW w:w="7620" w:type="dxa"/>
            <w:vAlign w:val="bottom"/>
          </w:tcPr>
          <w:p>
            <w:pPr>
              <w:spacing w:after="0"/>
              <w:rPr>
                <w:sz w:val="20"/>
                <w:szCs w:val="20"/>
                <w:color w:val="auto"/>
              </w:rPr>
            </w:pPr>
            <w:r>
              <w:rPr>
                <w:rFonts w:ascii="Arial" w:cs="Arial" w:eastAsia="Arial" w:hAnsi="Arial"/>
                <w:sz w:val="22"/>
                <w:szCs w:val="22"/>
                <w:color w:val="auto"/>
              </w:rPr>
              <w:t>Redeemable preferred stock</w:t>
            </w:r>
          </w:p>
        </w:tc>
        <w:tc>
          <w:tcPr>
            <w:tcW w:w="5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311,253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4"/>
        </w:trPr>
        <w:tc>
          <w:tcPr>
            <w:tcW w:w="7620" w:type="dxa"/>
            <w:vAlign w:val="bottom"/>
          </w:tcPr>
          <w:p>
            <w:pPr>
              <w:spacing w:after="0"/>
              <w:rPr>
                <w:sz w:val="20"/>
                <w:szCs w:val="20"/>
                <w:color w:val="auto"/>
              </w:rPr>
            </w:pPr>
            <w:r>
              <w:rPr>
                <w:rFonts w:ascii="Arial" w:cs="Arial" w:eastAsia="Arial" w:hAnsi="Arial"/>
                <w:sz w:val="22"/>
                <w:szCs w:val="22"/>
                <w:color w:val="auto"/>
              </w:rPr>
              <w:t>Total stockholders’ equity (deficit)</w:t>
            </w:r>
          </w:p>
        </w:tc>
        <w:tc>
          <w:tcPr>
            <w:tcW w:w="5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(37,454)</w:t>
            </w:r>
          </w:p>
        </w:tc>
        <w:tc>
          <w:tcPr>
            <w:tcW w:w="12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94,596</w:t>
            </w:r>
          </w:p>
        </w:tc>
      </w:tr>
      <w:tr>
        <w:trPr>
          <w:trHeight w:val="267"/>
        </w:trPr>
        <w:tc>
          <w:tcPr>
            <w:tcW w:w="7620" w:type="dxa"/>
            <w:vAlign w:val="bottom"/>
          </w:tcPr>
          <w:p>
            <w:pPr>
              <w:spacing w:after="0"/>
              <w:rPr>
                <w:sz w:val="20"/>
                <w:szCs w:val="20"/>
                <w:color w:val="auto"/>
              </w:rPr>
            </w:pPr>
            <w:r>
              <w:rPr>
                <w:rFonts w:ascii="Arial" w:cs="Arial" w:eastAsia="Arial" w:hAnsi="Arial"/>
                <w:sz w:val="22"/>
                <w:szCs w:val="22"/>
                <w:color w:val="auto"/>
              </w:rPr>
              <w:t>Total liabilities, mezzanine equity and stockholders’ equity (deficit)</w:t>
            </w:r>
          </w:p>
        </w:tc>
        <w:tc>
          <w:tcPr>
            <w:tcW w:w="56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441,122</w:t>
            </w:r>
          </w:p>
        </w:tc>
        <w:tc>
          <w:tcPr>
            <w:tcW w:w="120" w:type="dxa"/>
            <w:vAlign w:val="bottom"/>
          </w:tcPr>
          <w:p>
            <w:pPr>
              <w:spacing w:after="0"/>
              <w:rPr>
                <w:sz w:val="23"/>
                <w:szCs w:val="23"/>
                <w:color w:val="auto"/>
              </w:rPr>
            </w:pPr>
          </w:p>
        </w:tc>
        <w:tc>
          <w:tcPr>
            <w:tcW w:w="54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275,214</w:t>
            </w:r>
          </w:p>
        </w:tc>
      </w:tr>
      <w:tr>
        <w:trPr>
          <w:trHeight w:val="21"/>
        </w:trPr>
        <w:tc>
          <w:tcPr>
            <w:tcW w:w="7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Notes:</w:t>
      </w:r>
    </w:p>
    <w:p>
      <w:pPr>
        <w:spacing w:after="0" w:line="21" w:lineRule="exact"/>
        <w:rPr>
          <w:sz w:val="20"/>
          <w:szCs w:val="20"/>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Derived from audited consolidated financial statements</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Cash and cash equivalents and available for sale securities consist of:</w:t>
      </w:r>
    </w:p>
    <w:p>
      <w:pPr>
        <w:spacing w:after="0" w:line="17" w:lineRule="exact"/>
        <w:rPr>
          <w:sz w:val="20"/>
          <w:szCs w:val="20"/>
          <w:color w:val="auto"/>
        </w:rPr>
      </w:pPr>
    </w:p>
    <w:tbl>
      <w:tblPr>
        <w:tblLayout w:type="fixed"/>
        <w:tblInd w:w="120" w:type="dxa"/>
        <w:tblCellMar>
          <w:top w:w="0" w:type="dxa"/>
          <w:left w:w="0" w:type="dxa"/>
          <w:bottom w:w="0" w:type="dxa"/>
          <w:right w:w="0" w:type="dxa"/>
        </w:tblCellMar>
      </w:tblPr>
      <w:tr>
        <w:trPr>
          <w:trHeight w:val="266"/>
        </w:trPr>
        <w:tc>
          <w:tcPr>
            <w:tcW w:w="7500" w:type="dxa"/>
            <w:vAlign w:val="bottom"/>
          </w:tcPr>
          <w:p>
            <w:pPr>
              <w:spacing w:after="0"/>
              <w:rPr>
                <w:sz w:val="20"/>
                <w:szCs w:val="20"/>
                <w:color w:val="auto"/>
              </w:rPr>
            </w:pPr>
            <w:r>
              <w:rPr>
                <w:rFonts w:ascii="Arial" w:cs="Arial" w:eastAsia="Arial" w:hAnsi="Arial"/>
                <w:sz w:val="22"/>
                <w:szCs w:val="22"/>
                <w:color w:val="auto"/>
              </w:rPr>
              <w:t>Cash and cash equivalents</w:t>
            </w:r>
          </w:p>
        </w:tc>
        <w:tc>
          <w:tcPr>
            <w:tcW w:w="560" w:type="dxa"/>
            <w:vAlign w:val="bottom"/>
          </w:tcPr>
          <w:p>
            <w:pPr>
              <w:jc w:val="right"/>
              <w:ind w:right="312"/>
              <w:spacing w:after="0"/>
              <w:rPr>
                <w:sz w:val="20"/>
                <w:szCs w:val="20"/>
                <w:color w:val="auto"/>
              </w:rPr>
            </w:pPr>
            <w:r>
              <w:rPr>
                <w:rFonts w:ascii="Arial" w:cs="Arial" w:eastAsia="Arial" w:hAnsi="Arial"/>
                <w:sz w:val="22"/>
                <w:szCs w:val="22"/>
                <w:color w:val="auto"/>
                <w:w w:val="97"/>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74,361</w:t>
            </w:r>
          </w:p>
        </w:tc>
        <w:tc>
          <w:tcPr>
            <w:tcW w:w="120" w:type="dxa"/>
            <w:vAlign w:val="bottom"/>
          </w:tcPr>
          <w:p>
            <w:pPr>
              <w:spacing w:after="0"/>
              <w:rPr>
                <w:sz w:val="23"/>
                <w:szCs w:val="23"/>
                <w:color w:val="auto"/>
              </w:rPr>
            </w:pPr>
          </w:p>
        </w:tc>
        <w:tc>
          <w:tcPr>
            <w:tcW w:w="600" w:type="dxa"/>
            <w:vAlign w:val="bottom"/>
          </w:tcPr>
          <w:p>
            <w:pPr>
              <w:jc w:val="right"/>
              <w:ind w:right="37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28,451</w:t>
            </w:r>
          </w:p>
        </w:tc>
      </w:tr>
      <w:tr>
        <w:trPr>
          <w:trHeight w:val="274"/>
        </w:trPr>
        <w:tc>
          <w:tcPr>
            <w:tcW w:w="7500" w:type="dxa"/>
            <w:vAlign w:val="bottom"/>
          </w:tcPr>
          <w:p>
            <w:pPr>
              <w:spacing w:after="0"/>
              <w:rPr>
                <w:sz w:val="20"/>
                <w:szCs w:val="20"/>
                <w:color w:val="auto"/>
              </w:rPr>
            </w:pPr>
            <w:r>
              <w:rPr>
                <w:rFonts w:ascii="Arial" w:cs="Arial" w:eastAsia="Arial" w:hAnsi="Arial"/>
                <w:sz w:val="22"/>
                <w:szCs w:val="22"/>
                <w:color w:val="auto"/>
              </w:rPr>
              <w:t>Short-term investments</w:t>
            </w:r>
          </w:p>
        </w:tc>
        <w:tc>
          <w:tcPr>
            <w:tcW w:w="5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136,850</w:t>
            </w:r>
          </w:p>
        </w:tc>
        <w:tc>
          <w:tcPr>
            <w:tcW w:w="12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67"/>
        </w:trPr>
        <w:tc>
          <w:tcPr>
            <w:tcW w:w="7500" w:type="dxa"/>
            <w:vAlign w:val="bottom"/>
          </w:tcPr>
          <w:p>
            <w:pPr>
              <w:spacing w:after="0"/>
              <w:rPr>
                <w:sz w:val="20"/>
                <w:szCs w:val="20"/>
                <w:color w:val="auto"/>
              </w:rPr>
            </w:pPr>
            <w:r>
              <w:rPr>
                <w:rFonts w:ascii="Arial" w:cs="Arial" w:eastAsia="Arial" w:hAnsi="Arial"/>
                <w:sz w:val="22"/>
                <w:szCs w:val="22"/>
                <w:color w:val="auto"/>
              </w:rPr>
              <w:t>Total cash, cash equivalents and available for sale securities</w:t>
            </w:r>
          </w:p>
        </w:tc>
        <w:tc>
          <w:tcPr>
            <w:tcW w:w="56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211,211</w:t>
            </w:r>
          </w:p>
        </w:tc>
        <w:tc>
          <w:tcPr>
            <w:tcW w:w="120" w:type="dxa"/>
            <w:vAlign w:val="bottom"/>
          </w:tcPr>
          <w:p>
            <w:pPr>
              <w:spacing w:after="0"/>
              <w:rPr>
                <w:sz w:val="23"/>
                <w:szCs w:val="23"/>
                <w:color w:val="auto"/>
              </w:rPr>
            </w:pPr>
          </w:p>
        </w:tc>
        <w:tc>
          <w:tcPr>
            <w:tcW w:w="6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28,451</w:t>
            </w:r>
          </w:p>
        </w:tc>
      </w:tr>
      <w:tr>
        <w:trPr>
          <w:trHeight w:val="21"/>
        </w:trPr>
        <w:tc>
          <w:tcPr>
            <w:tcW w:w="7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STANDARD BIOTOOLS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(formerly known as FLUIDIGM CORPORATION)</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22"/>
                <w:szCs w:val="22"/>
                <w:b w:val="1"/>
                <w:bCs w:val="1"/>
                <w:color w:val="auto"/>
                <w:w w:val="91"/>
              </w:rPr>
              <w:t>Six Months Ended June 30,</w:t>
            </w:r>
          </w:p>
        </w:tc>
        <w:tc>
          <w:tcPr>
            <w:tcW w:w="0" w:type="dxa"/>
            <w:vAlign w:val="bottom"/>
          </w:tcPr>
          <w:p>
            <w:pPr>
              <w:spacing w:after="0"/>
              <w:rPr>
                <w:sz w:val="1"/>
                <w:szCs w:val="1"/>
                <w:color w:val="auto"/>
              </w:rPr>
            </w:pPr>
          </w:p>
        </w:tc>
      </w:tr>
      <w:tr>
        <w:trPr>
          <w:trHeight w:val="265"/>
        </w:trPr>
        <w:tc>
          <w:tcPr>
            <w:tcW w:w="7980" w:type="dxa"/>
            <w:vAlign w:val="bottom"/>
            <w:vMerge w:val="restart"/>
          </w:tcPr>
          <w:p>
            <w:pPr>
              <w:spacing w:after="0"/>
              <w:rPr>
                <w:sz w:val="20"/>
                <w:szCs w:val="20"/>
                <w:color w:val="auto"/>
              </w:rPr>
            </w:pPr>
            <w:r>
              <w:rPr>
                <w:rFonts w:ascii="Arial" w:cs="Arial" w:eastAsia="Arial" w:hAnsi="Arial"/>
                <w:sz w:val="22"/>
                <w:szCs w:val="22"/>
                <w:b w:val="1"/>
                <w:bCs w:val="1"/>
                <w:color w:val="auto"/>
              </w:rPr>
              <w:t>Operating activities</w:t>
            </w: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2022</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2021</w:t>
            </w:r>
          </w:p>
        </w:tc>
        <w:tc>
          <w:tcPr>
            <w:tcW w:w="0" w:type="dxa"/>
            <w:vAlign w:val="bottom"/>
          </w:tcPr>
          <w:p>
            <w:pPr>
              <w:spacing w:after="0"/>
              <w:rPr>
                <w:sz w:val="1"/>
                <w:szCs w:val="1"/>
                <w:color w:val="auto"/>
              </w:rPr>
            </w:pPr>
          </w:p>
        </w:tc>
      </w:tr>
      <w:tr>
        <w:trPr>
          <w:trHeight w:val="247"/>
        </w:trPr>
        <w:tc>
          <w:tcPr>
            <w:tcW w:w="79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7980" w:type="dxa"/>
            <w:vAlign w:val="bottom"/>
          </w:tcPr>
          <w:p>
            <w:pPr>
              <w:spacing w:after="0"/>
              <w:rPr>
                <w:sz w:val="20"/>
                <w:szCs w:val="20"/>
                <w:color w:val="auto"/>
              </w:rPr>
            </w:pPr>
            <w:r>
              <w:rPr>
                <w:rFonts w:ascii="Arial" w:cs="Arial" w:eastAsia="Arial" w:hAnsi="Arial"/>
                <w:sz w:val="22"/>
                <w:szCs w:val="22"/>
                <w:color w:val="auto"/>
              </w:rPr>
              <w:t>Net loss</w:t>
            </w: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(139,827)</w:t>
            </w:r>
          </w:p>
        </w:tc>
        <w:tc>
          <w:tcPr>
            <w:tcW w:w="120" w:type="dxa"/>
            <w:vAlign w:val="bottom"/>
          </w:tcPr>
          <w:p>
            <w:pPr>
              <w:spacing w:after="0"/>
              <w:rPr>
                <w:sz w:val="24"/>
                <w:szCs w:val="24"/>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(35,964)</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Loss on forward sale of Series B Preferred Stock</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60,081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Loss on bridge loans</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13,719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8,705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7,418</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Amortization of developed technology</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5,928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5,965</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1,878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1,851</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Provision for excess and obsolete inventory</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4,597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1,248</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Impairment of intangible</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3,526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Other non-cash items</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599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539</w:t>
            </w:r>
          </w:p>
        </w:tc>
        <w:tc>
          <w:tcPr>
            <w:tcW w:w="0" w:type="dxa"/>
            <w:vAlign w:val="bottom"/>
          </w:tcPr>
          <w:p>
            <w:pPr>
              <w:spacing w:after="0"/>
              <w:rPr>
                <w:sz w:val="1"/>
                <w:szCs w:val="1"/>
                <w:color w:val="auto"/>
              </w:rPr>
            </w:pPr>
          </w:p>
        </w:tc>
      </w:tr>
      <w:tr>
        <w:trPr>
          <w:trHeight w:val="274"/>
        </w:trPr>
        <w:tc>
          <w:tcPr>
            <w:tcW w:w="7980" w:type="dxa"/>
            <w:vAlign w:val="bottom"/>
          </w:tcPr>
          <w:p>
            <w:pPr>
              <w:spacing w:after="0"/>
              <w:rPr>
                <w:sz w:val="20"/>
                <w:szCs w:val="20"/>
                <w:color w:val="auto"/>
              </w:rPr>
            </w:pPr>
            <w:r>
              <w:rPr>
                <w:rFonts w:ascii="Arial" w:cs="Arial" w:eastAsia="Arial" w:hAnsi="Arial"/>
                <w:sz w:val="22"/>
                <w:szCs w:val="22"/>
                <w:color w:val="auto"/>
              </w:rPr>
              <w:t>Changes in assets and liabilities, net</w:t>
            </w: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(4,784)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(8,622)</w:t>
            </w:r>
          </w:p>
        </w:tc>
        <w:tc>
          <w:tcPr>
            <w:tcW w:w="0" w:type="dxa"/>
            <w:vAlign w:val="bottom"/>
          </w:tcPr>
          <w:p>
            <w:pPr>
              <w:spacing w:after="0"/>
              <w:rPr>
                <w:sz w:val="1"/>
                <w:szCs w:val="1"/>
                <w:color w:val="auto"/>
              </w:rPr>
            </w:pPr>
          </w:p>
        </w:tc>
      </w:tr>
      <w:tr>
        <w:trPr>
          <w:trHeight w:val="267"/>
        </w:trPr>
        <w:tc>
          <w:tcPr>
            <w:tcW w:w="7980" w:type="dxa"/>
            <w:vAlign w:val="bottom"/>
          </w:tcPr>
          <w:p>
            <w:pPr>
              <w:spacing w:after="0"/>
              <w:rPr>
                <w:sz w:val="20"/>
                <w:szCs w:val="20"/>
                <w:color w:val="auto"/>
              </w:rPr>
            </w:pPr>
            <w:r>
              <w:rPr>
                <w:rFonts w:ascii="Arial" w:cs="Arial" w:eastAsia="Arial" w:hAnsi="Arial"/>
                <w:sz w:val="22"/>
                <w:szCs w:val="22"/>
                <w:color w:val="auto"/>
              </w:rPr>
              <w:t>Net cash used in operating activities</w:t>
            </w: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(45,578)</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(27,565)</w:t>
            </w:r>
          </w:p>
        </w:tc>
        <w:tc>
          <w:tcPr>
            <w:tcW w:w="0" w:type="dxa"/>
            <w:vAlign w:val="bottom"/>
          </w:tcPr>
          <w:p>
            <w:pPr>
              <w:spacing w:after="0"/>
              <w:rPr>
                <w:sz w:val="1"/>
                <w:szCs w:val="1"/>
                <w:color w:val="auto"/>
              </w:rPr>
            </w:pPr>
          </w:p>
        </w:tc>
      </w:tr>
      <w:tr>
        <w:trPr>
          <w:trHeight w:val="526"/>
        </w:trPr>
        <w:tc>
          <w:tcPr>
            <w:tcW w:w="7980" w:type="dxa"/>
            <w:vAlign w:val="bottom"/>
          </w:tcPr>
          <w:p>
            <w:pPr>
              <w:spacing w:after="0"/>
              <w:rPr>
                <w:sz w:val="20"/>
                <w:szCs w:val="20"/>
                <w:color w:val="auto"/>
              </w:rPr>
            </w:pPr>
            <w:r>
              <w:rPr>
                <w:rFonts w:ascii="Arial" w:cs="Arial" w:eastAsia="Arial" w:hAnsi="Arial"/>
                <w:sz w:val="22"/>
                <w:szCs w:val="22"/>
                <w:b w:val="1"/>
                <w:bCs w:val="1"/>
                <w:color w:val="auto"/>
              </w:rPr>
              <w:t>Investing activities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Purchases of investments</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(137,302)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Proceeds from NIH Contract</w:t>
            </w:r>
          </w:p>
        </w:tc>
        <w:tc>
          <w:tcPr>
            <w:tcW w:w="24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2,000</w:t>
            </w:r>
          </w:p>
        </w:tc>
        <w:tc>
          <w:tcPr>
            <w:tcW w:w="0" w:type="dxa"/>
            <w:vAlign w:val="bottom"/>
          </w:tcPr>
          <w:p>
            <w:pPr>
              <w:spacing w:after="0"/>
              <w:rPr>
                <w:sz w:val="1"/>
                <w:szCs w:val="1"/>
                <w:color w:val="auto"/>
              </w:rPr>
            </w:pPr>
          </w:p>
        </w:tc>
      </w:tr>
      <w:tr>
        <w:trPr>
          <w:trHeight w:val="274"/>
        </w:trPr>
        <w:tc>
          <w:tcPr>
            <w:tcW w:w="7980" w:type="dxa"/>
            <w:vAlign w:val="bottom"/>
          </w:tcPr>
          <w:p>
            <w:pPr>
              <w:spacing w:after="0"/>
              <w:rPr>
                <w:sz w:val="20"/>
                <w:szCs w:val="20"/>
                <w:color w:val="auto"/>
              </w:rPr>
            </w:pPr>
            <w:r>
              <w:rPr>
                <w:rFonts w:ascii="Arial" w:cs="Arial" w:eastAsia="Arial" w:hAnsi="Arial"/>
                <w:sz w:val="22"/>
                <w:szCs w:val="22"/>
                <w:color w:val="auto"/>
              </w:rPr>
              <w:t>Purchases of property and equipment</w:t>
            </w: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(1,806)</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(11,095)</w:t>
            </w:r>
          </w:p>
        </w:tc>
        <w:tc>
          <w:tcPr>
            <w:tcW w:w="0" w:type="dxa"/>
            <w:vAlign w:val="bottom"/>
          </w:tcPr>
          <w:p>
            <w:pPr>
              <w:spacing w:after="0"/>
              <w:rPr>
                <w:sz w:val="1"/>
                <w:szCs w:val="1"/>
                <w:color w:val="auto"/>
              </w:rPr>
            </w:pPr>
          </w:p>
        </w:tc>
      </w:tr>
      <w:tr>
        <w:trPr>
          <w:trHeight w:val="267"/>
        </w:trPr>
        <w:tc>
          <w:tcPr>
            <w:tcW w:w="7980" w:type="dxa"/>
            <w:vAlign w:val="bottom"/>
          </w:tcPr>
          <w:p>
            <w:pPr>
              <w:spacing w:after="0"/>
              <w:rPr>
                <w:sz w:val="20"/>
                <w:szCs w:val="20"/>
                <w:color w:val="auto"/>
              </w:rPr>
            </w:pPr>
            <w:r>
              <w:rPr>
                <w:rFonts w:ascii="Arial" w:cs="Arial" w:eastAsia="Arial" w:hAnsi="Arial"/>
                <w:sz w:val="22"/>
                <w:szCs w:val="22"/>
                <w:color w:val="auto"/>
              </w:rPr>
              <w:t>Net cash used in investing activities</w:t>
            </w: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(139,108)</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(9,095)</w:t>
            </w:r>
          </w:p>
        </w:tc>
        <w:tc>
          <w:tcPr>
            <w:tcW w:w="0" w:type="dxa"/>
            <w:vAlign w:val="bottom"/>
          </w:tcPr>
          <w:p>
            <w:pPr>
              <w:spacing w:after="0"/>
              <w:rPr>
                <w:sz w:val="1"/>
                <w:szCs w:val="1"/>
                <w:color w:val="auto"/>
              </w:rPr>
            </w:pPr>
          </w:p>
        </w:tc>
      </w:tr>
      <w:tr>
        <w:trPr>
          <w:trHeight w:val="526"/>
        </w:trPr>
        <w:tc>
          <w:tcPr>
            <w:tcW w:w="7980" w:type="dxa"/>
            <w:vAlign w:val="bottom"/>
          </w:tcPr>
          <w:p>
            <w:pPr>
              <w:spacing w:after="0"/>
              <w:rPr>
                <w:sz w:val="20"/>
                <w:szCs w:val="20"/>
                <w:color w:val="auto"/>
              </w:rPr>
            </w:pPr>
            <w:r>
              <w:rPr>
                <w:rFonts w:ascii="Arial" w:cs="Arial" w:eastAsia="Arial" w:hAnsi="Arial"/>
                <w:sz w:val="22"/>
                <w:szCs w:val="22"/>
                <w:b w:val="1"/>
                <w:bCs w:val="1"/>
                <w:color w:val="auto"/>
              </w:rPr>
              <w:t>Financing activities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Proceeds from bridge loans</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25,000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Proceeds from issuance of Series B Preferred Stock</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225,000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Repayment of advances under credit agreement</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(6,838)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Payment of equity issuance costs</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(12,547)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Repayment of long-term debt</w:t>
            </w:r>
          </w:p>
        </w:tc>
        <w:tc>
          <w:tcPr>
            <w:tcW w:w="24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(501)</w:t>
            </w:r>
          </w:p>
        </w:tc>
        <w:tc>
          <w:tcPr>
            <w:tcW w:w="0" w:type="dxa"/>
            <w:vAlign w:val="bottom"/>
          </w:tcPr>
          <w:p>
            <w:pPr>
              <w:spacing w:after="0"/>
              <w:rPr>
                <w:sz w:val="1"/>
                <w:szCs w:val="1"/>
                <w:color w:val="auto"/>
              </w:rPr>
            </w:pPr>
          </w:p>
        </w:tc>
      </w:tr>
      <w:tr>
        <w:trPr>
          <w:trHeight w:val="274"/>
        </w:trPr>
        <w:tc>
          <w:tcPr>
            <w:tcW w:w="7980" w:type="dxa"/>
            <w:vAlign w:val="bottom"/>
          </w:tcPr>
          <w:p>
            <w:pPr>
              <w:spacing w:after="0"/>
              <w:rPr>
                <w:sz w:val="20"/>
                <w:szCs w:val="20"/>
                <w:color w:val="auto"/>
              </w:rPr>
            </w:pPr>
            <w:r>
              <w:rPr>
                <w:rFonts w:ascii="Arial" w:cs="Arial" w:eastAsia="Arial" w:hAnsi="Arial"/>
                <w:sz w:val="22"/>
                <w:szCs w:val="22"/>
                <w:color w:val="auto"/>
              </w:rPr>
              <w:t>Proceeds from (payments for) employee equity programs, net</w:t>
            </w: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418</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(658)</w:t>
            </w:r>
          </w:p>
        </w:tc>
        <w:tc>
          <w:tcPr>
            <w:tcW w:w="0" w:type="dxa"/>
            <w:vAlign w:val="bottom"/>
          </w:tcPr>
          <w:p>
            <w:pPr>
              <w:spacing w:after="0"/>
              <w:rPr>
                <w:sz w:val="1"/>
                <w:szCs w:val="1"/>
                <w:color w:val="auto"/>
              </w:rPr>
            </w:pPr>
          </w:p>
        </w:tc>
      </w:tr>
      <w:tr>
        <w:trPr>
          <w:trHeight w:val="267"/>
        </w:trPr>
        <w:tc>
          <w:tcPr>
            <w:tcW w:w="7980" w:type="dxa"/>
            <w:vAlign w:val="bottom"/>
          </w:tcPr>
          <w:p>
            <w:pPr>
              <w:spacing w:after="0"/>
              <w:rPr>
                <w:sz w:val="20"/>
                <w:szCs w:val="20"/>
                <w:color w:val="auto"/>
              </w:rPr>
            </w:pPr>
            <w:r>
              <w:rPr>
                <w:rFonts w:ascii="Arial" w:cs="Arial" w:eastAsia="Arial" w:hAnsi="Arial"/>
                <w:sz w:val="22"/>
                <w:szCs w:val="22"/>
                <w:color w:val="auto"/>
              </w:rPr>
              <w:t>Net cash provided by (used in) financing activities</w:t>
            </w: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231,033</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(1,159)</w:t>
            </w:r>
          </w:p>
        </w:tc>
        <w:tc>
          <w:tcPr>
            <w:tcW w:w="0" w:type="dxa"/>
            <w:vAlign w:val="bottom"/>
          </w:tcPr>
          <w:p>
            <w:pPr>
              <w:spacing w:after="0"/>
              <w:rPr>
                <w:sz w:val="1"/>
                <w:szCs w:val="1"/>
                <w:color w:val="auto"/>
              </w:rPr>
            </w:pPr>
          </w:p>
        </w:tc>
      </w:tr>
      <w:tr>
        <w:trPr>
          <w:trHeight w:val="530"/>
        </w:trPr>
        <w:tc>
          <w:tcPr>
            <w:tcW w:w="7980" w:type="dxa"/>
            <w:vAlign w:val="bottom"/>
          </w:tcPr>
          <w:p>
            <w:pPr>
              <w:spacing w:after="0"/>
              <w:rPr>
                <w:sz w:val="20"/>
                <w:szCs w:val="20"/>
                <w:color w:val="auto"/>
              </w:rPr>
            </w:pPr>
            <w:r>
              <w:rPr>
                <w:rFonts w:ascii="Arial" w:cs="Arial" w:eastAsia="Arial" w:hAnsi="Arial"/>
                <w:sz w:val="22"/>
                <w:szCs w:val="22"/>
                <w:color w:val="auto"/>
              </w:rPr>
              <w:t>Effect of foreign exchange rate fluctuations on cash and cash equivalents</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162</w:t>
            </w:r>
          </w:p>
        </w:tc>
        <w:tc>
          <w:tcPr>
            <w:tcW w:w="0" w:type="dxa"/>
            <w:vAlign w:val="bottom"/>
          </w:tcPr>
          <w:p>
            <w:pPr>
              <w:spacing w:after="0"/>
              <w:rPr>
                <w:sz w:val="1"/>
                <w:szCs w:val="1"/>
                <w:color w:val="auto"/>
              </w:rPr>
            </w:pPr>
          </w:p>
        </w:tc>
      </w:tr>
      <w:tr>
        <w:trPr>
          <w:trHeight w:val="259"/>
        </w:trPr>
        <w:tc>
          <w:tcPr>
            <w:tcW w:w="7980" w:type="dxa"/>
            <w:vAlign w:val="bottom"/>
          </w:tcPr>
          <w:p>
            <w:pPr>
              <w:spacing w:after="0"/>
              <w:rPr>
                <w:sz w:val="20"/>
                <w:szCs w:val="20"/>
                <w:color w:val="auto"/>
              </w:rPr>
            </w:pPr>
            <w:r>
              <w:rPr>
                <w:rFonts w:ascii="Arial" w:cs="Arial" w:eastAsia="Arial" w:hAnsi="Arial"/>
                <w:sz w:val="22"/>
                <w:szCs w:val="22"/>
                <w:color w:val="auto"/>
              </w:rPr>
              <w:t>Net increase (decrease) in cash, cash equivalents and restricted cash</w:t>
            </w: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45,910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(37,657)</w:t>
            </w:r>
          </w:p>
        </w:tc>
        <w:tc>
          <w:tcPr>
            <w:tcW w:w="0" w:type="dxa"/>
            <w:vAlign w:val="bottom"/>
          </w:tcPr>
          <w:p>
            <w:pPr>
              <w:spacing w:after="0"/>
              <w:rPr>
                <w:sz w:val="1"/>
                <w:szCs w:val="1"/>
                <w:color w:val="auto"/>
              </w:rPr>
            </w:pPr>
          </w:p>
        </w:tc>
      </w:tr>
      <w:tr>
        <w:trPr>
          <w:trHeight w:val="274"/>
        </w:trPr>
        <w:tc>
          <w:tcPr>
            <w:tcW w:w="7980" w:type="dxa"/>
            <w:vAlign w:val="bottom"/>
          </w:tcPr>
          <w:p>
            <w:pPr>
              <w:spacing w:after="0"/>
              <w:rPr>
                <w:sz w:val="20"/>
                <w:szCs w:val="20"/>
                <w:color w:val="auto"/>
              </w:rPr>
            </w:pPr>
            <w:r>
              <w:rPr>
                <w:rFonts w:ascii="Arial" w:cs="Arial" w:eastAsia="Arial" w:hAnsi="Arial"/>
                <w:sz w:val="22"/>
                <w:szCs w:val="22"/>
                <w:color w:val="auto"/>
              </w:rPr>
              <w:t>Cash, cash equivalents and restricted cash at beginning of period</w:t>
            </w: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29,467</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69,536</w:t>
            </w:r>
          </w:p>
        </w:tc>
        <w:tc>
          <w:tcPr>
            <w:tcW w:w="0" w:type="dxa"/>
            <w:vAlign w:val="bottom"/>
          </w:tcPr>
          <w:p>
            <w:pPr>
              <w:spacing w:after="0"/>
              <w:rPr>
                <w:sz w:val="1"/>
                <w:szCs w:val="1"/>
                <w:color w:val="auto"/>
              </w:rPr>
            </w:pPr>
          </w:p>
        </w:tc>
      </w:tr>
      <w:tr>
        <w:trPr>
          <w:trHeight w:val="267"/>
        </w:trPr>
        <w:tc>
          <w:tcPr>
            <w:tcW w:w="7980" w:type="dxa"/>
            <w:vAlign w:val="bottom"/>
          </w:tcPr>
          <w:p>
            <w:pPr>
              <w:spacing w:after="0"/>
              <w:rPr>
                <w:sz w:val="20"/>
                <w:szCs w:val="20"/>
                <w:color w:val="auto"/>
              </w:rPr>
            </w:pPr>
            <w:r>
              <w:rPr>
                <w:rFonts w:ascii="Arial" w:cs="Arial" w:eastAsia="Arial" w:hAnsi="Arial"/>
                <w:sz w:val="22"/>
                <w:szCs w:val="22"/>
                <w:color w:val="auto"/>
              </w:rPr>
              <w:t>Cash, cash equivalents and restricted cash at end of period</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75,377</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31,879</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18" w:right="339" w:bottom="15"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980" w:type="dxa"/>
            <w:vAlign w:val="bottom"/>
          </w:tcPr>
          <w:p>
            <w:pPr>
              <w:spacing w:after="0"/>
              <w:rPr>
                <w:sz w:val="20"/>
                <w:szCs w:val="20"/>
                <w:color w:val="auto"/>
              </w:rPr>
            </w:pPr>
            <w:r>
              <w:rPr>
                <w:rFonts w:ascii="Arial" w:cs="Arial" w:eastAsia="Arial" w:hAnsi="Arial"/>
                <w:sz w:val="22"/>
                <w:szCs w:val="22"/>
                <w:color w:val="auto"/>
              </w:rPr>
              <w:t>Cash and cash equivalents, and available for sale securities consist of:</w:t>
            </w: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Cash and cash equivalents</w:t>
            </w:r>
          </w:p>
        </w:tc>
        <w:tc>
          <w:tcPr>
            <w:tcW w:w="440" w:type="dxa"/>
            <w:vAlign w:val="bottom"/>
          </w:tcPr>
          <w:p>
            <w:pPr>
              <w:jc w:val="right"/>
              <w:ind w:right="21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74,361</w:t>
            </w:r>
          </w:p>
        </w:tc>
        <w:tc>
          <w:tcPr>
            <w:tcW w:w="120" w:type="dxa"/>
            <w:vAlign w:val="bottom"/>
          </w:tcPr>
          <w:p>
            <w:pPr>
              <w:spacing w:after="0"/>
              <w:rPr>
                <w:sz w:val="23"/>
                <w:szCs w:val="23"/>
                <w:color w:val="auto"/>
              </w:rPr>
            </w:pPr>
          </w:p>
        </w:tc>
        <w:tc>
          <w:tcPr>
            <w:tcW w:w="480" w:type="dxa"/>
            <w:vAlign w:val="bottom"/>
          </w:tcPr>
          <w:p>
            <w:pPr>
              <w:jc w:val="right"/>
              <w:ind w:right="25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30,863</w:t>
            </w:r>
          </w:p>
        </w:tc>
      </w:tr>
      <w:tr>
        <w:trPr>
          <w:trHeight w:val="274"/>
        </w:trPr>
        <w:tc>
          <w:tcPr>
            <w:tcW w:w="7980" w:type="dxa"/>
            <w:vAlign w:val="bottom"/>
          </w:tcPr>
          <w:p>
            <w:pPr>
              <w:spacing w:after="0"/>
              <w:rPr>
                <w:sz w:val="20"/>
                <w:szCs w:val="20"/>
                <w:color w:val="auto"/>
              </w:rPr>
            </w:pPr>
            <w:r>
              <w:rPr>
                <w:rFonts w:ascii="Arial" w:cs="Arial" w:eastAsia="Arial" w:hAnsi="Arial"/>
                <w:sz w:val="22"/>
                <w:szCs w:val="22"/>
                <w:color w:val="auto"/>
              </w:rPr>
              <w:t>Short-term investments</w:t>
            </w: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136,850</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67"/>
        </w:trPr>
        <w:tc>
          <w:tcPr>
            <w:tcW w:w="7980" w:type="dxa"/>
            <w:vAlign w:val="bottom"/>
          </w:tcPr>
          <w:p>
            <w:pPr>
              <w:spacing w:after="0"/>
              <w:rPr>
                <w:sz w:val="20"/>
                <w:szCs w:val="20"/>
                <w:color w:val="auto"/>
              </w:rPr>
            </w:pPr>
            <w:r>
              <w:rPr>
                <w:rFonts w:ascii="Arial" w:cs="Arial" w:eastAsia="Arial" w:hAnsi="Arial"/>
                <w:sz w:val="22"/>
                <w:szCs w:val="22"/>
                <w:color w:val="auto"/>
              </w:rPr>
              <w:t>Total cash and cash equivalents, and available for sale securities</w:t>
            </w:r>
          </w:p>
        </w:tc>
        <w:tc>
          <w:tcPr>
            <w:tcW w:w="4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211,211</w:t>
            </w:r>
          </w:p>
        </w:tc>
        <w:tc>
          <w:tcPr>
            <w:tcW w:w="120" w:type="dxa"/>
            <w:vAlign w:val="bottom"/>
          </w:tcPr>
          <w:p>
            <w:pPr>
              <w:spacing w:after="0"/>
              <w:rPr>
                <w:sz w:val="23"/>
                <w:szCs w:val="23"/>
                <w:color w:val="auto"/>
              </w:rPr>
            </w:pPr>
          </w:p>
        </w:tc>
        <w:tc>
          <w:tcPr>
            <w:tcW w:w="48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30,863</w:t>
            </w:r>
          </w:p>
        </w:tc>
      </w:tr>
      <w:tr>
        <w:trPr>
          <w:trHeight w:val="21"/>
        </w:trPr>
        <w:tc>
          <w:tcPr>
            <w:tcW w:w="7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STANDARD BIOTOOLS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(formerly known as FLUIDIGM CORPORATION)</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RECONCILIATION OF GAAP TO NON-GAAP FINANCIAL INFORMATION</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NET LOSS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220" w:type="dxa"/>
            <w:vAlign w:val="bottom"/>
          </w:tcPr>
          <w:p>
            <w:pPr>
              <w:spacing w:after="0"/>
              <w:rPr>
                <w:sz w:val="24"/>
                <w:szCs w:val="24"/>
                <w:color w:val="auto"/>
              </w:rPr>
            </w:pPr>
          </w:p>
        </w:tc>
        <w:tc>
          <w:tcPr>
            <w:tcW w:w="3040" w:type="dxa"/>
            <w:vAlign w:val="bottom"/>
            <w:gridSpan w:val="6"/>
          </w:tcPr>
          <w:p>
            <w:pPr>
              <w:ind w:left="80"/>
              <w:spacing w:after="0"/>
              <w:rPr>
                <w:sz w:val="20"/>
                <w:szCs w:val="20"/>
                <w:color w:val="auto"/>
              </w:rPr>
            </w:pPr>
            <w:r>
              <w:rPr>
                <w:rFonts w:ascii="Arial" w:cs="Arial" w:eastAsia="Arial" w:hAnsi="Arial"/>
                <w:sz w:val="22"/>
                <w:szCs w:val="22"/>
                <w:b w:val="1"/>
                <w:bCs w:val="1"/>
                <w:color w:val="auto"/>
                <w:w w:val="94"/>
              </w:rPr>
              <w:t>Three Months Ended June 30,</w:t>
            </w:r>
          </w:p>
        </w:tc>
        <w:tc>
          <w:tcPr>
            <w:tcW w:w="180" w:type="dxa"/>
            <w:vAlign w:val="bottom"/>
          </w:tcPr>
          <w:p>
            <w:pPr>
              <w:spacing w:after="0"/>
              <w:rPr>
                <w:sz w:val="24"/>
                <w:szCs w:val="24"/>
                <w:color w:val="auto"/>
              </w:rPr>
            </w:pPr>
          </w:p>
        </w:tc>
        <w:tc>
          <w:tcPr>
            <w:tcW w:w="2780" w:type="dxa"/>
            <w:vAlign w:val="bottom"/>
            <w:gridSpan w:val="4"/>
          </w:tcPr>
          <w:p>
            <w:pPr>
              <w:jc w:val="right"/>
              <w:ind w:right="112"/>
              <w:spacing w:after="0"/>
              <w:rPr>
                <w:sz w:val="20"/>
                <w:szCs w:val="20"/>
                <w:color w:val="auto"/>
              </w:rPr>
            </w:pPr>
            <w:r>
              <w:rPr>
                <w:rFonts w:ascii="Arial" w:cs="Arial" w:eastAsia="Arial" w:hAnsi="Arial"/>
                <w:sz w:val="22"/>
                <w:szCs w:val="22"/>
                <w:b w:val="1"/>
                <w:bCs w:val="1"/>
                <w:color w:val="auto"/>
                <w:w w:val="89"/>
              </w:rPr>
              <w:t>Six Months Ended June 30,</w:t>
            </w:r>
          </w:p>
        </w:tc>
        <w:tc>
          <w:tcPr>
            <w:tcW w:w="0" w:type="dxa"/>
            <w:vAlign w:val="bottom"/>
          </w:tcPr>
          <w:p>
            <w:pPr>
              <w:spacing w:after="0"/>
              <w:rPr>
                <w:sz w:val="1"/>
                <w:szCs w:val="1"/>
                <w:color w:val="auto"/>
              </w:rPr>
            </w:pPr>
          </w:p>
        </w:tc>
      </w:tr>
      <w:tr>
        <w:trPr>
          <w:trHeight w:val="265"/>
        </w:trPr>
        <w:tc>
          <w:tcPr>
            <w:tcW w:w="522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2022</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2021</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2021</w:t>
            </w:r>
          </w:p>
        </w:tc>
        <w:tc>
          <w:tcPr>
            <w:tcW w:w="0" w:type="dxa"/>
            <w:vAlign w:val="bottom"/>
          </w:tcPr>
          <w:p>
            <w:pPr>
              <w:spacing w:after="0"/>
              <w:rPr>
                <w:sz w:val="1"/>
                <w:szCs w:val="1"/>
                <w:color w:val="auto"/>
              </w:rPr>
            </w:pPr>
          </w:p>
        </w:tc>
      </w:tr>
      <w:tr>
        <w:trPr>
          <w:trHeight w:val="526"/>
        </w:trPr>
        <w:tc>
          <w:tcPr>
            <w:tcW w:w="5220" w:type="dxa"/>
            <w:vAlign w:val="bottom"/>
          </w:tcPr>
          <w:p>
            <w:pPr>
              <w:spacing w:after="0"/>
              <w:rPr>
                <w:sz w:val="20"/>
                <w:szCs w:val="20"/>
                <w:color w:val="auto"/>
              </w:rPr>
            </w:pPr>
            <w:r>
              <w:rPr>
                <w:rFonts w:ascii="Arial" w:cs="Arial" w:eastAsia="Arial" w:hAnsi="Arial"/>
                <w:sz w:val="22"/>
                <w:szCs w:val="22"/>
                <w:color w:val="auto"/>
              </w:rPr>
              <w:t>Net loss (GAAP)</w:t>
            </w: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(63,539)</w:t>
            </w:r>
          </w:p>
        </w:tc>
        <w:tc>
          <w:tcPr>
            <w:tcW w:w="1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(17,143)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(139,827)</w:t>
            </w:r>
          </w:p>
        </w:tc>
        <w:tc>
          <w:tcPr>
            <w:tcW w:w="10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(35,964)</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Loss on forward sale of Series B Preferred Stock</w:t>
            </w:r>
          </w:p>
        </w:tc>
        <w:tc>
          <w:tcPr>
            <w:tcW w:w="28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22,289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60,081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Loss on bridge loans</w:t>
            </w:r>
          </w:p>
        </w:tc>
        <w:tc>
          <w:tcPr>
            <w:tcW w:w="28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3,064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13,719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8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4,663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3,741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8,705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7,418</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8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2,961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2,982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5,928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5,965</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28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875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917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1,878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1,851</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Interest expense (b)</w:t>
            </w:r>
          </w:p>
        </w:tc>
        <w:tc>
          <w:tcPr>
            <w:tcW w:w="28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1,062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896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2,092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1,783</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Impairment of intangible (c)</w:t>
            </w:r>
          </w:p>
        </w:tc>
        <w:tc>
          <w:tcPr>
            <w:tcW w:w="28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3,526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3,526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28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280" w:type="dxa"/>
            <w:vAlign w:val="bottom"/>
          </w:tcPr>
          <w:p>
            <w:pPr>
              <w:spacing w:after="0"/>
              <w:rPr>
                <w:sz w:val="23"/>
                <w:szCs w:val="23"/>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74"/>
        </w:trPr>
        <w:tc>
          <w:tcPr>
            <w:tcW w:w="5220" w:type="dxa"/>
            <w:vAlign w:val="bottom"/>
          </w:tcPr>
          <w:p>
            <w:pPr>
              <w:spacing w:after="0"/>
              <w:rPr>
                <w:sz w:val="20"/>
                <w:szCs w:val="20"/>
                <w:color w:val="auto"/>
              </w:rPr>
            </w:pPr>
            <w:r>
              <w:rPr>
                <w:rFonts w:ascii="Arial" w:cs="Arial" w:eastAsia="Arial" w:hAnsi="Arial"/>
                <w:sz w:val="22"/>
                <w:szCs w:val="22"/>
                <w:color w:val="auto"/>
              </w:rPr>
              <w:t>Benefit from acquisition related income taxes (d)</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(742)</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(742)</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(1,484)</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(1,484)</w:t>
            </w:r>
          </w:p>
        </w:tc>
        <w:tc>
          <w:tcPr>
            <w:tcW w:w="0" w:type="dxa"/>
            <w:vAlign w:val="bottom"/>
          </w:tcPr>
          <w:p>
            <w:pPr>
              <w:spacing w:after="0"/>
              <w:rPr>
                <w:sz w:val="1"/>
                <w:szCs w:val="1"/>
                <w:color w:val="auto"/>
              </w:rPr>
            </w:pPr>
          </w:p>
        </w:tc>
      </w:tr>
      <w:tr>
        <w:trPr>
          <w:trHeight w:val="267"/>
        </w:trPr>
        <w:tc>
          <w:tcPr>
            <w:tcW w:w="5220" w:type="dxa"/>
            <w:vAlign w:val="bottom"/>
          </w:tcPr>
          <w:p>
            <w:pPr>
              <w:spacing w:after="0"/>
              <w:rPr>
                <w:sz w:val="20"/>
                <w:szCs w:val="20"/>
                <w:color w:val="auto"/>
              </w:rPr>
            </w:pPr>
            <w:r>
              <w:rPr>
                <w:rFonts w:ascii="Arial" w:cs="Arial" w:eastAsia="Arial" w:hAnsi="Arial"/>
                <w:sz w:val="22"/>
                <w:szCs w:val="22"/>
                <w:color w:val="auto"/>
              </w:rPr>
              <w:t>Net loss (Non-GAAP)</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(25,835)</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(9,348)</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(45,367)</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(20,421)</w:t>
            </w:r>
          </w:p>
        </w:tc>
        <w:tc>
          <w:tcPr>
            <w:tcW w:w="0" w:type="dxa"/>
            <w:vAlign w:val="bottom"/>
          </w:tcPr>
          <w:p>
            <w:pPr>
              <w:spacing w:after="0"/>
              <w:rPr>
                <w:sz w:val="1"/>
                <w:szCs w:val="1"/>
                <w:color w:val="auto"/>
              </w:rPr>
            </w:pPr>
          </w:p>
        </w:tc>
      </w:tr>
      <w:tr>
        <w:trPr>
          <w:trHeight w:val="21"/>
        </w:trPr>
        <w:tc>
          <w:tcPr>
            <w:tcW w:w="5220" w:type="dxa"/>
            <w:vAlign w:val="bottom"/>
            <w:vMerge w:val="restart"/>
          </w:tcPr>
          <w:p>
            <w:pPr>
              <w:spacing w:after="0"/>
              <w:rPr>
                <w:sz w:val="20"/>
                <w:szCs w:val="20"/>
                <w:color w:val="auto"/>
              </w:rPr>
            </w:pPr>
            <w:r>
              <w:rPr>
                <w:rFonts w:ascii="Arial" w:cs="Arial" w:eastAsia="Arial" w:hAnsi="Arial"/>
                <w:sz w:val="22"/>
                <w:szCs w:val="22"/>
                <w:color w:val="auto"/>
              </w:rPr>
              <w:t>Shares used in net loss per share calculation -</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52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vMerge w:val="restart"/>
          </w:tcPr>
          <w:p>
            <w:pPr>
              <w:jc w:val="right"/>
              <w:ind w:right="92"/>
              <w:spacing w:after="0"/>
              <w:rPr>
                <w:sz w:val="20"/>
                <w:szCs w:val="20"/>
                <w:color w:val="auto"/>
              </w:rPr>
            </w:pPr>
            <w:r>
              <w:rPr>
                <w:rFonts w:ascii="Arial" w:cs="Arial" w:eastAsia="Arial" w:hAnsi="Arial"/>
                <w:sz w:val="22"/>
                <w:szCs w:val="22"/>
                <w:color w:val="auto"/>
              </w:rPr>
              <w:t>77,821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vMerge w:val="restart"/>
          </w:tcPr>
          <w:p>
            <w:pPr>
              <w:jc w:val="right"/>
              <w:ind w:right="92"/>
              <w:spacing w:after="0"/>
              <w:rPr>
                <w:sz w:val="20"/>
                <w:szCs w:val="20"/>
                <w:color w:val="auto"/>
              </w:rPr>
            </w:pPr>
            <w:r>
              <w:rPr>
                <w:rFonts w:ascii="Arial" w:cs="Arial" w:eastAsia="Arial" w:hAnsi="Arial"/>
                <w:sz w:val="22"/>
                <w:szCs w:val="22"/>
                <w:color w:val="auto"/>
              </w:rPr>
              <w:t>75,452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vMerge w:val="restart"/>
          </w:tcPr>
          <w:p>
            <w:pPr>
              <w:jc w:val="right"/>
              <w:ind w:right="92"/>
              <w:spacing w:after="0"/>
              <w:rPr>
                <w:sz w:val="20"/>
                <w:szCs w:val="20"/>
                <w:color w:val="auto"/>
              </w:rPr>
            </w:pPr>
            <w:r>
              <w:rPr>
                <w:rFonts w:ascii="Arial" w:cs="Arial" w:eastAsia="Arial" w:hAnsi="Arial"/>
                <w:sz w:val="22"/>
                <w:szCs w:val="22"/>
                <w:color w:val="auto"/>
              </w:rPr>
              <w:t>77,430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vMerge w:val="restart"/>
          </w:tcPr>
          <w:p>
            <w:pPr>
              <w:jc w:val="right"/>
              <w:ind w:right="92"/>
              <w:spacing w:after="0"/>
              <w:rPr>
                <w:sz w:val="20"/>
                <w:szCs w:val="20"/>
                <w:color w:val="auto"/>
              </w:rPr>
            </w:pPr>
            <w:r>
              <w:rPr>
                <w:rFonts w:ascii="Arial" w:cs="Arial" w:eastAsia="Arial" w:hAnsi="Arial"/>
                <w:sz w:val="22"/>
                <w:szCs w:val="22"/>
                <w:color w:val="auto"/>
              </w:rPr>
              <w:t>75,084</w:t>
            </w:r>
          </w:p>
        </w:tc>
        <w:tc>
          <w:tcPr>
            <w:tcW w:w="0" w:type="dxa"/>
            <w:vAlign w:val="bottom"/>
          </w:tcPr>
          <w:p>
            <w:pPr>
              <w:spacing w:after="0"/>
              <w:rPr>
                <w:sz w:val="1"/>
                <w:szCs w:val="1"/>
                <w:color w:val="auto"/>
              </w:rPr>
            </w:pPr>
          </w:p>
        </w:tc>
      </w:tr>
      <w:tr>
        <w:trPr>
          <w:trHeight w:val="287"/>
        </w:trPr>
        <w:tc>
          <w:tcPr>
            <w:tcW w:w="5220" w:type="dxa"/>
            <w:vAlign w:val="bottom"/>
          </w:tcPr>
          <w:p>
            <w:pPr>
              <w:ind w:left="200"/>
              <w:spacing w:after="0"/>
              <w:rPr>
                <w:sz w:val="20"/>
                <w:szCs w:val="20"/>
                <w:color w:val="auto"/>
              </w:rPr>
            </w:pPr>
            <w:r>
              <w:rPr>
                <w:rFonts w:ascii="Arial" w:cs="Arial" w:eastAsia="Arial" w:hAnsi="Arial"/>
                <w:sz w:val="22"/>
                <w:szCs w:val="22"/>
                <w:color w:val="auto"/>
              </w:rPr>
              <w:t>basic and diluted (GAAP and Non-GAAP)</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5220" w:type="dxa"/>
            <w:vAlign w:val="bottom"/>
          </w:tcPr>
          <w:p>
            <w:pPr>
              <w:spacing w:after="0"/>
              <w:rPr>
                <w:sz w:val="20"/>
                <w:szCs w:val="20"/>
                <w:color w:val="auto"/>
              </w:rPr>
            </w:pPr>
            <w:r>
              <w:rPr>
                <w:rFonts w:ascii="Arial" w:cs="Arial" w:eastAsia="Arial" w:hAnsi="Arial"/>
                <w:sz w:val="22"/>
                <w:szCs w:val="22"/>
                <w:color w:val="auto"/>
              </w:rPr>
              <w:t>Net loss per share - basic and diluted (GAAP)</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(0.82)</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(0.23)</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(1.81)</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(0.48)</w:t>
            </w:r>
          </w:p>
        </w:tc>
        <w:tc>
          <w:tcPr>
            <w:tcW w:w="0" w:type="dxa"/>
            <w:vAlign w:val="bottom"/>
          </w:tcPr>
          <w:p>
            <w:pPr>
              <w:spacing w:after="0"/>
              <w:rPr>
                <w:sz w:val="1"/>
                <w:szCs w:val="1"/>
                <w:color w:val="auto"/>
              </w:rPr>
            </w:pPr>
          </w:p>
        </w:tc>
      </w:tr>
      <w:tr>
        <w:trPr>
          <w:trHeight w:val="21"/>
        </w:trPr>
        <w:tc>
          <w:tcPr>
            <w:tcW w:w="5220" w:type="dxa"/>
            <w:vAlign w:val="bottom"/>
            <w:vMerge w:val="restart"/>
          </w:tcPr>
          <w:p>
            <w:pPr>
              <w:spacing w:after="0"/>
              <w:rPr>
                <w:sz w:val="20"/>
                <w:szCs w:val="20"/>
                <w:color w:val="auto"/>
              </w:rPr>
            </w:pPr>
            <w:r>
              <w:rPr>
                <w:rFonts w:ascii="Arial" w:cs="Arial" w:eastAsia="Arial" w:hAnsi="Arial"/>
                <w:sz w:val="22"/>
                <w:szCs w:val="22"/>
                <w:color w:val="auto"/>
              </w:rPr>
              <w:t>Net loss per share - basic and diluted (Non-GAAP)</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220" w:type="dxa"/>
            <w:vAlign w:val="bottom"/>
            <w:vMerge w:val="continue"/>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(0.33)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(0.12)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(0.59)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(0.27)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PRODUCT AND SERVICE MARGIN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220" w:type="dxa"/>
            <w:vAlign w:val="bottom"/>
          </w:tcPr>
          <w:p>
            <w:pPr>
              <w:spacing w:after="0"/>
              <w:rPr>
                <w:sz w:val="24"/>
                <w:szCs w:val="24"/>
                <w:color w:val="auto"/>
              </w:rPr>
            </w:pPr>
          </w:p>
        </w:tc>
        <w:tc>
          <w:tcPr>
            <w:tcW w:w="3040" w:type="dxa"/>
            <w:vAlign w:val="bottom"/>
            <w:gridSpan w:val="6"/>
          </w:tcPr>
          <w:p>
            <w:pPr>
              <w:ind w:left="80"/>
              <w:spacing w:after="0"/>
              <w:rPr>
                <w:sz w:val="20"/>
                <w:szCs w:val="20"/>
                <w:color w:val="auto"/>
              </w:rPr>
            </w:pPr>
            <w:r>
              <w:rPr>
                <w:rFonts w:ascii="Arial" w:cs="Arial" w:eastAsia="Arial" w:hAnsi="Arial"/>
                <w:sz w:val="22"/>
                <w:szCs w:val="22"/>
                <w:b w:val="1"/>
                <w:bCs w:val="1"/>
                <w:color w:val="auto"/>
                <w:w w:val="94"/>
              </w:rPr>
              <w:t>Three Months Ended June 30,</w:t>
            </w:r>
          </w:p>
        </w:tc>
        <w:tc>
          <w:tcPr>
            <w:tcW w:w="180" w:type="dxa"/>
            <w:vAlign w:val="bottom"/>
          </w:tcPr>
          <w:p>
            <w:pPr>
              <w:spacing w:after="0"/>
              <w:rPr>
                <w:sz w:val="24"/>
                <w:szCs w:val="24"/>
                <w:color w:val="auto"/>
              </w:rPr>
            </w:pPr>
          </w:p>
        </w:tc>
        <w:tc>
          <w:tcPr>
            <w:tcW w:w="2780" w:type="dxa"/>
            <w:vAlign w:val="bottom"/>
            <w:gridSpan w:val="4"/>
          </w:tcPr>
          <w:p>
            <w:pPr>
              <w:jc w:val="right"/>
              <w:ind w:right="112"/>
              <w:spacing w:after="0"/>
              <w:rPr>
                <w:sz w:val="20"/>
                <w:szCs w:val="20"/>
                <w:color w:val="auto"/>
              </w:rPr>
            </w:pPr>
            <w:r>
              <w:rPr>
                <w:rFonts w:ascii="Arial" w:cs="Arial" w:eastAsia="Arial" w:hAnsi="Arial"/>
                <w:sz w:val="22"/>
                <w:szCs w:val="22"/>
                <w:b w:val="1"/>
                <w:bCs w:val="1"/>
                <w:color w:val="auto"/>
                <w:w w:val="89"/>
              </w:rPr>
              <w:t>Six Months Ended June 30,</w:t>
            </w:r>
          </w:p>
        </w:tc>
        <w:tc>
          <w:tcPr>
            <w:tcW w:w="0" w:type="dxa"/>
            <w:vAlign w:val="bottom"/>
          </w:tcPr>
          <w:p>
            <w:pPr>
              <w:spacing w:after="0"/>
              <w:rPr>
                <w:sz w:val="1"/>
                <w:szCs w:val="1"/>
                <w:color w:val="auto"/>
              </w:rPr>
            </w:pPr>
          </w:p>
        </w:tc>
      </w:tr>
      <w:tr>
        <w:trPr>
          <w:trHeight w:val="265"/>
        </w:trPr>
        <w:tc>
          <w:tcPr>
            <w:tcW w:w="5220" w:type="dxa"/>
            <w:vAlign w:val="bottom"/>
            <w:vMerge w:val="restart"/>
          </w:tcPr>
          <w:p>
            <w:pPr>
              <w:spacing w:after="0"/>
              <w:rPr>
                <w:sz w:val="20"/>
                <w:szCs w:val="20"/>
                <w:color w:val="auto"/>
              </w:rPr>
            </w:pPr>
            <w:r>
              <w:rPr>
                <w:rFonts w:ascii="Arial" w:cs="Arial" w:eastAsia="Arial" w:hAnsi="Arial"/>
                <w:sz w:val="22"/>
                <w:szCs w:val="22"/>
                <w:color w:val="auto"/>
              </w:rPr>
              <w:t>Product and service gross profit (GAAP)</w:t>
            </w: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2022</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2021</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top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w w:val="89"/>
              </w:rPr>
              <w:t>2021</w:t>
            </w:r>
          </w:p>
        </w:tc>
        <w:tc>
          <w:tcPr>
            <w:tcW w:w="0" w:type="dxa"/>
            <w:vAlign w:val="bottom"/>
          </w:tcPr>
          <w:p>
            <w:pPr>
              <w:spacing w:after="0"/>
              <w:rPr>
                <w:sz w:val="1"/>
                <w:szCs w:val="1"/>
                <w:color w:val="auto"/>
              </w:rPr>
            </w:pPr>
          </w:p>
        </w:tc>
      </w:tr>
      <w:tr>
        <w:trPr>
          <w:trHeight w:val="256"/>
        </w:trPr>
        <w:tc>
          <w:tcPr>
            <w:tcW w:w="5220" w:type="dxa"/>
            <w:vAlign w:val="bottom"/>
            <w:vMerge w:val="continue"/>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3,675</w:t>
            </w:r>
          </w:p>
        </w:tc>
        <w:tc>
          <w:tcPr>
            <w:tcW w:w="12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14,657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15,556</w:t>
            </w:r>
          </w:p>
        </w:tc>
        <w:tc>
          <w:tcPr>
            <w:tcW w:w="100" w:type="dxa"/>
            <w:vAlign w:val="bottom"/>
          </w:tcPr>
          <w:p>
            <w:pPr>
              <w:spacing w:after="0"/>
              <w:rPr>
                <w:sz w:val="22"/>
                <w:szCs w:val="22"/>
                <w:color w:val="auto"/>
              </w:rPr>
            </w:pPr>
          </w:p>
        </w:tc>
        <w:tc>
          <w:tcPr>
            <w:tcW w:w="420" w:type="dxa"/>
            <w:vAlign w:val="bottom"/>
          </w:tcPr>
          <w:p>
            <w:pPr>
              <w:jc w:val="right"/>
              <w:ind w:right="19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ind w:right="92"/>
              <w:spacing w:after="0"/>
              <w:rPr>
                <w:sz w:val="20"/>
                <w:szCs w:val="20"/>
                <w:color w:val="auto"/>
              </w:rPr>
            </w:pPr>
            <w:r>
              <w:rPr>
                <w:rFonts w:ascii="Arial" w:cs="Arial" w:eastAsia="Arial" w:hAnsi="Arial"/>
                <w:sz w:val="22"/>
                <w:szCs w:val="22"/>
                <w:color w:val="auto"/>
              </w:rPr>
              <w:t>31,918</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8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2,641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5,608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22"/>
                <w:szCs w:val="22"/>
                <w:color w:val="auto"/>
              </w:rPr>
              <w:t>5,600</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28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319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393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634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22"/>
                <w:szCs w:val="22"/>
                <w:color w:val="auto"/>
              </w:rPr>
              <w:t>813</w:t>
            </w:r>
          </w:p>
        </w:tc>
        <w:tc>
          <w:tcPr>
            <w:tcW w:w="0" w:type="dxa"/>
            <w:vAlign w:val="bottom"/>
          </w:tcPr>
          <w:p>
            <w:pPr>
              <w:spacing w:after="0"/>
              <w:rPr>
                <w:sz w:val="1"/>
                <w:szCs w:val="1"/>
                <w:color w:val="auto"/>
              </w:rPr>
            </w:pPr>
          </w:p>
        </w:tc>
      </w:tr>
      <w:tr>
        <w:trPr>
          <w:trHeight w:val="274"/>
        </w:trPr>
        <w:tc>
          <w:tcPr>
            <w:tcW w:w="5220" w:type="dxa"/>
            <w:vAlign w:val="bottom"/>
          </w:tcPr>
          <w:p>
            <w:pPr>
              <w:spacing w:after="0"/>
              <w:rPr>
                <w:sz w:val="20"/>
                <w:szCs w:val="20"/>
                <w:color w:val="auto"/>
              </w:rPr>
            </w:pPr>
            <w:r>
              <w:rPr>
                <w:rFonts w:ascii="Arial" w:cs="Arial" w:eastAsia="Arial" w:hAnsi="Arial"/>
                <w:sz w:val="22"/>
                <w:szCs w:val="22"/>
                <w:color w:val="auto"/>
              </w:rPr>
              <w:t>Stock-based compensation expense (e)</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164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128</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305</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226</w:t>
            </w:r>
          </w:p>
        </w:tc>
        <w:tc>
          <w:tcPr>
            <w:tcW w:w="0" w:type="dxa"/>
            <w:vAlign w:val="bottom"/>
          </w:tcPr>
          <w:p>
            <w:pPr>
              <w:spacing w:after="0"/>
              <w:rPr>
                <w:sz w:val="1"/>
                <w:szCs w:val="1"/>
                <w:color w:val="auto"/>
              </w:rPr>
            </w:pPr>
          </w:p>
        </w:tc>
      </w:tr>
      <w:tr>
        <w:trPr>
          <w:trHeight w:val="267"/>
        </w:trPr>
        <w:tc>
          <w:tcPr>
            <w:tcW w:w="5220" w:type="dxa"/>
            <w:vAlign w:val="bottom"/>
          </w:tcPr>
          <w:p>
            <w:pPr>
              <w:spacing w:after="0"/>
              <w:rPr>
                <w:sz w:val="20"/>
                <w:szCs w:val="20"/>
                <w:color w:val="auto"/>
              </w:rPr>
            </w:pPr>
            <w:r>
              <w:rPr>
                <w:rFonts w:ascii="Arial" w:cs="Arial" w:eastAsia="Arial" w:hAnsi="Arial"/>
                <w:sz w:val="22"/>
                <w:szCs w:val="22"/>
                <w:color w:val="auto"/>
              </w:rPr>
              <w:t>Product and service gross profit (Non-GAAP)</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6,799</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17,978</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22,103</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38,557</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5220" w:type="dxa"/>
            <w:vAlign w:val="bottom"/>
          </w:tcPr>
          <w:p>
            <w:pPr>
              <w:spacing w:after="0"/>
              <w:rPr>
                <w:sz w:val="20"/>
                <w:szCs w:val="20"/>
                <w:color w:val="auto"/>
              </w:rPr>
            </w:pPr>
            <w:r>
              <w:rPr>
                <w:rFonts w:ascii="Arial" w:cs="Arial" w:eastAsia="Arial" w:hAnsi="Arial"/>
                <w:sz w:val="22"/>
                <w:szCs w:val="22"/>
                <w:color w:val="auto"/>
              </w:rPr>
              <w:t>Product and service margin (GAAP)</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20.4%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35.2%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53.0%</w:t>
            </w:r>
          </w:p>
        </w:tc>
        <w:tc>
          <w:tcPr>
            <w:tcW w:w="0" w:type="dxa"/>
            <w:vAlign w:val="bottom"/>
          </w:tcPr>
          <w:p>
            <w:pPr>
              <w:spacing w:after="0"/>
              <w:rPr>
                <w:sz w:val="1"/>
                <w:szCs w:val="1"/>
                <w:color w:val="auto"/>
              </w:rPr>
            </w:pPr>
          </w:p>
        </w:tc>
      </w:tr>
      <w:tr>
        <w:trPr>
          <w:trHeight w:val="274"/>
        </w:trPr>
        <w:tc>
          <w:tcPr>
            <w:tcW w:w="5220" w:type="dxa"/>
            <w:vAlign w:val="bottom"/>
          </w:tcPr>
          <w:p>
            <w:pPr>
              <w:spacing w:after="0"/>
              <w:rPr>
                <w:sz w:val="20"/>
                <w:szCs w:val="20"/>
                <w:color w:val="auto"/>
              </w:rPr>
            </w:pPr>
            <w:r>
              <w:rPr>
                <w:rFonts w:ascii="Arial" w:cs="Arial" w:eastAsia="Arial" w:hAnsi="Arial"/>
                <w:sz w:val="22"/>
                <w:szCs w:val="22"/>
                <w:color w:val="auto"/>
              </w:rPr>
              <w:t>Product and service margin (Non-GAAP)</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37.7%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61.5%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64.0%</w:t>
            </w:r>
          </w:p>
        </w:tc>
        <w:tc>
          <w:tcPr>
            <w:tcW w:w="0" w:type="dxa"/>
            <w:vAlign w:val="bottom"/>
          </w:tcPr>
          <w:p>
            <w:pPr>
              <w:spacing w:after="0"/>
              <w:rPr>
                <w:sz w:val="1"/>
                <w:szCs w:val="1"/>
                <w:color w:val="auto"/>
              </w:rPr>
            </w:pPr>
          </w:p>
        </w:tc>
      </w:tr>
      <w:tr>
        <w:trPr>
          <w:trHeight w:val="810"/>
        </w:trPr>
        <w:tc>
          <w:tcPr>
            <w:tcW w:w="10220" w:type="dxa"/>
            <w:vAlign w:val="bottom"/>
            <w:gridSpan w:val="11"/>
          </w:tcPr>
          <w:p>
            <w:pPr>
              <w:ind w:left="1020"/>
              <w:spacing w:after="0"/>
              <w:rPr>
                <w:sz w:val="20"/>
                <w:szCs w:val="20"/>
                <w:color w:val="auto"/>
              </w:rPr>
            </w:pPr>
            <w:r>
              <w:rPr>
                <w:rFonts w:ascii="Arial" w:cs="Arial" w:eastAsia="Arial" w:hAnsi="Arial"/>
                <w:sz w:val="22"/>
                <w:szCs w:val="22"/>
                <w:b w:val="1"/>
                <w:bCs w:val="1"/>
                <w:color w:val="auto"/>
                <w:w w:val="99"/>
              </w:rPr>
              <w:t>ITEMIZED RECONCILIATION BETWEEN GAAP AND NON-GAAP OPERATING EXPENSES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5220" w:type="dxa"/>
            <w:vAlign w:val="bottom"/>
          </w:tcPr>
          <w:p>
            <w:pPr>
              <w:spacing w:after="0"/>
              <w:rPr>
                <w:sz w:val="24"/>
                <w:szCs w:val="24"/>
                <w:color w:val="auto"/>
              </w:rPr>
            </w:pPr>
          </w:p>
        </w:tc>
        <w:tc>
          <w:tcPr>
            <w:tcW w:w="3040" w:type="dxa"/>
            <w:vAlign w:val="bottom"/>
            <w:gridSpan w:val="6"/>
          </w:tcPr>
          <w:p>
            <w:pPr>
              <w:ind w:left="80"/>
              <w:spacing w:after="0"/>
              <w:rPr>
                <w:sz w:val="20"/>
                <w:szCs w:val="20"/>
                <w:color w:val="auto"/>
              </w:rPr>
            </w:pPr>
            <w:r>
              <w:rPr>
                <w:rFonts w:ascii="Arial" w:cs="Arial" w:eastAsia="Arial" w:hAnsi="Arial"/>
                <w:sz w:val="22"/>
                <w:szCs w:val="22"/>
                <w:b w:val="1"/>
                <w:bCs w:val="1"/>
                <w:color w:val="auto"/>
                <w:w w:val="94"/>
              </w:rPr>
              <w:t>Three Months Ended June 30,</w:t>
            </w:r>
          </w:p>
        </w:tc>
        <w:tc>
          <w:tcPr>
            <w:tcW w:w="180" w:type="dxa"/>
            <w:vAlign w:val="bottom"/>
          </w:tcPr>
          <w:p>
            <w:pPr>
              <w:spacing w:after="0"/>
              <w:rPr>
                <w:sz w:val="24"/>
                <w:szCs w:val="24"/>
                <w:color w:val="auto"/>
              </w:rPr>
            </w:pPr>
          </w:p>
        </w:tc>
        <w:tc>
          <w:tcPr>
            <w:tcW w:w="2780" w:type="dxa"/>
            <w:vAlign w:val="bottom"/>
            <w:gridSpan w:val="4"/>
          </w:tcPr>
          <w:p>
            <w:pPr>
              <w:jc w:val="right"/>
              <w:ind w:right="112"/>
              <w:spacing w:after="0"/>
              <w:rPr>
                <w:sz w:val="20"/>
                <w:szCs w:val="20"/>
                <w:color w:val="auto"/>
              </w:rPr>
            </w:pPr>
            <w:r>
              <w:rPr>
                <w:rFonts w:ascii="Arial" w:cs="Arial" w:eastAsia="Arial" w:hAnsi="Arial"/>
                <w:sz w:val="22"/>
                <w:szCs w:val="22"/>
                <w:b w:val="1"/>
                <w:bCs w:val="1"/>
                <w:color w:val="auto"/>
                <w:w w:val="89"/>
              </w:rPr>
              <w:t>Six Months Ended June 30,</w:t>
            </w:r>
          </w:p>
        </w:tc>
        <w:tc>
          <w:tcPr>
            <w:tcW w:w="0" w:type="dxa"/>
            <w:vAlign w:val="bottom"/>
          </w:tcPr>
          <w:p>
            <w:pPr>
              <w:spacing w:after="0"/>
              <w:rPr>
                <w:sz w:val="1"/>
                <w:szCs w:val="1"/>
                <w:color w:val="auto"/>
              </w:rPr>
            </w:pPr>
          </w:p>
        </w:tc>
      </w:tr>
      <w:tr>
        <w:trPr>
          <w:trHeight w:val="265"/>
        </w:trPr>
        <w:tc>
          <w:tcPr>
            <w:tcW w:w="5220" w:type="dxa"/>
            <w:vAlign w:val="bottom"/>
            <w:vMerge w:val="restart"/>
          </w:tcPr>
          <w:p>
            <w:pPr>
              <w:spacing w:after="0"/>
              <w:rPr>
                <w:sz w:val="20"/>
                <w:szCs w:val="20"/>
                <w:color w:val="auto"/>
              </w:rPr>
            </w:pPr>
            <w:r>
              <w:rPr>
                <w:rFonts w:ascii="Arial" w:cs="Arial" w:eastAsia="Arial" w:hAnsi="Arial"/>
                <w:sz w:val="22"/>
                <w:szCs w:val="22"/>
                <w:color w:val="auto"/>
              </w:rPr>
              <w:t>Operating expenses (GAAP)</w:t>
            </w: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2022</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2021</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top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w w:val="89"/>
              </w:rPr>
              <w:t>2021</w:t>
            </w:r>
          </w:p>
        </w:tc>
        <w:tc>
          <w:tcPr>
            <w:tcW w:w="0" w:type="dxa"/>
            <w:vAlign w:val="bottom"/>
          </w:tcPr>
          <w:p>
            <w:pPr>
              <w:spacing w:after="0"/>
              <w:rPr>
                <w:sz w:val="1"/>
                <w:szCs w:val="1"/>
                <w:color w:val="auto"/>
              </w:rPr>
            </w:pPr>
          </w:p>
        </w:tc>
      </w:tr>
      <w:tr>
        <w:trPr>
          <w:trHeight w:val="256"/>
        </w:trPr>
        <w:tc>
          <w:tcPr>
            <w:tcW w:w="5220" w:type="dxa"/>
            <w:vAlign w:val="bottom"/>
            <w:vMerge w:val="continue"/>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42,990</w:t>
            </w:r>
          </w:p>
        </w:tc>
        <w:tc>
          <w:tcPr>
            <w:tcW w:w="12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33,689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82,730</w:t>
            </w:r>
          </w:p>
        </w:tc>
        <w:tc>
          <w:tcPr>
            <w:tcW w:w="100" w:type="dxa"/>
            <w:vAlign w:val="bottom"/>
          </w:tcPr>
          <w:p>
            <w:pPr>
              <w:spacing w:after="0"/>
              <w:rPr>
                <w:sz w:val="22"/>
                <w:szCs w:val="22"/>
                <w:color w:val="auto"/>
              </w:rPr>
            </w:pPr>
          </w:p>
        </w:tc>
        <w:tc>
          <w:tcPr>
            <w:tcW w:w="420" w:type="dxa"/>
            <w:vAlign w:val="bottom"/>
          </w:tcPr>
          <w:p>
            <w:pPr>
              <w:jc w:val="right"/>
              <w:ind w:right="19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ind w:right="92"/>
              <w:spacing w:after="0"/>
              <w:rPr>
                <w:sz w:val="20"/>
                <w:szCs w:val="20"/>
                <w:color w:val="auto"/>
              </w:rPr>
            </w:pPr>
            <w:r>
              <w:rPr>
                <w:rFonts w:ascii="Arial" w:cs="Arial" w:eastAsia="Arial" w:hAnsi="Arial"/>
                <w:sz w:val="22"/>
                <w:szCs w:val="22"/>
                <w:color w:val="auto"/>
              </w:rPr>
              <w:t>72,050</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Stock-based compensation expense (f)</w:t>
            </w:r>
          </w:p>
        </w:tc>
        <w:tc>
          <w:tcPr>
            <w:tcW w:w="2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(4,499)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(3,613)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(8,400)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(7,192)</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Depreciation and amortization (f)</w:t>
            </w:r>
          </w:p>
        </w:tc>
        <w:tc>
          <w:tcPr>
            <w:tcW w:w="2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(877)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(707)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(1,565)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(1,404)</w:t>
            </w:r>
          </w:p>
        </w:tc>
        <w:tc>
          <w:tcPr>
            <w:tcW w:w="0" w:type="dxa"/>
            <w:vAlign w:val="bottom"/>
          </w:tcPr>
          <w:p>
            <w:pPr>
              <w:spacing w:after="0"/>
              <w:rPr>
                <w:sz w:val="1"/>
                <w:szCs w:val="1"/>
                <w:color w:val="auto"/>
              </w:rPr>
            </w:pPr>
          </w:p>
        </w:tc>
      </w:tr>
      <w:tr>
        <w:trPr>
          <w:trHeight w:val="274"/>
        </w:trPr>
        <w:tc>
          <w:tcPr>
            <w:tcW w:w="5220" w:type="dxa"/>
            <w:vAlign w:val="bottom"/>
          </w:tcPr>
          <w:p>
            <w:pPr>
              <w:spacing w:after="0"/>
              <w:rPr>
                <w:sz w:val="20"/>
                <w:szCs w:val="20"/>
                <w:color w:val="auto"/>
              </w:rPr>
            </w:pPr>
            <w:r>
              <w:rPr>
                <w:rFonts w:ascii="Arial" w:cs="Arial" w:eastAsia="Arial" w:hAnsi="Arial"/>
                <w:sz w:val="22"/>
                <w:szCs w:val="22"/>
                <w:color w:val="auto"/>
              </w:rPr>
              <w:t>Impairment of intangible (c)</w:t>
            </w:r>
          </w:p>
        </w:tc>
        <w:tc>
          <w:tcPr>
            <w:tcW w:w="2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(3,526)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(3,526)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8"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20" w:type="dxa"/>
            <w:vAlign w:val="bottom"/>
          </w:tcPr>
          <w:p>
            <w:pPr>
              <w:spacing w:after="0"/>
              <w:rPr>
                <w:sz w:val="20"/>
                <w:szCs w:val="20"/>
                <w:color w:val="auto"/>
              </w:rPr>
            </w:pPr>
            <w:r>
              <w:rPr>
                <w:rFonts w:ascii="Arial" w:cs="Arial" w:eastAsia="Arial" w:hAnsi="Arial"/>
                <w:sz w:val="22"/>
                <w:szCs w:val="22"/>
                <w:color w:val="auto"/>
              </w:rPr>
              <w:t>Loss on disposal of property and equipment (f)</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(15)</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w:t>
            </w:r>
          </w:p>
        </w:tc>
      </w:tr>
      <w:tr>
        <w:trPr>
          <w:trHeight w:val="267"/>
        </w:trPr>
        <w:tc>
          <w:tcPr>
            <w:tcW w:w="5220" w:type="dxa"/>
            <w:vAlign w:val="bottom"/>
          </w:tcPr>
          <w:p>
            <w:pPr>
              <w:spacing w:after="0"/>
              <w:rPr>
                <w:sz w:val="20"/>
                <w:szCs w:val="20"/>
                <w:color w:val="auto"/>
              </w:rPr>
            </w:pPr>
            <w:r>
              <w:rPr>
                <w:rFonts w:ascii="Arial" w:cs="Arial" w:eastAsia="Arial" w:hAnsi="Arial"/>
                <w:sz w:val="22"/>
                <w:szCs w:val="22"/>
                <w:color w:val="auto"/>
              </w:rPr>
              <w:t>Operating expenses (Non-GAAP)</w:t>
            </w: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34,082</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29,368</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69,224</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63,453</w:t>
            </w:r>
          </w:p>
        </w:tc>
      </w:tr>
      <w:tr>
        <w:trPr>
          <w:trHeight w:val="20"/>
        </w:trPr>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LOSS FROM OPERATIONS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220" w:type="dxa"/>
            <w:vAlign w:val="bottom"/>
          </w:tcPr>
          <w:p>
            <w:pPr>
              <w:spacing w:after="0"/>
              <w:rPr>
                <w:sz w:val="24"/>
                <w:szCs w:val="24"/>
                <w:color w:val="auto"/>
              </w:rPr>
            </w:pPr>
          </w:p>
        </w:tc>
        <w:tc>
          <w:tcPr>
            <w:tcW w:w="3040" w:type="dxa"/>
            <w:vAlign w:val="bottom"/>
            <w:gridSpan w:val="6"/>
          </w:tcPr>
          <w:p>
            <w:pPr>
              <w:ind w:left="80"/>
              <w:spacing w:after="0"/>
              <w:rPr>
                <w:sz w:val="20"/>
                <w:szCs w:val="20"/>
                <w:color w:val="auto"/>
              </w:rPr>
            </w:pPr>
            <w:r>
              <w:rPr>
                <w:rFonts w:ascii="Arial" w:cs="Arial" w:eastAsia="Arial" w:hAnsi="Arial"/>
                <w:sz w:val="22"/>
                <w:szCs w:val="22"/>
                <w:b w:val="1"/>
                <w:bCs w:val="1"/>
                <w:color w:val="auto"/>
                <w:w w:val="94"/>
              </w:rPr>
              <w:t>Three Months Ended June 30,</w:t>
            </w:r>
          </w:p>
        </w:tc>
        <w:tc>
          <w:tcPr>
            <w:tcW w:w="180" w:type="dxa"/>
            <w:vAlign w:val="bottom"/>
          </w:tcPr>
          <w:p>
            <w:pPr>
              <w:spacing w:after="0"/>
              <w:rPr>
                <w:sz w:val="24"/>
                <w:szCs w:val="24"/>
                <w:color w:val="auto"/>
              </w:rPr>
            </w:pPr>
          </w:p>
        </w:tc>
        <w:tc>
          <w:tcPr>
            <w:tcW w:w="2780" w:type="dxa"/>
            <w:vAlign w:val="bottom"/>
            <w:gridSpan w:val="4"/>
          </w:tcPr>
          <w:p>
            <w:pPr>
              <w:jc w:val="right"/>
              <w:ind w:right="112"/>
              <w:spacing w:after="0"/>
              <w:rPr>
                <w:sz w:val="20"/>
                <w:szCs w:val="20"/>
                <w:color w:val="auto"/>
              </w:rPr>
            </w:pPr>
            <w:r>
              <w:rPr>
                <w:rFonts w:ascii="Arial" w:cs="Arial" w:eastAsia="Arial" w:hAnsi="Arial"/>
                <w:sz w:val="22"/>
                <w:szCs w:val="22"/>
                <w:b w:val="1"/>
                <w:bCs w:val="1"/>
                <w:color w:val="auto"/>
                <w:w w:val="89"/>
              </w:rPr>
              <w:t>Six Months Ended June 30,</w:t>
            </w:r>
          </w:p>
        </w:tc>
        <w:tc>
          <w:tcPr>
            <w:tcW w:w="0" w:type="dxa"/>
            <w:vAlign w:val="bottom"/>
          </w:tcPr>
          <w:p>
            <w:pPr>
              <w:spacing w:after="0"/>
              <w:rPr>
                <w:sz w:val="1"/>
                <w:szCs w:val="1"/>
                <w:color w:val="auto"/>
              </w:rPr>
            </w:pPr>
          </w:p>
        </w:tc>
      </w:tr>
      <w:tr>
        <w:trPr>
          <w:trHeight w:val="265"/>
        </w:trPr>
        <w:tc>
          <w:tcPr>
            <w:tcW w:w="5220" w:type="dxa"/>
            <w:vAlign w:val="bottom"/>
            <w:vMerge w:val="restart"/>
          </w:tcPr>
          <w:p>
            <w:pPr>
              <w:spacing w:after="0"/>
              <w:rPr>
                <w:sz w:val="20"/>
                <w:szCs w:val="20"/>
                <w:color w:val="auto"/>
              </w:rPr>
            </w:pPr>
            <w:r>
              <w:rPr>
                <w:rFonts w:ascii="Arial" w:cs="Arial" w:eastAsia="Arial" w:hAnsi="Arial"/>
                <w:sz w:val="22"/>
                <w:szCs w:val="22"/>
                <w:color w:val="auto"/>
              </w:rPr>
              <w:t>Loss from operations (GAAP)</w:t>
            </w: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2022</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2021</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2021</w:t>
            </w:r>
          </w:p>
        </w:tc>
        <w:tc>
          <w:tcPr>
            <w:tcW w:w="0" w:type="dxa"/>
            <w:vAlign w:val="bottom"/>
          </w:tcPr>
          <w:p>
            <w:pPr>
              <w:spacing w:after="0"/>
              <w:rPr>
                <w:sz w:val="1"/>
                <w:szCs w:val="1"/>
                <w:color w:val="auto"/>
              </w:rPr>
            </w:pPr>
          </w:p>
        </w:tc>
      </w:tr>
      <w:tr>
        <w:trPr>
          <w:trHeight w:val="256"/>
        </w:trPr>
        <w:tc>
          <w:tcPr>
            <w:tcW w:w="5220" w:type="dxa"/>
            <w:vAlign w:val="bottom"/>
            <w:vMerge w:val="continue"/>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(38,563)</w:t>
            </w:r>
          </w:p>
        </w:tc>
        <w:tc>
          <w:tcPr>
            <w:tcW w:w="12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(17,268)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(66,066)</w:t>
            </w:r>
          </w:p>
        </w:tc>
        <w:tc>
          <w:tcPr>
            <w:tcW w:w="10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(36,588)</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8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4,663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3,741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8,705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7,418</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8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2,961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2,982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5,928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5,965</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Depreciation and amortization (f)</w:t>
            </w:r>
          </w:p>
        </w:tc>
        <w:tc>
          <w:tcPr>
            <w:tcW w:w="28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875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917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1,878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1,851</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22"/>
                <w:szCs w:val="22"/>
                <w:color w:val="auto"/>
              </w:rPr>
              <w:t>Impairment of intangible (c)</w:t>
            </w:r>
          </w:p>
        </w:tc>
        <w:tc>
          <w:tcPr>
            <w:tcW w:w="28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3,526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3,526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5220" w:type="dxa"/>
            <w:vAlign w:val="bottom"/>
          </w:tcPr>
          <w:p>
            <w:pPr>
              <w:spacing w:after="0"/>
              <w:rPr>
                <w:sz w:val="20"/>
                <w:szCs w:val="20"/>
                <w:color w:val="auto"/>
              </w:rPr>
            </w:pPr>
            <w:r>
              <w:rPr>
                <w:rFonts w:ascii="Arial" w:cs="Arial" w:eastAsia="Arial" w:hAnsi="Arial"/>
                <w:sz w:val="22"/>
                <w:szCs w:val="22"/>
                <w:color w:val="auto"/>
              </w:rPr>
              <w:t>Loss on disposal of property and equipment (f)</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6</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15</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67"/>
        </w:trPr>
        <w:tc>
          <w:tcPr>
            <w:tcW w:w="5220" w:type="dxa"/>
            <w:vAlign w:val="bottom"/>
          </w:tcPr>
          <w:p>
            <w:pPr>
              <w:spacing w:after="0"/>
              <w:rPr>
                <w:sz w:val="20"/>
                <w:szCs w:val="20"/>
                <w:color w:val="auto"/>
              </w:rPr>
            </w:pPr>
            <w:r>
              <w:rPr>
                <w:rFonts w:ascii="Arial" w:cs="Arial" w:eastAsia="Arial" w:hAnsi="Arial"/>
                <w:sz w:val="22"/>
                <w:szCs w:val="22"/>
                <w:color w:val="auto"/>
              </w:rPr>
              <w:t>Loss from operations (Non-GAAP)</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(26,532)</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(9,627)</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(46,014)</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(21,353)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300" w:hanging="299"/>
        <w:spacing w:after="0"/>
        <w:tabs>
          <w:tab w:leader="none" w:pos="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Represents amortization of developed technology in connection with the DVS and InstruNor acquisitions</w:t>
      </w:r>
    </w:p>
    <w:p>
      <w:pPr>
        <w:spacing w:after="0" w:line="21" w:lineRule="exact"/>
        <w:rPr>
          <w:rFonts w:ascii="Arial" w:cs="Arial" w:eastAsia="Arial" w:hAnsi="Arial"/>
          <w:sz w:val="22"/>
          <w:szCs w:val="22"/>
          <w:color w:val="auto"/>
        </w:rPr>
      </w:pPr>
    </w:p>
    <w:p>
      <w:pPr>
        <w:ind w:left="300" w:hanging="299"/>
        <w:spacing w:after="0"/>
        <w:tabs>
          <w:tab w:leader="none" w:pos="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Represents interest expense, primarily on convertible debt and the term loan</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Represents impairment of intangible no longer used in our product lines</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Represents the tax impact on the purchase of intangible assets in connection with the DVS acquisition</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Represents expense associated with cost of product revenue</w:t>
      </w:r>
    </w:p>
    <w:p>
      <w:pPr>
        <w:spacing w:after="0" w:line="17" w:lineRule="exact"/>
        <w:rPr>
          <w:rFonts w:ascii="Arial" w:cs="Arial" w:eastAsia="Arial" w:hAnsi="Arial"/>
          <w:sz w:val="22"/>
          <w:szCs w:val="22"/>
          <w:color w:val="auto"/>
        </w:rPr>
      </w:pPr>
    </w:p>
    <w:p>
      <w:pPr>
        <w:ind w:left="280" w:hanging="279"/>
        <w:spacing w:after="0"/>
        <w:tabs>
          <w:tab w:leader="none" w:pos="280" w:val="left"/>
        </w:tabs>
        <w:numPr>
          <w:ilvl w:val="0"/>
          <w:numId w:val="3"/>
        </w:numPr>
        <w:rPr>
          <w:rFonts w:ascii="Arial" w:cs="Arial" w:eastAsia="Arial" w:hAnsi="Arial"/>
          <w:sz w:val="21"/>
          <w:szCs w:val="21"/>
          <w:color w:val="auto"/>
        </w:rPr>
      </w:pPr>
      <w:r>
        <w:rPr>
          <w:rFonts w:ascii="Arial" w:cs="Arial" w:eastAsia="Arial" w:hAnsi="Arial"/>
          <w:sz w:val="21"/>
          <w:szCs w:val="21"/>
          <w:color w:val="auto"/>
        </w:rPr>
        <w:t>Represents expense associated with research and development, and selling, general and administrative activities</w:t>
      </w:r>
    </w:p>
    <w:sectPr>
      <w:pgSz w:w="11900" w:h="16838" w:orient="portrait"/>
      <w:cols w:equalWidth="0" w:num="1">
        <w:col w:w="11220"/>
      </w:cols>
      <w:pgMar w:left="34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2022-08-09T02:55:08Z</dcterms:created>
  <dcterms:modified xsi:type="dcterms:W3CDTF">2022-08-09T02:55:08Z</dcterms:modified>
</cp:coreProperties>
</file>