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149860</wp:posOffset>
            </wp:positionV>
            <wp:extent cx="23717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3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168275</wp:posOffset>
            </wp:positionV>
            <wp:extent cx="23717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173990</wp:posOffset>
            </wp:positionV>
            <wp:extent cx="23717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Standard BioTools Inc.</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171450</wp:posOffset>
            </wp:positionV>
            <wp:extent cx="2371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sectPr>
      </w:pPr>
    </w:p>
    <w:p>
      <w:pPr>
        <w:spacing w:after="0" w:line="200" w:lineRule="exact"/>
        <w:rPr>
          <w:sz w:val="24"/>
          <w:szCs w:val="24"/>
          <w:color w:val="auto"/>
        </w:rPr>
      </w:pPr>
    </w:p>
    <w:p>
      <w:pPr>
        <w:spacing w:after="0" w:line="290"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001-34180</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77-0513190</w:t>
      </w:r>
    </w:p>
    <w:p>
      <w:pPr>
        <w:spacing w:after="0" w:line="31"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0" w:lineRule="exact"/>
        <w:rPr>
          <w:sz w:val="24"/>
          <w:szCs w:val="24"/>
          <w:color w:val="auto"/>
        </w:rPr>
      </w:pPr>
    </w:p>
    <w:p>
      <w:pPr>
        <w:sectPr>
          <w:pgSz w:w="11900" w:h="16838" w:orient="portrait"/>
          <w:cols w:equalWidth="0" w:num="3">
            <w:col w:w="3920" w:space="720"/>
            <w:col w:w="2560" w:space="720"/>
            <w:col w:w="3320"/>
          </w:cols>
          <w:pgMar w:left="320" w:top="1110" w:right="339"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 Tower Place, Suite 2000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 and zip code)</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266-6000</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178435</wp:posOffset>
            </wp:positionV>
            <wp:extent cx="2371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type w:val="continuous"/>
        </w:sectPr>
      </w:pPr>
    </w:p>
    <w:p>
      <w:pPr>
        <w:spacing w:after="0" w:line="200" w:lineRule="exact"/>
        <w:rPr>
          <w:sz w:val="24"/>
          <w:szCs w:val="24"/>
          <w:color w:val="auto"/>
        </w:rPr>
      </w:pPr>
    </w:p>
    <w:p>
      <w:pPr>
        <w:spacing w:after="0" w:line="252" w:lineRule="exact"/>
        <w:rPr>
          <w:sz w:val="24"/>
          <w:szCs w:val="24"/>
          <w:color w:val="auto"/>
        </w:rPr>
      </w:pPr>
    </w:p>
    <w:p>
      <w:pPr>
        <w:ind w:right="70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6" w:lineRule="exact"/>
        <w:rPr>
          <w:sz w:val="24"/>
          <w:szCs w:val="24"/>
          <w:color w:val="auto"/>
        </w:rPr>
      </w:pPr>
    </w:p>
    <w:p>
      <w:pPr>
        <w:ind w:left="720" w:hanging="456"/>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4" w:lineRule="exact"/>
        <w:rPr>
          <w:rFonts w:ascii="MS PGothic" w:cs="MS PGothic" w:eastAsia="MS PGothic" w:hAnsi="MS PGothic"/>
          <w:sz w:val="18"/>
          <w:szCs w:val="18"/>
          <w:color w:val="auto"/>
        </w:rPr>
      </w:pPr>
    </w:p>
    <w:p>
      <w:pPr>
        <w:ind w:left="700" w:hanging="436"/>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700" w:hanging="436"/>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700" w:hanging="436"/>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77"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1"/>
                <w:szCs w:val="21"/>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100" w:type="dxa"/>
            <w:vAlign w:val="bottom"/>
          </w:tcPr>
          <w:p>
            <w:pPr>
              <w:spacing w:after="0"/>
              <w:rPr>
                <w:sz w:val="21"/>
                <w:szCs w:val="21"/>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LAB</w:t>
            </w:r>
          </w:p>
        </w:tc>
        <w:tc>
          <w:tcPr>
            <w:tcW w:w="100" w:type="dxa"/>
            <w:vAlign w:val="bottom"/>
          </w:tcPr>
          <w:p>
            <w:pPr>
              <w:spacing w:after="0"/>
              <w:rPr>
                <w:sz w:val="20"/>
                <w:szCs w:val="20"/>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2200"/>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603250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121" w:lineRule="exact"/>
        <w:rPr>
          <w:sz w:val="20"/>
          <w:szCs w:val="20"/>
          <w:color w:val="auto"/>
        </w:rPr>
      </w:pPr>
    </w:p>
    <w:p>
      <w:pPr>
        <w:ind w:right="160" w:firstLine="449"/>
        <w:spacing w:after="0" w:line="281" w:lineRule="auto"/>
        <w:rPr>
          <w:sz w:val="20"/>
          <w:szCs w:val="20"/>
          <w:color w:val="auto"/>
        </w:rPr>
      </w:pPr>
      <w:r>
        <w:rPr>
          <w:rFonts w:ascii="Times New Roman" w:cs="Times New Roman" w:eastAsia="Times New Roman" w:hAnsi="Times New Roman"/>
          <w:sz w:val="18"/>
          <w:szCs w:val="18"/>
          <w:color w:val="auto"/>
        </w:rPr>
        <w:t>On October 30, 2024, Standard BioTools Inc. issued a press release which included information with respect to certain financial results for the three and nine months ended September 30, 2024. The press release is attached hereto as Exhibit 99.1.</w:t>
      </w:r>
    </w:p>
    <w:p>
      <w:pPr>
        <w:spacing w:after="0" w:line="163" w:lineRule="exact"/>
        <w:rPr>
          <w:sz w:val="20"/>
          <w:szCs w:val="20"/>
          <w:color w:val="auto"/>
        </w:rPr>
      </w:pPr>
    </w:p>
    <w:p>
      <w:pPr>
        <w:ind w:right="300" w:firstLine="449"/>
        <w:spacing w:after="0" w:line="265" w:lineRule="auto"/>
        <w:rPr>
          <w:sz w:val="20"/>
          <w:szCs w:val="20"/>
          <w:color w:val="auto"/>
        </w:rPr>
      </w:pPr>
      <w:r>
        <w:rPr>
          <w:rFonts w:ascii="Times New Roman" w:cs="Times New Roman" w:eastAsia="Times New Roman" w:hAnsi="Times New Roman"/>
          <w:sz w:val="18"/>
          <w:szCs w:val="18"/>
          <w:color w:val="auto"/>
        </w:rPr>
        <w:t>The information set forth in the press release, except for the information set forth under the heading “FY 2024 Revenue Outlook” and under the heading “About Standard BioTools Inc.,” together with the forward-looking statement disclaimer, is incorporated by reference into this Item 2.02 of this Current Report on Form 8-K.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96" w:lineRule="exact"/>
        <w:rPr>
          <w:sz w:val="20"/>
          <w:szCs w:val="20"/>
          <w:color w:val="auto"/>
        </w:rPr>
      </w:pPr>
    </w:p>
    <w:p>
      <w:pPr>
        <w:ind w:right="160" w:firstLine="449"/>
        <w:spacing w:after="0" w:line="281" w:lineRule="auto"/>
        <w:rPr>
          <w:sz w:val="20"/>
          <w:szCs w:val="20"/>
          <w:color w:val="auto"/>
        </w:rPr>
      </w:pPr>
      <w:r>
        <w:rPr>
          <w:rFonts w:ascii="Times New Roman" w:cs="Times New Roman" w:eastAsia="Times New Roman" w:hAnsi="Times New Roman"/>
          <w:sz w:val="18"/>
          <w:szCs w:val="18"/>
          <w:color w:val="auto"/>
        </w:rPr>
        <w:t>The information set forth under the heading “Updated FY 2024 Revenue Outlook” and under the heading “About Standard BioTools Inc.,” together with the forward-looking statement disclaimer, is incorporated by reference into this Item 7.01 of this Current Report on Form 8-K.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 Exhibits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980" w:type="dxa"/>
            <w:vAlign w:val="bottom"/>
            <w:tcBorders>
              <w:bottom w:val="single" w:sz="8" w:color="auto"/>
            </w:tcBorders>
            <w:gridSpan w:val="2"/>
          </w:tcPr>
          <w:p>
            <w:pPr>
              <w:ind w:left="4560"/>
              <w:spacing w:after="0"/>
              <w:rPr>
                <w:sz w:val="20"/>
                <w:szCs w:val="20"/>
                <w:color w:val="auto"/>
              </w:rPr>
            </w:pPr>
            <w:r>
              <w:rPr>
                <w:rFonts w:ascii="Times New Roman" w:cs="Times New Roman" w:eastAsia="Times New Roman" w:hAnsi="Times New Roman"/>
                <w:sz w:val="18"/>
                <w:szCs w:val="18"/>
                <w:color w:val="auto"/>
              </w:rPr>
              <w:t>Description</w:t>
            </w:r>
          </w:p>
        </w:tc>
      </w:tr>
      <w:tr>
        <w:trPr>
          <w:trHeight w:val="202"/>
        </w:trPr>
        <w:tc>
          <w:tcPr>
            <w:tcW w:w="1140" w:type="dxa"/>
            <w:vAlign w:val="bottom"/>
          </w:tcPr>
          <w:p>
            <w:pPr>
              <w:jc w:val="right"/>
              <w:ind w:right="69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FF"/>
              </w:rPr>
              <w:t>Press release issued by Standard BioTools Inc., dated October 30, 2024</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40" w:type="dxa"/>
            <w:vAlign w:val="bottom"/>
            <w:tcBorders>
              <w:right w:val="single" w:sz="8" w:color="0000EE"/>
            </w:tcBorders>
            <w:shd w:val="clear" w:color="auto" w:fill="0000FF"/>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77"/>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54" w:lineRule="exact"/>
        <w:rPr>
          <w:sz w:val="20"/>
          <w:szCs w:val="20"/>
          <w:color w:val="auto"/>
        </w:rPr>
      </w:pPr>
    </w:p>
    <w:p>
      <w:pPr>
        <w:ind w:right="140" w:firstLine="449"/>
        <w:spacing w:after="0" w:line="260" w:lineRule="auto"/>
        <w:rPr>
          <w:sz w:val="20"/>
          <w:szCs w:val="20"/>
          <w:color w:val="auto"/>
        </w:rPr>
      </w:pPr>
      <w:r>
        <w:rPr>
          <w:rFonts w:ascii="Times New Roman" w:cs="Times New Roman" w:eastAsia="Times New Roman" w:hAnsi="Times New Roman"/>
          <w:sz w:val="18"/>
          <w:szCs w:val="18"/>
          <w:color w:val="auto"/>
        </w:rPr>
        <w:t>The information in Item 2.02 and Item 7.01 of this Current Report on Form 8-K, including Exhibit 99.1 attached hereto, is being furnished and shall not be deemed “filed” for the purposes of Section 18 of the Securities Exchange Act of 1934, as amended (“Exchange Act”), or otherwise subject to the liabilities of that Section and shall not be incorporated by reference into any registration statement or other document pursuant to the Securities Act of 1933, as amended, or the Exchange Act, except as otherwise expressly stated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885190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6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ind w:left="6420"/>
              <w:spacing w:after="0"/>
              <w:rPr>
                <w:sz w:val="20"/>
                <w:szCs w:val="20"/>
                <w:color w:val="auto"/>
              </w:rPr>
            </w:pPr>
            <w:r>
              <w:rPr>
                <w:rFonts w:ascii="Times New Roman" w:cs="Times New Roman" w:eastAsia="Times New Roman" w:hAnsi="Times New Roman"/>
                <w:sz w:val="18"/>
                <w:szCs w:val="18"/>
                <w:color w:val="auto"/>
              </w:rPr>
              <w:t>Date:</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October 30, 2024</w:t>
            </w:r>
          </w:p>
        </w:tc>
      </w:tr>
      <w:tr>
        <w:trPr>
          <w:trHeight w:val="688"/>
        </w:trPr>
        <w:tc>
          <w:tcPr>
            <w:tcW w:w="11240" w:type="dxa"/>
            <w:vAlign w:val="bottom"/>
            <w:gridSpan w:val="2"/>
          </w:tcPr>
          <w:p>
            <w:pPr>
              <w:ind w:left="6440"/>
              <w:spacing w:after="0"/>
              <w:rPr>
                <w:sz w:val="20"/>
                <w:szCs w:val="20"/>
                <w:color w:val="auto"/>
              </w:rPr>
            </w:pPr>
            <w:r>
              <w:rPr>
                <w:rFonts w:ascii="Times New Roman" w:cs="Times New Roman" w:eastAsia="Times New Roman" w:hAnsi="Times New Roman"/>
                <w:sz w:val="18"/>
                <w:szCs w:val="18"/>
                <w:b w:val="1"/>
                <w:bCs w:val="1"/>
                <w:color w:val="auto"/>
              </w:rPr>
              <w:t>STANDARD BIOTOOLS INC.</w:t>
            </w:r>
          </w:p>
        </w:tc>
      </w:tr>
      <w:tr>
        <w:trPr>
          <w:trHeight w:val="465"/>
        </w:trPr>
        <w:tc>
          <w:tcPr>
            <w:tcW w:w="7200" w:type="dxa"/>
            <w:vAlign w:val="bottom"/>
          </w:tcPr>
          <w:p>
            <w:pPr>
              <w:ind w:left="644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Hanjoon Alex Kim</w:t>
            </w:r>
          </w:p>
        </w:tc>
      </w:tr>
      <w:tr>
        <w:trPr>
          <w:trHeight w:val="211"/>
        </w:trPr>
        <w:tc>
          <w:tcPr>
            <w:tcW w:w="7200" w:type="dxa"/>
            <w:vAlign w:val="bottom"/>
          </w:tcPr>
          <w:p>
            <w:pPr>
              <w:ind w:left="6440"/>
              <w:spacing w:after="0"/>
              <w:rPr>
                <w:sz w:val="20"/>
                <w:szCs w:val="20"/>
                <w:color w:val="auto"/>
              </w:rPr>
            </w:pPr>
            <w:r>
              <w:rPr>
                <w:rFonts w:ascii="Times New Roman" w:cs="Times New Roman" w:eastAsia="Times New Roman" w:hAnsi="Times New Roman"/>
                <w:sz w:val="18"/>
                <w:szCs w:val="18"/>
                <w:color w:val="auto"/>
              </w:rPr>
              <w:t>Name:</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Hanjoon Alex Kim</w:t>
            </w:r>
          </w:p>
        </w:tc>
      </w:tr>
      <w:tr>
        <w:trPr>
          <w:trHeight w:val="216"/>
        </w:trPr>
        <w:tc>
          <w:tcPr>
            <w:tcW w:w="7200" w:type="dxa"/>
            <w:vAlign w:val="bottom"/>
          </w:tcPr>
          <w:p>
            <w:pPr>
              <w:ind w:left="6440"/>
              <w:spacing w:after="0"/>
              <w:rPr>
                <w:sz w:val="20"/>
                <w:szCs w:val="20"/>
                <w:color w:val="auto"/>
              </w:rPr>
            </w:pPr>
            <w:r>
              <w:rPr>
                <w:rFonts w:ascii="Times New Roman" w:cs="Times New Roman" w:eastAsia="Times New Roman" w:hAnsi="Times New Roman"/>
                <w:sz w:val="18"/>
                <w:szCs w:val="18"/>
                <w:color w:val="auto"/>
              </w:rPr>
              <w:t>Title:</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Operating Officer and Interim Chief Financial</w:t>
            </w:r>
          </w:p>
        </w:tc>
      </w:tr>
      <w:tr>
        <w:trPr>
          <w:trHeight w:val="234"/>
        </w:trPr>
        <w:tc>
          <w:tcPr>
            <w:tcW w:w="7200" w:type="dxa"/>
            <w:vAlign w:val="bottom"/>
          </w:tcPr>
          <w:p>
            <w:pPr>
              <w:spacing w:after="0"/>
              <w:rPr>
                <w:sz w:val="20"/>
                <w:szCs w:val="20"/>
                <w:color w:val="auto"/>
              </w:rPr>
            </w:pP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Officer</w:t>
            </w:r>
          </w:p>
        </w:tc>
      </w:tr>
      <w:tr>
        <w:trPr>
          <w:trHeight w:val="1692"/>
        </w:trPr>
        <w:tc>
          <w:tcPr>
            <w:tcW w:w="720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 w:name="page4"/>
    <w:bookmarkEnd w:id="3"/>
    <w:p>
      <w:pPr>
        <w:ind w:left="1004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Standard BioTools Reports Third Quarter 2024 Financial Results</w:t>
      </w:r>
    </w:p>
    <w:p>
      <w:pPr>
        <w:spacing w:after="0" w:line="200" w:lineRule="exact"/>
        <w:rPr>
          <w:sz w:val="20"/>
          <w:szCs w:val="20"/>
          <w:color w:val="auto"/>
        </w:rPr>
      </w:pPr>
    </w:p>
    <w:p>
      <w:pPr>
        <w:spacing w:after="0" w:line="262" w:lineRule="exact"/>
        <w:rPr>
          <w:sz w:val="20"/>
          <w:szCs w:val="20"/>
          <w:color w:val="auto"/>
        </w:rPr>
      </w:pPr>
    </w:p>
    <w:p>
      <w:pPr>
        <w:ind w:right="600"/>
        <w:spacing w:after="0" w:line="268" w:lineRule="auto"/>
        <w:rPr>
          <w:sz w:val="20"/>
          <w:szCs w:val="20"/>
          <w:color w:val="auto"/>
        </w:rPr>
      </w:pPr>
      <w:r>
        <w:rPr>
          <w:rFonts w:ascii="Times New Roman" w:cs="Times New Roman" w:eastAsia="Times New Roman" w:hAnsi="Times New Roman"/>
          <w:sz w:val="20"/>
          <w:szCs w:val="20"/>
          <w:color w:val="auto"/>
        </w:rPr>
        <w:t>SOUTH SAN FRANCISCO, Calif., October 30, 2024 -- Standard BioTools Inc. (NASDAQ: LAB) (the “Company”) today announced unaudited interim financial results for the third quarter ended September 30, 2024.</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Highlights:</w:t>
      </w:r>
    </w:p>
    <w:p>
      <w:pPr>
        <w:spacing w:after="0" w:line="107" w:lineRule="exact"/>
        <w:rPr>
          <w:sz w:val="20"/>
          <w:szCs w:val="20"/>
          <w:color w:val="auto"/>
        </w:rPr>
      </w:pPr>
    </w:p>
    <w:p>
      <w:pPr>
        <w:ind w:left="1020" w:hanging="368"/>
        <w:spacing w:after="0"/>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Reported third quarter 2024 revenue of $45 million</w:t>
      </w:r>
    </w:p>
    <w:p>
      <w:pPr>
        <w:spacing w:after="0" w:line="107" w:lineRule="exact"/>
        <w:rPr>
          <w:rFonts w:ascii="Times New Roman" w:cs="Times New Roman" w:eastAsia="Times New Roman" w:hAnsi="Times New Roman"/>
          <w:sz w:val="20"/>
          <w:szCs w:val="20"/>
          <w:color w:val="auto"/>
        </w:rPr>
      </w:pPr>
    </w:p>
    <w:p>
      <w:pPr>
        <w:ind w:left="1020" w:right="400" w:hanging="368"/>
        <w:spacing w:after="0" w:line="272" w:lineRule="auto"/>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Ongoing merger cost synergy realization delivered 50% adjusted EBITDA improvement and 35% net loss improvement year-over-year</w:t>
      </w:r>
    </w:p>
    <w:p>
      <w:pPr>
        <w:spacing w:after="0" w:line="45" w:lineRule="exact"/>
        <w:rPr>
          <w:rFonts w:ascii="Times New Roman" w:cs="Times New Roman" w:eastAsia="Times New Roman" w:hAnsi="Times New Roman"/>
          <w:sz w:val="20"/>
          <w:szCs w:val="20"/>
          <w:color w:val="auto"/>
        </w:rPr>
      </w:pPr>
    </w:p>
    <w:p>
      <w:pPr>
        <w:ind w:left="1020" w:right="360" w:hanging="368"/>
        <w:spacing w:after="0" w:line="272" w:lineRule="auto"/>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Operationalized approximately $80 million in merger synergies, expected to be fully realized in 2025, and reinforcing path to adjusted EBITDA break-even in 2026</w:t>
      </w:r>
    </w:p>
    <w:p>
      <w:pPr>
        <w:spacing w:after="0" w:line="45" w:lineRule="exact"/>
        <w:rPr>
          <w:rFonts w:ascii="Times New Roman" w:cs="Times New Roman" w:eastAsia="Times New Roman" w:hAnsi="Times New Roman"/>
          <w:sz w:val="20"/>
          <w:szCs w:val="20"/>
          <w:color w:val="auto"/>
        </w:rPr>
      </w:pPr>
    </w:p>
    <w:p>
      <w:pPr>
        <w:ind w:left="1020" w:right="1000" w:hanging="368"/>
        <w:spacing w:after="0" w:line="272" w:lineRule="auto"/>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Balance sheet as of September 30, 2024, includes $368 million cash, cash equivalents, restricted cash and short-term investments</w:t>
      </w:r>
    </w:p>
    <w:p>
      <w:pPr>
        <w:spacing w:after="0" w:line="49"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“Powered by Standard BioTools Business System (SBS), we focused our third quarter efforts on driving commercial execution and enhancing overall operating efficiency. Our team delivered sequential top-line improvement and a significant reduction in spend,” said Michael Egholm, PhD, President and Chief Executive Officer of Standard BioTools. “Last quarter, we announced the acceleration of our anticipated $80 million of merger synergies into 2025, contributing to a 50% improvement in adjusted EBITDA year over year, keeping us on track toward achieving our break-even adjusted EBITDA target in 2026.”</w:t>
      </w:r>
    </w:p>
    <w:p>
      <w:pPr>
        <w:spacing w:after="0" w:line="19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Mr. Egholm added, “Our focus on operational excellence and profitability is positioning us for sustained value creation once macro pressures ease. At the same time, we’re investing in certain growth levers within our leading multi-omics portfolio while actively pursuing strategic M&amp;A to accelerate our mission toward becoming a diversified leader in the life science tools industry."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2024 Selected Unaudited Interim Financial Results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40" w:type="dxa"/>
            <w:vAlign w:val="bottom"/>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58"/>
        </w:trPr>
        <w:tc>
          <w:tcPr>
            <w:tcW w:w="6340" w:type="dxa"/>
            <w:vAlign w:val="bottom"/>
          </w:tcPr>
          <w:p>
            <w:pPr>
              <w:spacing w:after="0"/>
              <w:rPr>
                <w:sz w:val="13"/>
                <w:szCs w:val="13"/>
                <w:color w:val="auto"/>
              </w:rPr>
            </w:pPr>
          </w:p>
        </w:tc>
        <w:tc>
          <w:tcPr>
            <w:tcW w:w="180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tcPr>
          <w:p>
            <w:pPr>
              <w:jc w:val="right"/>
              <w:ind w:right="413"/>
              <w:spacing w:after="0" w:line="157"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gridSpan w:val="2"/>
          </w:tcPr>
          <w:p>
            <w:pPr>
              <w:spacing w:after="0"/>
              <w:rPr>
                <w:sz w:val="13"/>
                <w:szCs w:val="13"/>
                <w:color w:val="auto"/>
              </w:rPr>
            </w:pPr>
          </w:p>
        </w:tc>
      </w:tr>
      <w:tr>
        <w:trPr>
          <w:trHeight w:val="187"/>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(Unaudited, in millions, except percentages)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2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36"/>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0" w:type="dxa"/>
            <w:vAlign w:val="bottom"/>
            <w:tcBorders>
              <w:top w:val="single" w:sz="8" w:color="auto"/>
            </w:tcBorders>
            <w:shd w:val="clear" w:color="auto" w:fill="CFF0FC"/>
          </w:tcPr>
          <w:p>
            <w:pPr>
              <w:jc w:val="right"/>
              <w:ind w:right="161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36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8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51.7 %</w:t>
            </w:r>
          </w:p>
        </w:tc>
        <w:tc>
          <w:tcPr>
            <w:tcW w:w="340" w:type="dxa"/>
            <w:vAlign w:val="bottom"/>
          </w:tcPr>
          <w:p>
            <w:pPr>
              <w:spacing w:after="0"/>
              <w:rPr>
                <w:sz w:val="20"/>
                <w:szCs w:val="20"/>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48.8 %</w:t>
            </w:r>
          </w:p>
        </w:tc>
      </w:tr>
      <w:tr>
        <w:trPr>
          <w:trHeight w:val="238"/>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gross margin</w:t>
            </w:r>
          </w:p>
        </w:tc>
        <w:tc>
          <w:tcPr>
            <w:tcW w:w="18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56.9 %</w:t>
            </w:r>
          </w:p>
        </w:tc>
        <w:tc>
          <w:tcPr>
            <w:tcW w:w="340" w:type="dxa"/>
            <w:vAlign w:val="bottom"/>
          </w:tcPr>
          <w:p>
            <w:pPr>
              <w:spacing w:after="0"/>
              <w:rPr>
                <w:sz w:val="20"/>
                <w:szCs w:val="20"/>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53.2 %</w:t>
            </w:r>
          </w:p>
        </w:tc>
      </w:tr>
      <w:tr>
        <w:trPr>
          <w:trHeight w:val="24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0" w:type="dxa"/>
            <w:vAlign w:val="bottom"/>
          </w:tcPr>
          <w:p>
            <w:pPr>
              <w:jc w:val="right"/>
              <w:ind w:right="161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36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9"/>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1800" w:type="dxa"/>
            <w:vAlign w:val="bottom"/>
            <w:shd w:val="clear" w:color="auto" w:fill="CFF0FC"/>
          </w:tcPr>
          <w:p>
            <w:pPr>
              <w:jc w:val="right"/>
              <w:ind w:right="161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36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800" w:type="dxa"/>
            <w:vAlign w:val="bottom"/>
          </w:tcPr>
          <w:p>
            <w:pPr>
              <w:jc w:val="right"/>
              <w:ind w:right="161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(31.7 )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(142.4 )</w:t>
            </w:r>
          </w:p>
        </w:tc>
        <w:tc>
          <w:tcPr>
            <w:tcW w:w="60" w:type="dxa"/>
            <w:vAlign w:val="bottom"/>
          </w:tcPr>
          <w:p>
            <w:pPr>
              <w:spacing w:after="0"/>
              <w:rPr>
                <w:sz w:val="20"/>
                <w:szCs w:val="20"/>
                <w:color w:val="auto"/>
              </w:rPr>
            </w:pPr>
          </w:p>
        </w:tc>
      </w:tr>
      <w:tr>
        <w:trPr>
          <w:trHeight w:val="247"/>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0" w:type="dxa"/>
            <w:vAlign w:val="bottom"/>
            <w:shd w:val="clear" w:color="auto" w:fill="CFF0FC"/>
          </w:tcPr>
          <w:p>
            <w:pPr>
              <w:jc w:val="right"/>
              <w:ind w:right="161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w w:val="99"/>
              </w:rPr>
              <w:t>(26.9 )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(104.8 )</w:t>
            </w:r>
          </w:p>
        </w:tc>
        <w:tc>
          <w:tcPr>
            <w:tcW w:w="60" w:type="dxa"/>
            <w:vAlign w:val="bottom"/>
          </w:tcPr>
          <w:p>
            <w:pPr>
              <w:spacing w:after="0"/>
              <w:rPr>
                <w:sz w:val="21"/>
                <w:szCs w:val="21"/>
                <w:color w:val="auto"/>
              </w:rPr>
            </w:pPr>
          </w:p>
        </w:tc>
      </w:tr>
      <w:tr>
        <w:trPr>
          <w:trHeight w:val="238"/>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800" w:type="dxa"/>
            <w:vAlign w:val="bottom"/>
          </w:tcPr>
          <w:p>
            <w:pPr>
              <w:jc w:val="right"/>
              <w:ind w:right="161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(14.2 )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(69.2 )</w:t>
            </w:r>
          </w:p>
        </w:tc>
        <w:tc>
          <w:tcPr>
            <w:tcW w:w="60" w:type="dxa"/>
            <w:vAlign w:val="bottom"/>
          </w:tcPr>
          <w:p>
            <w:pPr>
              <w:spacing w:after="0"/>
              <w:rPr>
                <w:sz w:val="20"/>
                <w:szCs w:val="20"/>
                <w:color w:val="auto"/>
              </w:rPr>
            </w:pPr>
          </w:p>
        </w:tc>
      </w:tr>
      <w:tr>
        <w:trPr>
          <w:trHeight w:val="215"/>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restricted cash,</w:t>
            </w:r>
          </w:p>
        </w:tc>
        <w:tc>
          <w:tcPr>
            <w:tcW w:w="18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6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and short-term investments</w:t>
            </w:r>
          </w:p>
        </w:tc>
        <w:tc>
          <w:tcPr>
            <w:tcW w:w="1800" w:type="dxa"/>
            <w:vAlign w:val="bottom"/>
            <w:shd w:val="clear" w:color="auto" w:fill="CFF0FC"/>
          </w:tcPr>
          <w:p>
            <w:pPr>
              <w:jc w:val="right"/>
              <w:ind w:right="161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367.6</w:t>
            </w:r>
          </w:p>
        </w:tc>
        <w:tc>
          <w:tcPr>
            <w:tcW w:w="36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-1215390</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Selected Pro Forma Combined Unaudited Interim Financial Results</w:t>
      </w:r>
    </w:p>
    <w:p>
      <w:pPr>
        <w:spacing w:after="0" w:line="228"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20"/>
          <w:szCs w:val="20"/>
          <w:i w:val="1"/>
          <w:iCs w:val="1"/>
          <w:color w:val="auto"/>
        </w:rPr>
        <w:t>The selected 2024 unaudited pro forma financial information combines the Company's financial results for the three- and nine- month periods ended September 30, 2024, and the historical results of SomaLogic for the five-day period ended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675005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42" w:right="279" w:bottom="1440" w:gutter="0" w:footer="0" w:header="0"/>
        </w:sectPr>
      </w:pPr>
    </w:p>
    <w:bookmarkStart w:id="4" w:name="page5"/>
    <w:bookmarkEnd w:id="4"/>
    <w:p>
      <w:pPr>
        <w:jc w:val="both"/>
        <w:ind w:right="60"/>
        <w:spacing w:after="0" w:line="255" w:lineRule="auto"/>
        <w:rPr>
          <w:sz w:val="20"/>
          <w:szCs w:val="20"/>
          <w:color w:val="auto"/>
        </w:rPr>
      </w:pPr>
      <w:r>
        <w:rPr>
          <w:rFonts w:ascii="Times New Roman" w:cs="Times New Roman" w:eastAsia="Times New Roman" w:hAnsi="Times New Roman"/>
          <w:sz w:val="20"/>
          <w:szCs w:val="20"/>
          <w:i w:val="1"/>
          <w:iCs w:val="1"/>
          <w:color w:val="auto"/>
        </w:rPr>
        <w:t>January 5, 2024, the closing date of the merger between the Company and SomaLogic (the "Merger"). The selected unaudited pro forma financial information for 2023 combines the historical results of the Company and SomaLogic for their respective three- and nine- month periods ended September 30, 2023. See “Unaudited Pro Forma Results” below for discussion of the pro forma financial information.</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Pro Forma Combined</w:t>
            </w:r>
          </w:p>
        </w:tc>
        <w:tc>
          <w:tcPr>
            <w:tcW w:w="7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58"/>
        </w:trPr>
        <w:tc>
          <w:tcPr>
            <w:tcW w:w="4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2"/>
          </w:tcPr>
          <w:p>
            <w:pPr>
              <w:jc w:val="right"/>
              <w:ind w:right="400"/>
              <w:spacing w:after="0" w:line="15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720" w:type="dxa"/>
            <w:vAlign w:val="bottom"/>
            <w:gridSpan w:val="2"/>
          </w:tcPr>
          <w:p>
            <w:pPr>
              <w:jc w:val="right"/>
              <w:ind w:right="400"/>
              <w:spacing w:after="0" w:line="15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740" w:type="dxa"/>
            <w:vAlign w:val="bottom"/>
            <w:gridSpan w:val="3"/>
          </w:tcPr>
          <w:p>
            <w:pPr>
              <w:jc w:val="right"/>
              <w:ind w:right="440"/>
              <w:spacing w:after="0" w:line="157"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36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gridSpan w:val="2"/>
          </w:tcPr>
          <w:p>
            <w:pPr>
              <w:spacing w:after="0"/>
              <w:rPr>
                <w:sz w:val="13"/>
                <w:szCs w:val="13"/>
                <w:color w:val="auto"/>
              </w:rPr>
            </w:pPr>
          </w:p>
        </w:tc>
      </w:tr>
      <w:tr>
        <w:trPr>
          <w:trHeight w:val="187"/>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(Unaudited, in millions, except percentages)</w:t>
            </w:r>
          </w:p>
        </w:tc>
        <w:tc>
          <w:tcPr>
            <w:tcW w:w="100" w:type="dxa"/>
            <w:vAlign w:val="bottom"/>
          </w:tcPr>
          <w:p>
            <w:pPr>
              <w:spacing w:after="0"/>
              <w:rPr>
                <w:sz w:val="16"/>
                <w:szCs w:val="16"/>
                <w:color w:val="auto"/>
              </w:rPr>
            </w:pPr>
          </w:p>
        </w:tc>
        <w:tc>
          <w:tcPr>
            <w:tcW w:w="17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17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7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52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50"/>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30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300" w:type="dxa"/>
            <w:vAlign w:val="bottom"/>
            <w:shd w:val="clear" w:color="auto" w:fill="CFF0FC"/>
          </w:tcPr>
          <w:p>
            <w:pPr>
              <w:spacing w:after="0"/>
              <w:rPr>
                <w:sz w:val="21"/>
                <w:szCs w:val="21"/>
                <w:color w:val="auto"/>
              </w:rPr>
            </w:pPr>
          </w:p>
        </w:tc>
        <w:tc>
          <w:tcPr>
            <w:tcW w:w="640" w:type="dxa"/>
            <w:vAlign w:val="bottom"/>
            <w:tcBorders>
              <w:top w:val="single" w:sz="8" w:color="auto"/>
            </w:tcBorders>
            <w:shd w:val="clear" w:color="auto" w:fill="CFF0FC"/>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380" w:type="dxa"/>
            <w:vAlign w:val="bottom"/>
            <w:shd w:val="clear" w:color="auto" w:fill="CFF0FC"/>
          </w:tcPr>
          <w:p>
            <w:pPr>
              <w:spacing w:after="0"/>
              <w:rPr>
                <w:sz w:val="21"/>
                <w:szCs w:val="21"/>
                <w:color w:val="auto"/>
              </w:rPr>
            </w:pPr>
          </w:p>
        </w:tc>
        <w:tc>
          <w:tcPr>
            <w:tcW w:w="480" w:type="dxa"/>
            <w:vAlign w:val="bottom"/>
            <w:tcBorders>
              <w:top w:val="single" w:sz="8" w:color="auto"/>
            </w:tcBorders>
            <w:shd w:val="clear" w:color="auto" w:fill="CFF0FC"/>
          </w:tcPr>
          <w:p>
            <w:pPr>
              <w:jc w:val="right"/>
              <w:ind w:right="29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tcPr>
          <w:p>
            <w:pPr>
              <w:spacing w:after="0"/>
              <w:rPr>
                <w:sz w:val="21"/>
                <w:szCs w:val="21"/>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51.7 %</w:t>
            </w:r>
          </w:p>
        </w:tc>
        <w:tc>
          <w:tcPr>
            <w:tcW w:w="100" w:type="dxa"/>
            <w:vAlign w:val="bottom"/>
          </w:tcPr>
          <w:p>
            <w:pPr>
              <w:spacing w:after="0"/>
              <w:rPr>
                <w:sz w:val="21"/>
                <w:szCs w:val="21"/>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42.5 %</w:t>
            </w:r>
          </w:p>
        </w:tc>
        <w:tc>
          <w:tcPr>
            <w:tcW w:w="6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47.5 %</w:t>
            </w:r>
          </w:p>
        </w:tc>
        <w:tc>
          <w:tcPr>
            <w:tcW w:w="48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43.9 %</w:t>
            </w:r>
          </w:p>
        </w:tc>
      </w:tr>
      <w:tr>
        <w:trPr>
          <w:trHeight w:val="25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gross margin</w:t>
            </w:r>
          </w:p>
        </w:tc>
        <w:tc>
          <w:tcPr>
            <w:tcW w:w="100" w:type="dxa"/>
            <w:vAlign w:val="bottom"/>
          </w:tcPr>
          <w:p>
            <w:pPr>
              <w:spacing w:after="0"/>
              <w:rPr>
                <w:sz w:val="22"/>
                <w:szCs w:val="22"/>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56.9 %</w:t>
            </w:r>
          </w:p>
        </w:tc>
        <w:tc>
          <w:tcPr>
            <w:tcW w:w="100" w:type="dxa"/>
            <w:vAlign w:val="bottom"/>
          </w:tcPr>
          <w:p>
            <w:pPr>
              <w:spacing w:after="0"/>
              <w:rPr>
                <w:sz w:val="22"/>
                <w:szCs w:val="22"/>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51.7 %</w:t>
            </w:r>
          </w:p>
        </w:tc>
        <w:tc>
          <w:tcPr>
            <w:tcW w:w="6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53.3 %</w:t>
            </w:r>
          </w:p>
        </w:tc>
        <w:tc>
          <w:tcPr>
            <w:tcW w:w="480" w:type="dxa"/>
            <w:vAlign w:val="bottom"/>
          </w:tcPr>
          <w:p>
            <w:pPr>
              <w:spacing w:after="0"/>
              <w:rPr>
                <w:sz w:val="22"/>
                <w:szCs w:val="22"/>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52.2 %</w:t>
            </w:r>
          </w:p>
        </w:tc>
      </w:tr>
      <w:tr>
        <w:trPr>
          <w:trHeight w:val="26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3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300" w:type="dxa"/>
            <w:vAlign w:val="bottom"/>
          </w:tcPr>
          <w:p>
            <w:pPr>
              <w:spacing w:after="0"/>
              <w:rPr>
                <w:sz w:val="22"/>
                <w:szCs w:val="22"/>
                <w:color w:val="auto"/>
              </w:rPr>
            </w:pPr>
          </w:p>
        </w:tc>
        <w:tc>
          <w:tcPr>
            <w:tcW w:w="640" w:type="dxa"/>
            <w:vAlign w:val="bottom"/>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380" w:type="dxa"/>
            <w:vAlign w:val="bottom"/>
          </w:tcPr>
          <w:p>
            <w:pPr>
              <w:spacing w:after="0"/>
              <w:rPr>
                <w:sz w:val="22"/>
                <w:szCs w:val="22"/>
                <w:color w:val="auto"/>
              </w:rPr>
            </w:pPr>
          </w:p>
        </w:tc>
        <w:tc>
          <w:tcPr>
            <w:tcW w:w="48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3"/>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30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300" w:type="dxa"/>
            <w:vAlign w:val="bottom"/>
            <w:shd w:val="clear" w:color="auto" w:fill="CFF0FC"/>
          </w:tcPr>
          <w:p>
            <w:pPr>
              <w:spacing w:after="0"/>
              <w:rPr>
                <w:sz w:val="22"/>
                <w:szCs w:val="22"/>
                <w:color w:val="auto"/>
              </w:rPr>
            </w:pPr>
          </w:p>
        </w:tc>
        <w:tc>
          <w:tcPr>
            <w:tcW w:w="640" w:type="dxa"/>
            <w:vAlign w:val="bottom"/>
            <w:shd w:val="clear" w:color="auto" w:fill="CFF0FC"/>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380" w:type="dxa"/>
            <w:vAlign w:val="bottom"/>
            <w:shd w:val="clear" w:color="auto" w:fill="CFF0FC"/>
          </w:tcPr>
          <w:p>
            <w:pPr>
              <w:spacing w:after="0"/>
              <w:rPr>
                <w:sz w:val="22"/>
                <w:szCs w:val="22"/>
                <w:color w:val="auto"/>
              </w:rPr>
            </w:pPr>
          </w:p>
        </w:tc>
        <w:tc>
          <w:tcPr>
            <w:tcW w:w="480" w:type="dxa"/>
            <w:vAlign w:val="bottom"/>
            <w:shd w:val="clear" w:color="auto" w:fill="CFF0FC"/>
          </w:tcPr>
          <w:p>
            <w:pPr>
              <w:jc w:val="right"/>
              <w:ind w:right="29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24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(31.7 )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(47.3 )</w:t>
            </w:r>
          </w:p>
        </w:tc>
        <w:tc>
          <w:tcPr>
            <w:tcW w:w="640" w:type="dxa"/>
            <w:vAlign w:val="bottom"/>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(147.2 )</w:t>
            </w:r>
          </w:p>
        </w:tc>
        <w:tc>
          <w:tcPr>
            <w:tcW w:w="48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(152.8 )</w:t>
            </w:r>
          </w:p>
        </w:tc>
        <w:tc>
          <w:tcPr>
            <w:tcW w:w="60" w:type="dxa"/>
            <w:vAlign w:val="bottom"/>
          </w:tcPr>
          <w:p>
            <w:pPr>
              <w:spacing w:after="0"/>
              <w:rPr>
                <w:sz w:val="21"/>
                <w:szCs w:val="21"/>
                <w:color w:val="auto"/>
              </w:rPr>
            </w:pPr>
          </w:p>
        </w:tc>
      </w:tr>
      <w:tr>
        <w:trPr>
          <w:trHeight w:val="263"/>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(26.9 )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(41.2 )</w:t>
            </w:r>
          </w:p>
        </w:tc>
        <w:tc>
          <w:tcPr>
            <w:tcW w:w="640" w:type="dxa"/>
            <w:vAlign w:val="bottom"/>
            <w:shd w:val="clear" w:color="auto" w:fill="CFF0FC"/>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(134.6 )</w:t>
            </w:r>
          </w:p>
        </w:tc>
        <w:tc>
          <w:tcPr>
            <w:tcW w:w="480" w:type="dxa"/>
            <w:vAlign w:val="bottom"/>
            <w:shd w:val="clear" w:color="auto" w:fill="CFF0FC"/>
          </w:tcPr>
          <w:p>
            <w:pPr>
              <w:jc w:val="right"/>
              <w:ind w:right="29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(109.0 )</w:t>
            </w:r>
          </w:p>
        </w:tc>
        <w:tc>
          <w:tcPr>
            <w:tcW w:w="60" w:type="dxa"/>
            <w:vAlign w:val="bottom"/>
          </w:tcPr>
          <w:p>
            <w:pPr>
              <w:spacing w:after="0"/>
              <w:rPr>
                <w:sz w:val="22"/>
                <w:szCs w:val="22"/>
                <w:color w:val="auto"/>
              </w:rPr>
            </w:pP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(14.2 )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(28.2 )</w:t>
            </w:r>
          </w:p>
        </w:tc>
        <w:tc>
          <w:tcPr>
            <w:tcW w:w="640" w:type="dxa"/>
            <w:vAlign w:val="bottom"/>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(68.9 )</w:t>
            </w:r>
          </w:p>
        </w:tc>
        <w:tc>
          <w:tcPr>
            <w:tcW w:w="48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(102.0 )</w:t>
            </w: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-967105</wp:posOffset>
            </wp:positionV>
            <wp:extent cx="713232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8"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Revenue was $45.0 million in the third quarter of 2024, down 5% year-over-year:</w:t>
      </w:r>
    </w:p>
    <w:p>
      <w:pPr>
        <w:spacing w:after="0" w:line="107" w:lineRule="exact"/>
        <w:rPr>
          <w:rFonts w:ascii="Times New Roman" w:cs="Times New Roman" w:eastAsia="Times New Roman" w:hAnsi="Times New Roman"/>
          <w:sz w:val="18"/>
          <w:szCs w:val="18"/>
          <w:color w:val="auto"/>
        </w:rPr>
      </w:pPr>
    </w:p>
    <w:p>
      <w:pPr>
        <w:ind w:left="1540" w:right="140" w:hanging="514"/>
        <w:spacing w:after="0" w:line="268" w:lineRule="auto"/>
        <w:tabs>
          <w:tab w:leader="none" w:pos="154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Consumables revenue was $14.0 million in the third quarter of 2024, up 13% year-over-year. Consumables revenue grew on the strength of assay kits sales to SomaScan authorized sites and the Illumina early access program.</w:t>
      </w:r>
    </w:p>
    <w:p>
      <w:pPr>
        <w:spacing w:after="0" w:line="52" w:lineRule="exact"/>
        <w:rPr>
          <w:rFonts w:ascii="Times New Roman" w:cs="Times New Roman" w:eastAsia="Times New Roman" w:hAnsi="Times New Roman"/>
          <w:sz w:val="20"/>
          <w:szCs w:val="20"/>
          <w:color w:val="auto"/>
        </w:rPr>
      </w:pPr>
    </w:p>
    <w:p>
      <w:pPr>
        <w:ind w:left="1540" w:right="420" w:hanging="514"/>
        <w:spacing w:after="0" w:line="268" w:lineRule="auto"/>
        <w:tabs>
          <w:tab w:leader="none" w:pos="154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Instruments revenue was $5.6 million in the third quarter of 2024, down 42% year-over-year. Instrument revenue was impacted by capital constrained end-markets globally with particular weakness in China.</w:t>
      </w:r>
    </w:p>
    <w:p>
      <w:pPr>
        <w:spacing w:after="0" w:line="52" w:lineRule="exact"/>
        <w:rPr>
          <w:rFonts w:ascii="Times New Roman" w:cs="Times New Roman" w:eastAsia="Times New Roman" w:hAnsi="Times New Roman"/>
          <w:sz w:val="20"/>
          <w:szCs w:val="20"/>
          <w:color w:val="auto"/>
        </w:rPr>
      </w:pPr>
    </w:p>
    <w:p>
      <w:pPr>
        <w:ind w:left="1540" w:right="80" w:hanging="514"/>
        <w:spacing w:after="0" w:line="253" w:lineRule="auto"/>
        <w:tabs>
          <w:tab w:leader="none" w:pos="154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Services revenue, which includes both Lab Services and Field Services, was $24.4 million in the third quarter of 2024, flat year over year. Services benefited from the favorable timing of large SomaScan customer projects that shifted out of the second quarter into the third quarter, partially offset by lower installation services from lower instrument sales.</w:t>
      </w:r>
    </w:p>
    <w:p>
      <w:pPr>
        <w:spacing w:after="0" w:line="68" w:lineRule="exact"/>
        <w:rPr>
          <w:rFonts w:ascii="Times New Roman" w:cs="Times New Roman" w:eastAsia="Times New Roman" w:hAnsi="Times New Roman"/>
          <w:sz w:val="20"/>
          <w:szCs w:val="20"/>
          <w:color w:val="auto"/>
        </w:rPr>
      </w:pPr>
    </w:p>
    <w:p>
      <w:pPr>
        <w:jc w:val="both"/>
        <w:ind w:left="760" w:right="180" w:hanging="378"/>
        <w:spacing w:after="0" w:line="253"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Gross margins in the third quarter of 2024 were 51.7%, versus 42.5% in the third quarter of 2023; and non-GAAP gross margins in the third quarter of 2024 were 56.9 %, versus 51.7 % in the third quarter of 2023. Gross margins were impacted by positive mix in the third quarter and continued incremental efficiency gains from SBS.</w:t>
      </w:r>
    </w:p>
    <w:p>
      <w:pPr>
        <w:spacing w:after="0" w:line="68" w:lineRule="exact"/>
        <w:rPr>
          <w:rFonts w:ascii="Times New Roman" w:cs="Times New Roman" w:eastAsia="Times New Roman" w:hAnsi="Times New Roman"/>
          <w:sz w:val="18"/>
          <w:szCs w:val="18"/>
          <w:color w:val="auto"/>
        </w:rPr>
      </w:pPr>
    </w:p>
    <w:p>
      <w:pPr>
        <w:ind w:left="760" w:right="80" w:hanging="378"/>
        <w:spacing w:after="0" w:line="246"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expenses in the third quarter of 2024 was $55 million, a decrease of $12.5 million, or down 18.5 %, compared to the third quarter of 2023, and non-GAAP operating expenses, which exclude merger-related costs, stock-based compensation, and restructuring charges, was $39.8 million, a decrease of $12.8 million, or down 24 %, compared to the third quarter of 2023. The decrease in operating expenses is a result of ongoing realization of merger cost synergies as previously disclosed, a bonus accrual reduction in line with our full year expectations, as well as continued productivity gains from SBS.</w:t>
      </w:r>
    </w:p>
    <w:p>
      <w:pPr>
        <w:spacing w:after="0" w:line="75" w:lineRule="exact"/>
        <w:rPr>
          <w:rFonts w:ascii="Times New Roman" w:cs="Times New Roman" w:eastAsia="Times New Roman" w:hAnsi="Times New Roman"/>
          <w:sz w:val="20"/>
          <w:szCs w:val="20"/>
          <w:color w:val="auto"/>
        </w:rPr>
      </w:pPr>
    </w:p>
    <w:p>
      <w:pPr>
        <w:ind w:left="760" w:right="240" w:hanging="378"/>
        <w:spacing w:after="0" w:line="253"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Net loss for the third quarter of 2024 was $26.9 million, compared to a net loss of $41.2 million in the third quarter of 2023, representing an improvement of $14.3 million or 34.6 %, while adjusted EBITDA for the third quarter of 2024 was a loss of $14.2 million, versus an adjusted EBITDA loss of $28.2 million in 2023, an improvement of $14 million, or 49.6%.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FY 2024 Revenue Outlook</w:t>
      </w:r>
    </w:p>
    <w:p>
      <w:pPr>
        <w:spacing w:after="0" w:line="232"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20"/>
          <w:szCs w:val="20"/>
          <w:color w:val="auto"/>
        </w:rPr>
        <w:t>Following its third quarter 2024 results, the Company has reiterated its full year 2024 revenue guidance to a range of $170 million to $175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37" w:right="2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Third Quarter 2024 Earnings Conference Call Information</w:t>
      </w:r>
    </w:p>
    <w:p>
      <w:pPr>
        <w:spacing w:after="0" w:line="23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Standard BioTools will host a conference call and webcast on October 30, 2024 at 1:30 p.m. PT (4:30 p.m. ET) to discuss third quarter 2024 financial results. Live audio of the webcast will be available online along with an archived version of the webcast under the Events &amp; Presentations page of the Company’s website.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Individuals interested in listening to the conference call may do so by dialing:</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US domestic callers: 1-888-346-3970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Outside US callers: 1-412-902-4297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Non-GAAP Financial Information</w:t>
      </w:r>
    </w:p>
    <w:p>
      <w:pPr>
        <w:spacing w:after="0" w:line="23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Standard BioTools has presented certain financial information in accordance with U.S. GAAP and on a non-GAAP basis. The non-GAAP financial measures included in this press release are non-GAAP gross margin, non-GAAP operating expenses, and adjusted EBITDA. Management uses these non-GAAP financial measures, in addition to GAAP financial measures, as a measure of operating performance because the non-GAAP financial measures do not include the impact of items that management does not consider indicative of the Company’s core operating performance.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Non-GAAP information is not prepared under a comprehensive set of accounting rules and should only be used to supplement an understanding of the company’s operating results as reported under U.S. GAAP. Standard BioTools encourages investors to carefully consider its results under GAAP, as well as its supplemental non-GAAP information and the reconciliations between these presentations, to more fully understand its business. Reconciliations between GAAP and non-GAAP operating results are presented in the accompanying tables of this release.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Unaudited Pro Forma Results</w:t>
      </w:r>
    </w:p>
    <w:p>
      <w:pPr>
        <w:spacing w:after="0" w:line="23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The unaudited pro forma financial information for nine months ended September 30, 2024, combines the Company's financial results for the nine months ended September 30, 2024, and the historical results of SomaLogic for the 5-day period ended on the January 5, 2024, the closing date of the Merger. The unaudited pro forma financial information for the three and nine months ended September 30, 2023, combines the historical results of the Company and SomaLogic for their respective three- and nine-month periods ended September 30, 2023. The pro forma financial information for all periods presented has been adjusted to include certain nonrecurring impacts associated with the Merger, including the bargain purchase gain and transaction costs.</w:t>
      </w:r>
    </w:p>
    <w:p>
      <w:pPr>
        <w:spacing w:after="0" w:line="19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The unaudited pro forma financial information for all periods presented includes the business combination accounting effects resulting from the Merger, mainly including adjustments to reflect additional amortization expense from acquired intangible assets, adjustments to stock-based compensation expense, and additional depreciation expense from the acquired property and equipment. The unaudited pro forma financial information is for informational purposes only and is not necessarily indicative of the results of operations that would have been achieved if the acquisitions had taken place on January 1, 2023. The results of SomaLogic have been consolidated with the Company's results since the closing date of the Merger.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the Private Securities Litigation Reform Act of 1995, including, among others, statements regarding future financial and business performance, including with respect to future revenue, net loss and adjusted EBITDA; operational and strategic plans; deployment of capital; market and growth opportunity and potential; and the potential to realize the expected benefits and synergies of the Merger,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688975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color w:val="auto"/>
        </w:rPr>
        <w:t>the potential for it to drive long-term profitable growth. Forward-looking statements are subject to numerous risks and uncertainties that could cause actual results to differ materially from currently anticipated results, including, but not limited to, risks that the anticipated benefits and synergies of the Merger and the integration of SomaLogic, including the potential for it to drive long-term profitable growth, may not be fully realized or may take longer to realize than expected; risks that the Company may not realize expected cost savings from the Merger, including the anticipated decrease in operational expenses, at the levels it expects; possible integration, restructuring and transition-related disruption, including through the loss of customers, suppliers, and employees and adverse impacts on the Company’s development activities and results of operation; integration and restructuring activities, including customer and employee relations, management distraction, and reduced operating performance; risks that internal and external costs required for ongoing and planned activities may be higher than expected, which may cause the Company to use cash more quickly than it expects or change or curtail some of the Company’s plans, or both; risks that the Company’s expectations as to expenses, cash usage, and cash needs may prove not to be correct for other reasons such as changes in plans or actual events being different than our assumptions; changes in the Company’s business or external market conditions; challenges inherent in developing, manufacturing, launching, marketing, and selling new products; interruptions or delays in the supply of components or materials for, or manufacturing of, the Company’s products; reliance on sales of capital equipment for a significant proportion of revenues in each quarter; seasonal variations in customer operations; unanticipated increases in costs or expenses; continued or sustained budgetary, inflationary, or recessionary pressures; uncertainties in contractual relationships; reductions in research and development spending or changes in budget priorities by customers; uncertainties relating to the Company’s research and development activities, and distribution plans and capabilities; potential product performance and quality issues; risks associated with international operations; intellectual property risks; and competition. For information regarding other related risks, see the “Risk Factors” section of the Company’s annual report on Form 10-K filed with the SEC on March 1, 2024, and in the Company’s other filings with the SEC. These forward-looking statements speak only as of the date hereof. The Company disclaims any obligation to update these forward-looking statements except as may be required by law.</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Standard BioTools Inc.</w:t>
      </w:r>
    </w:p>
    <w:p>
      <w:pPr>
        <w:spacing w:after="0" w:line="232"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Standard BioTools Inc. (Nasdaq: LAB), the parent company of SomaLogic Inc. and previously known as Fluidigm Corporation has an established portfolio of essential, standardized next-generation technologies that help biomedical researchers develop medicines faster and better. As a leading solutions provider, the company provides reliable and repeatable insights in health and disease using its proprietary mass cytometry and microfluidics technologies, which help 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 Learn more at standardbio.com or connect with us on X, Facebook®, LinkedIn, and YouTube™.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Research Use Only. Not for use in diagnostic procedures.</w:t>
      </w:r>
    </w:p>
    <w:p>
      <w:pPr>
        <w:spacing w:after="0" w:line="228" w:lineRule="exact"/>
        <w:rPr>
          <w:sz w:val="20"/>
          <w:szCs w:val="20"/>
          <w:color w:val="auto"/>
        </w:rPr>
      </w:pPr>
    </w:p>
    <w:p>
      <w:pPr>
        <w:ind w:right="400"/>
        <w:spacing w:after="0" w:line="253" w:lineRule="auto"/>
        <w:rPr>
          <w:sz w:val="20"/>
          <w:szCs w:val="20"/>
          <w:color w:val="auto"/>
        </w:rPr>
      </w:pPr>
      <w:r>
        <w:rPr>
          <w:rFonts w:ascii="Times New Roman" w:cs="Times New Roman" w:eastAsia="Times New Roman" w:hAnsi="Times New Roman"/>
          <w:sz w:val="20"/>
          <w:szCs w:val="20"/>
          <w:color w:val="auto"/>
        </w:rPr>
        <w:t>Limited Use Label License and other terms may apply: www.standardbio.com/legal/salesterms. Patent and License Information: www.standardbio.com/legal/notices. Trademarks: www.standardbio.com/legal/trademarks. Any other trademarks are the sole property of their respective owners. ©2024 Standard BioTools Inc. (f.k.a. Fluidigm Corporation). All rights reserved.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David Holmes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Gilmartin Group LLC</w:t>
      </w:r>
    </w:p>
    <w:p>
      <w:pPr>
        <w:spacing w:after="0"/>
        <w:rPr>
          <w:sz w:val="20"/>
          <w:szCs w:val="20"/>
          <w:color w:val="auto"/>
        </w:rPr>
      </w:pPr>
      <w:r>
        <w:rPr>
          <w:rFonts w:ascii="Times New Roman" w:cs="Times New Roman" w:eastAsia="Times New Roman" w:hAnsi="Times New Roman"/>
          <w:sz w:val="20"/>
          <w:szCs w:val="20"/>
          <w:u w:val="single" w:color="auto"/>
          <w:color w:val="467886"/>
        </w:rPr>
        <w:t>ir@standardbio.com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835025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8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6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45"/>
        </w:trPr>
        <w:tc>
          <w:tcPr>
            <w:tcW w:w="58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19,593</w:t>
            </w:r>
          </w:p>
        </w:tc>
        <w:tc>
          <w:tcPr>
            <w:tcW w:w="26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18,711</w:t>
            </w:r>
          </w:p>
        </w:tc>
        <w:tc>
          <w:tcPr>
            <w:tcW w:w="24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65,348</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Services revenue</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24,438</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59,518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Collaboration and other revenue</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44,969</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25,367</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127,714</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78,152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product revenue</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services revenue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13,536</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collaboration and other revenue</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21,708</w:t>
            </w: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65,357</w:t>
            </w: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41,059</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23,261</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62,357</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37,093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13,156</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48,358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34,403</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119,020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12,374</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54,979</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32,326</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204,776</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92,307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(31,718 )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(21,172 )</w:t>
            </w: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(142,419 )</w:t>
            </w: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(55,214 )</w:t>
            </w: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Bargain purchase gain</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25,213</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(115 )</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(865 )</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(26,820 )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(20,947 )</w:t>
            </w: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(104,512 )</w:t>
            </w: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(54,266 )</w:t>
            </w: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(118 )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(50 )</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(301 )</w:t>
            </w: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(614 )</w:t>
            </w: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(26,938 )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(20,997 )</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(104,813 )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(54,880 )</w:t>
            </w: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Induced conversion of redeemable preferred stock</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(46,014 )</w:t>
            </w: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(26,938 )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(20,997 )</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(150,827 )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(54,880 )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(0.07 )</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(0.27 )</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(0.44 )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(0.69 )</w:t>
            </w:r>
          </w:p>
        </w:tc>
        <w:tc>
          <w:tcPr>
            <w:tcW w:w="0" w:type="dxa"/>
            <w:vAlign w:val="bottom"/>
          </w:tcPr>
          <w:p>
            <w:pPr>
              <w:spacing w:after="0"/>
              <w:rPr>
                <w:sz w:val="1"/>
                <w:szCs w:val="1"/>
                <w:color w:val="auto"/>
              </w:rPr>
            </w:pPr>
          </w:p>
        </w:tc>
      </w:tr>
      <w:tr>
        <w:trPr>
          <w:trHeight w:val="196"/>
        </w:trPr>
        <w:tc>
          <w:tcPr>
            <w:tcW w:w="5820" w:type="dxa"/>
            <w:vAlign w:val="bottom"/>
            <w:tcBorders>
              <w:top w:val="single" w:sz="8" w:color="CFF0FC"/>
            </w:tcBorders>
          </w:tcPr>
          <w:p>
            <w:pPr>
              <w:ind w:left="20"/>
              <w:spacing w:after="0" w:line="195" w:lineRule="exact"/>
              <w:rPr>
                <w:sz w:val="20"/>
                <w:szCs w:val="20"/>
                <w:color w:val="auto"/>
              </w:rPr>
            </w:pPr>
            <w:r>
              <w:rPr>
                <w:rFonts w:ascii="Times New Roman" w:cs="Times New Roman" w:eastAsia="Times New Roman" w:hAnsi="Times New Roman"/>
                <w:sz w:val="18"/>
                <w:szCs w:val="18"/>
                <w:color w:val="auto"/>
              </w:rPr>
              <w:t>Shares used in computing net loss per share attributable to common</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371,538</w:t>
            </w: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79,152</w:t>
            </w: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346,093</w:t>
            </w: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78,967</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2"/>
        </w:trPr>
        <w:tc>
          <w:tcPr>
            <w:tcW w:w="58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-4665980</wp:posOffset>
            </wp:positionV>
            <wp:extent cx="768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-4665980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-4665980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-4665980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-4040505</wp:posOffset>
            </wp:positionV>
            <wp:extent cx="768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-4040505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-4040505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-4040505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-2781935</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-2781935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-2781935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-2781935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-2157095</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-2157095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-2157095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-2157095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-1840230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-1840230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-1840230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-1840230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-1523365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-1523365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-1523365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-1523365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-1181100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-1163955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-1181100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-1163955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-1181100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-1163955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-1181100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-1163955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43"/>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FF0FC"/>
          </w:tcPr>
          <w:p>
            <w:pPr>
              <w:spacing w:after="0"/>
              <w:rPr>
                <w:sz w:val="21"/>
                <w:szCs w:val="21"/>
                <w:color w:val="auto"/>
              </w:rPr>
            </w:pPr>
          </w:p>
        </w:tc>
        <w:tc>
          <w:tcPr>
            <w:tcW w:w="138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210,647</w:t>
            </w:r>
          </w:p>
        </w:tc>
        <w:tc>
          <w:tcPr>
            <w:tcW w:w="7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51,704</w:t>
            </w:r>
          </w:p>
        </w:tc>
        <w:tc>
          <w:tcPr>
            <w:tcW w:w="100" w:type="dxa"/>
            <w:vAlign w:val="bottom"/>
            <w:shd w:val="clear" w:color="auto" w:fill="CFF0FC"/>
          </w:tcPr>
          <w:p>
            <w:pPr>
              <w:spacing w:after="0"/>
              <w:rPr>
                <w:sz w:val="21"/>
                <w:szCs w:val="21"/>
                <w:color w:val="auto"/>
              </w:rPr>
            </w:pPr>
          </w:p>
        </w:tc>
      </w:tr>
      <w:tr>
        <w:trPr>
          <w:trHeight w:val="238"/>
        </w:trPr>
        <w:tc>
          <w:tcPr>
            <w:tcW w:w="7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155,683</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63,191</w:t>
            </w:r>
          </w:p>
        </w:tc>
        <w:tc>
          <w:tcPr>
            <w:tcW w:w="100" w:type="dxa"/>
            <w:vAlign w:val="bottom"/>
          </w:tcPr>
          <w:p>
            <w:pPr>
              <w:spacing w:after="0"/>
              <w:rPr>
                <w:sz w:val="20"/>
                <w:szCs w:val="20"/>
                <w:color w:val="auto"/>
              </w:rPr>
            </w:pPr>
          </w:p>
        </w:tc>
      </w:tr>
      <w:tr>
        <w:trPr>
          <w:trHeight w:val="247"/>
        </w:trPr>
        <w:tc>
          <w:tcPr>
            <w:tcW w:w="7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35,317</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19,660</w:t>
            </w:r>
          </w:p>
        </w:tc>
        <w:tc>
          <w:tcPr>
            <w:tcW w:w="100" w:type="dxa"/>
            <w:vAlign w:val="bottom"/>
            <w:shd w:val="clear" w:color="auto" w:fill="CFF0FC"/>
          </w:tcPr>
          <w:p>
            <w:pPr>
              <w:spacing w:after="0"/>
              <w:rPr>
                <w:sz w:val="21"/>
                <w:szCs w:val="21"/>
                <w:color w:val="auto"/>
              </w:rPr>
            </w:pPr>
          </w:p>
        </w:tc>
      </w:tr>
      <w:tr>
        <w:trPr>
          <w:trHeight w:val="238"/>
        </w:trPr>
        <w:tc>
          <w:tcPr>
            <w:tcW w:w="7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42,644</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20,533</w:t>
            </w:r>
          </w:p>
        </w:tc>
        <w:tc>
          <w:tcPr>
            <w:tcW w:w="100" w:type="dxa"/>
            <w:vAlign w:val="bottom"/>
          </w:tcPr>
          <w:p>
            <w:pPr>
              <w:spacing w:after="0"/>
              <w:rPr>
                <w:sz w:val="20"/>
                <w:szCs w:val="20"/>
                <w:color w:val="auto"/>
              </w:rPr>
            </w:pPr>
          </w:p>
        </w:tc>
      </w:tr>
      <w:tr>
        <w:trPr>
          <w:trHeight w:val="243"/>
        </w:trPr>
        <w:tc>
          <w:tcPr>
            <w:tcW w:w="78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9,316</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453,607</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158,215</w:t>
            </w:r>
          </w:p>
        </w:tc>
        <w:tc>
          <w:tcPr>
            <w:tcW w:w="100" w:type="dxa"/>
            <w:vAlign w:val="bottom"/>
          </w:tcPr>
          <w:p>
            <w:pPr>
              <w:spacing w:after="0"/>
              <w:rPr>
                <w:sz w:val="20"/>
                <w:szCs w:val="20"/>
                <w:color w:val="auto"/>
              </w:rPr>
            </w:pPr>
          </w:p>
        </w:tc>
      </w:tr>
      <w:tr>
        <w:trPr>
          <w:trHeight w:val="247"/>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Inventory, non-current</w:t>
            </w: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17,949</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receivable, non-current</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41,982</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24,187</w:t>
            </w:r>
          </w:p>
        </w:tc>
        <w:tc>
          <w:tcPr>
            <w:tcW w:w="100" w:type="dxa"/>
            <w:vAlign w:val="bottom"/>
            <w:shd w:val="clear" w:color="auto" w:fill="CFF0FC"/>
          </w:tcPr>
          <w:p>
            <w:pPr>
              <w:spacing w:after="0"/>
              <w:rPr>
                <w:sz w:val="21"/>
                <w:szCs w:val="21"/>
                <w:color w:val="auto"/>
              </w:rPr>
            </w:pPr>
          </w:p>
        </w:tc>
      </w:tr>
      <w:tr>
        <w:trPr>
          <w:trHeight w:val="238"/>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30,264</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30,663</w:t>
            </w:r>
          </w:p>
        </w:tc>
        <w:tc>
          <w:tcPr>
            <w:tcW w:w="100" w:type="dxa"/>
            <w:vAlign w:val="bottom"/>
          </w:tcPr>
          <w:p>
            <w:pPr>
              <w:spacing w:after="0"/>
              <w:rPr>
                <w:sz w:val="20"/>
                <w:szCs w:val="20"/>
                <w:color w:val="auto"/>
              </w:rPr>
            </w:pPr>
          </w:p>
        </w:tc>
      </w:tr>
      <w:tr>
        <w:trPr>
          <w:trHeight w:val="247"/>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00" w:type="dxa"/>
            <w:vAlign w:val="bottom"/>
            <w:shd w:val="clear" w:color="auto" w:fill="CFF0FC"/>
          </w:tcPr>
          <w:p>
            <w:pPr>
              <w:spacing w:after="0"/>
              <w:rPr>
                <w:sz w:val="21"/>
                <w:szCs w:val="21"/>
                <w:color w:val="auto"/>
              </w:rPr>
            </w:pPr>
          </w:p>
        </w:tc>
      </w:tr>
      <w:tr>
        <w:trPr>
          <w:trHeight w:val="238"/>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intangible assets, net</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23,367</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20"/>
                <w:szCs w:val="20"/>
                <w:color w:val="auto"/>
              </w:rPr>
            </w:pPr>
          </w:p>
        </w:tc>
      </w:tr>
      <w:tr>
        <w:trPr>
          <w:trHeight w:val="243"/>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106,342</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681,539</w:t>
            </w: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323,067</w:t>
            </w:r>
          </w:p>
        </w:tc>
        <w:tc>
          <w:tcPr>
            <w:tcW w:w="100" w:type="dxa"/>
            <w:vAlign w:val="bottom"/>
          </w:tcPr>
          <w:p>
            <w:pPr>
              <w:spacing w:after="0"/>
              <w:rPr>
                <w:sz w:val="20"/>
                <w:szCs w:val="20"/>
                <w:color w:val="auto"/>
              </w:rPr>
            </w:pPr>
          </w:p>
        </w:tc>
      </w:tr>
      <w:tr>
        <w:trPr>
          <w:trHeight w:val="20"/>
        </w:trPr>
        <w:tc>
          <w:tcPr>
            <w:tcW w:w="7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MEZZANINE EQUITY AND STOCKHOLDERS’ EQUITY (DEFICIT)</w:t>
            </w: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10,926</w:t>
            </w:r>
          </w:p>
        </w:tc>
        <w:tc>
          <w:tcPr>
            <w:tcW w:w="7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9,236</w:t>
            </w:r>
          </w:p>
        </w:tc>
        <w:tc>
          <w:tcPr>
            <w:tcW w:w="100" w:type="dxa"/>
            <w:vAlign w:val="bottom"/>
            <w:shd w:val="clear" w:color="auto" w:fill="CFF0FC"/>
          </w:tcPr>
          <w:p>
            <w:pPr>
              <w:spacing w:after="0"/>
              <w:rPr>
                <w:sz w:val="21"/>
                <w:szCs w:val="21"/>
                <w:color w:val="auto"/>
              </w:rPr>
            </w:pPr>
          </w:p>
        </w:tc>
      </w:tr>
      <w:tr>
        <w:trPr>
          <w:trHeight w:val="238"/>
        </w:trPr>
        <w:tc>
          <w:tcPr>
            <w:tcW w:w="7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31,686</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21,019</w:t>
            </w:r>
          </w:p>
        </w:tc>
        <w:tc>
          <w:tcPr>
            <w:tcW w:w="100" w:type="dxa"/>
            <w:vAlign w:val="bottom"/>
          </w:tcPr>
          <w:p>
            <w:pPr>
              <w:spacing w:after="0"/>
              <w:rPr>
                <w:sz w:val="20"/>
                <w:szCs w:val="20"/>
                <w:color w:val="auto"/>
              </w:rPr>
            </w:pPr>
          </w:p>
        </w:tc>
      </w:tr>
      <w:tr>
        <w:trPr>
          <w:trHeight w:val="247"/>
        </w:trPr>
        <w:tc>
          <w:tcPr>
            <w:tcW w:w="7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100" w:type="dxa"/>
            <w:vAlign w:val="bottom"/>
            <w:shd w:val="clear" w:color="auto" w:fill="CFF0FC"/>
          </w:tcPr>
          <w:p>
            <w:pPr>
              <w:spacing w:after="0"/>
              <w:rPr>
                <w:sz w:val="21"/>
                <w:szCs w:val="21"/>
                <w:color w:val="auto"/>
              </w:rPr>
            </w:pPr>
          </w:p>
        </w:tc>
      </w:tr>
      <w:tr>
        <w:trPr>
          <w:trHeight w:val="238"/>
        </w:trPr>
        <w:tc>
          <w:tcPr>
            <w:tcW w:w="7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13,436</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100" w:type="dxa"/>
            <w:vAlign w:val="bottom"/>
          </w:tcPr>
          <w:p>
            <w:pPr>
              <w:spacing w:after="0"/>
              <w:rPr>
                <w:sz w:val="20"/>
                <w:szCs w:val="20"/>
                <w:color w:val="auto"/>
              </w:rPr>
            </w:pPr>
          </w:p>
        </w:tc>
      </w:tr>
      <w:tr>
        <w:trPr>
          <w:trHeight w:val="247"/>
        </w:trPr>
        <w:tc>
          <w:tcPr>
            <w:tcW w:w="7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grant income, current</w:t>
            </w: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100" w:type="dxa"/>
            <w:vAlign w:val="bottom"/>
            <w:shd w:val="clear" w:color="auto" w:fill="CFF0FC"/>
          </w:tcPr>
          <w:p>
            <w:pPr>
              <w:spacing w:after="0"/>
              <w:rPr>
                <w:sz w:val="21"/>
                <w:szCs w:val="21"/>
                <w:color w:val="auto"/>
              </w:rPr>
            </w:pPr>
          </w:p>
        </w:tc>
      </w:tr>
      <w:tr>
        <w:trPr>
          <w:trHeight w:val="238"/>
        </w:trPr>
        <w:tc>
          <w:tcPr>
            <w:tcW w:w="7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 loan, current</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0"/>
                <w:szCs w:val="20"/>
                <w:color w:val="auto"/>
              </w:rPr>
            </w:pPr>
          </w:p>
        </w:tc>
      </w:tr>
      <w:tr>
        <w:trPr>
          <w:trHeight w:val="243"/>
        </w:trPr>
        <w:tc>
          <w:tcPr>
            <w:tcW w:w="78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Convertible notes, current</w:t>
            </w:r>
          </w:p>
        </w:tc>
        <w:tc>
          <w:tcPr>
            <w:tcW w:w="1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54,913</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120,615</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109,327</w:t>
            </w:r>
          </w:p>
        </w:tc>
        <w:tc>
          <w:tcPr>
            <w:tcW w:w="100" w:type="dxa"/>
            <w:vAlign w:val="bottom"/>
          </w:tcPr>
          <w:p>
            <w:pPr>
              <w:spacing w:after="0"/>
              <w:rPr>
                <w:sz w:val="20"/>
                <w:szCs w:val="20"/>
                <w:color w:val="auto"/>
              </w:rPr>
            </w:pPr>
          </w:p>
        </w:tc>
      </w:tr>
      <w:tr>
        <w:trPr>
          <w:trHeight w:val="247"/>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notes, non-current</w:t>
            </w: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FF0FC"/>
          </w:tcPr>
          <w:p>
            <w:pPr>
              <w:spacing w:after="0"/>
              <w:rPr>
                <w:sz w:val="21"/>
                <w:szCs w:val="21"/>
                <w:color w:val="auto"/>
              </w:rPr>
            </w:pPr>
          </w:p>
        </w:tc>
      </w:tr>
      <w:tr>
        <w:trPr>
          <w:trHeight w:val="238"/>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non-current</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00" w:type="dxa"/>
            <w:vAlign w:val="bottom"/>
          </w:tcPr>
          <w:p>
            <w:pPr>
              <w:spacing w:after="0"/>
              <w:rPr>
                <w:sz w:val="20"/>
                <w:szCs w:val="20"/>
                <w:color w:val="auto"/>
              </w:rPr>
            </w:pPr>
          </w:p>
        </w:tc>
      </w:tr>
      <w:tr>
        <w:trPr>
          <w:trHeight w:val="247"/>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FF0FC"/>
          </w:tcPr>
          <w:p>
            <w:pPr>
              <w:spacing w:after="0"/>
              <w:rPr>
                <w:sz w:val="21"/>
                <w:szCs w:val="21"/>
                <w:color w:val="auto"/>
              </w:rPr>
            </w:pPr>
          </w:p>
        </w:tc>
      </w:tr>
      <w:tr>
        <w:trPr>
          <w:trHeight w:val="238"/>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28,140</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30,374</w:t>
            </w:r>
          </w:p>
        </w:tc>
        <w:tc>
          <w:tcPr>
            <w:tcW w:w="100" w:type="dxa"/>
            <w:vAlign w:val="bottom"/>
          </w:tcPr>
          <w:p>
            <w:pPr>
              <w:spacing w:after="0"/>
              <w:rPr>
                <w:sz w:val="20"/>
                <w:szCs w:val="20"/>
                <w:color w:val="auto"/>
              </w:rPr>
            </w:pPr>
          </w:p>
        </w:tc>
      </w:tr>
      <w:tr>
        <w:trPr>
          <w:trHeight w:val="247"/>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32,682</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100" w:type="dxa"/>
            <w:vAlign w:val="bottom"/>
            <w:shd w:val="clear" w:color="auto" w:fill="CFF0FC"/>
          </w:tcPr>
          <w:p>
            <w:pPr>
              <w:spacing w:after="0"/>
              <w:rPr>
                <w:sz w:val="21"/>
                <w:szCs w:val="21"/>
                <w:color w:val="auto"/>
              </w:rPr>
            </w:pPr>
          </w:p>
        </w:tc>
      </w:tr>
      <w:tr>
        <w:trPr>
          <w:trHeight w:val="238"/>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grant income, non-current</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8,119</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10,755</w:t>
            </w:r>
          </w:p>
        </w:tc>
        <w:tc>
          <w:tcPr>
            <w:tcW w:w="100" w:type="dxa"/>
            <w:vAlign w:val="bottom"/>
          </w:tcPr>
          <w:p>
            <w:pPr>
              <w:spacing w:after="0"/>
              <w:rPr>
                <w:sz w:val="20"/>
                <w:szCs w:val="20"/>
                <w:color w:val="auto"/>
              </w:rPr>
            </w:pPr>
          </w:p>
        </w:tc>
      </w:tr>
      <w:tr>
        <w:trPr>
          <w:trHeight w:val="243"/>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192,206</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159,865</w:t>
            </w:r>
          </w:p>
        </w:tc>
        <w:tc>
          <w:tcPr>
            <w:tcW w:w="100" w:type="dxa"/>
            <w:vAlign w:val="bottom"/>
          </w:tcPr>
          <w:p>
            <w:pPr>
              <w:spacing w:after="0"/>
              <w:rPr>
                <w:sz w:val="20"/>
                <w:szCs w:val="20"/>
                <w:color w:val="auto"/>
              </w:rPr>
            </w:pPr>
          </w:p>
        </w:tc>
      </w:tr>
      <w:tr>
        <w:trPr>
          <w:trHeight w:val="247"/>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Mezzanine equity:</w:t>
            </w: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311,253</w:t>
            </w:r>
          </w:p>
        </w:tc>
        <w:tc>
          <w:tcPr>
            <w:tcW w:w="100" w:type="dxa"/>
            <w:vAlign w:val="bottom"/>
          </w:tcPr>
          <w:p>
            <w:pPr>
              <w:spacing w:after="0"/>
              <w:rPr>
                <w:sz w:val="20"/>
                <w:szCs w:val="20"/>
                <w:color w:val="auto"/>
              </w:rPr>
            </w:pPr>
          </w:p>
        </w:tc>
      </w:tr>
      <w:tr>
        <w:trPr>
          <w:trHeight w:val="243"/>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489,333</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(148,051 )</w:t>
            </w:r>
          </w:p>
        </w:tc>
      </w:tr>
      <w:tr>
        <w:trPr>
          <w:trHeight w:val="236"/>
        </w:trPr>
        <w:tc>
          <w:tcPr>
            <w:tcW w:w="7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mezzanine equity and stockholders’ equity (deficit)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681,539</w:t>
            </w:r>
          </w:p>
        </w:tc>
        <w:tc>
          <w:tcPr>
            <w:tcW w:w="280" w:type="dxa"/>
            <w:vAlign w:val="bottom"/>
            <w:tcBorders>
              <w:top w:val="single" w:sz="8" w:color="CFF0FC"/>
            </w:tcBorders>
          </w:tcPr>
          <w:p>
            <w:pPr>
              <w:spacing w:after="0"/>
              <w:rPr>
                <w:sz w:val="20"/>
                <w:szCs w:val="20"/>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323,067</w:t>
            </w:r>
          </w:p>
        </w:tc>
        <w:tc>
          <w:tcPr>
            <w:tcW w:w="100" w:type="dxa"/>
            <w:vAlign w:val="bottom"/>
            <w:tcBorders>
              <w:top w:val="single" w:sz="8" w:color="CFF0FC"/>
            </w:tcBorders>
          </w:tcPr>
          <w:p>
            <w:pPr>
              <w:spacing w:after="0"/>
              <w:rPr>
                <w:sz w:val="20"/>
                <w:szCs w:val="20"/>
                <w:color w:val="auto"/>
              </w:rPr>
            </w:pPr>
          </w:p>
        </w:tc>
      </w:tr>
      <w:tr>
        <w:trPr>
          <w:trHeight w:val="20"/>
        </w:trPr>
        <w:tc>
          <w:tcPr>
            <w:tcW w:w="7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27"/>
        </w:trPr>
        <w:tc>
          <w:tcPr>
            <w:tcW w:w="7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5930265</wp:posOffset>
            </wp:positionH>
            <wp:positionV relativeFrom="paragraph">
              <wp:posOffset>-5890260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-5890260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-4648835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-4648835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-2919095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-2919095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-1677670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-1677670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-1052830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-1052830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8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40"/>
        </w:trPr>
        <w:tc>
          <w:tcPr>
            <w:tcW w:w="77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(104,813 )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(54,880 )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Bargain purchase gain</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(25,213 )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9,648</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00" w:type="dxa"/>
            <w:vAlign w:val="bottom"/>
            <w:shd w:val="clear" w:color="auto" w:fill="CFF0FC"/>
          </w:tcPr>
          <w:p>
            <w:pPr>
              <w:spacing w:after="0"/>
              <w:rPr>
                <w:sz w:val="21"/>
                <w:szCs w:val="2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Accretion of discount on short-term investments, net</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(6,303 )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(321 )</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lease expense</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shd w:val="clear" w:color="auto" w:fill="CFF0FC"/>
          </w:tcPr>
          <w:p>
            <w:pPr>
              <w:spacing w:after="0"/>
              <w:rPr>
                <w:sz w:val="21"/>
                <w:szCs w:val="2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4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(474 )</w:t>
            </w: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non-cash items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FF0FC"/>
          </w:tcPr>
          <w:p>
            <w:pPr>
              <w:spacing w:after="0"/>
              <w:rPr>
                <w:sz w:val="21"/>
                <w:szCs w:val="2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w:t>
            </w:r>
          </w:p>
        </w:tc>
        <w:tc>
          <w:tcPr>
            <w:tcW w:w="24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(37,212 )</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(129,395 )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(29,226 )</w:t>
            </w:r>
          </w:p>
        </w:tc>
      </w:tr>
      <w:tr>
        <w:trPr>
          <w:trHeight w:val="476"/>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restricted cash acquired in merger</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280,033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24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(226,612 )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(55,857 )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sales and maturities of investments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289,000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91,964</w:t>
            </w:r>
          </w:p>
        </w:tc>
        <w:tc>
          <w:tcPr>
            <w:tcW w:w="100" w:type="dxa"/>
            <w:vAlign w:val="bottom"/>
            <w:shd w:val="clear" w:color="auto" w:fill="CFF0FC"/>
          </w:tcPr>
          <w:p>
            <w:pPr>
              <w:spacing w:after="0"/>
              <w:rPr>
                <w:sz w:val="21"/>
                <w:szCs w:val="2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(4,973 )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(2,753 )</w:t>
            </w: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337,448</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33,354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7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 of term loan and convertible notes</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(8,192 )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(833 )</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term loan fee</w:t>
            </w:r>
          </w:p>
        </w:tc>
        <w:tc>
          <w:tcPr>
            <w:tcW w:w="24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(545 )</w:t>
            </w: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(40,490 )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(5,240 )</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ESPP stock issuance</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 for taxes related to net share settlement of equity awards and other</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(414 )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(139 )</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0"/>
                <w:szCs w:val="20"/>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(48,096 )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(5,806 )</w:t>
            </w:r>
          </w:p>
        </w:tc>
      </w:tr>
      <w:tr>
        <w:trPr>
          <w:trHeight w:val="20"/>
        </w:trPr>
        <w:tc>
          <w:tcPr>
            <w:tcW w:w="77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fluctuations on cash and cash equivalents</w:t>
            </w:r>
          </w:p>
        </w:tc>
        <w:tc>
          <w:tcPr>
            <w:tcW w:w="24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(518 )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(196 )</w:t>
            </w:r>
          </w:p>
        </w:tc>
      </w:tr>
      <w:tr>
        <w:trPr>
          <w:trHeight w:val="20"/>
        </w:trPr>
        <w:tc>
          <w:tcPr>
            <w:tcW w:w="7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159,439</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(1,874 )</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52,499</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82,324</w:t>
            </w:r>
          </w:p>
        </w:tc>
        <w:tc>
          <w:tcPr>
            <w:tcW w:w="100" w:type="dxa"/>
            <w:vAlign w:val="bottom"/>
          </w:tcPr>
          <w:p>
            <w:pPr>
              <w:spacing w:after="0"/>
              <w:rPr>
                <w:sz w:val="20"/>
                <w:szCs w:val="20"/>
                <w:color w:val="auto"/>
              </w:rPr>
            </w:pP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211,938</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80,450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6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consists of:</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210,647</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79,655</w:t>
            </w:r>
          </w:p>
        </w:tc>
        <w:tc>
          <w:tcPr>
            <w:tcW w:w="100" w:type="dxa"/>
            <w:vAlign w:val="bottom"/>
            <w:shd w:val="clear" w:color="auto" w:fill="CFF0FC"/>
          </w:tcPr>
          <w:p>
            <w:pPr>
              <w:spacing w:after="0"/>
              <w:rPr>
                <w:sz w:val="21"/>
                <w:szCs w:val="2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20"/>
                <w:szCs w:val="20"/>
                <w:color w:val="auto"/>
              </w:rPr>
            </w:pP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211,938</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80,450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313"/>
        </w:trPr>
        <w:tc>
          <w:tcPr>
            <w:tcW w:w="7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-4828540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-4828540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-3732530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-3732530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-2328545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-2328545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-1685925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-1668780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-1685925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-1668780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-881380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-864235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-881380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-864235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REVENUE AND NON-GAAP PRO FORMA COMBINED REVENUE</w:t>
      </w: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180" w:type="dxa"/>
            <w:vAlign w:val="bottom"/>
          </w:tcPr>
          <w:p>
            <w:pPr>
              <w:spacing w:after="0"/>
              <w:rPr>
                <w:sz w:val="14"/>
                <w:szCs w:val="14"/>
                <w:color w:val="auto"/>
              </w:rPr>
            </w:pPr>
          </w:p>
        </w:tc>
        <w:tc>
          <w:tcPr>
            <w:tcW w:w="2880" w:type="dxa"/>
            <w:vAlign w:val="bottom"/>
            <w:tcBorders>
              <w:bottom w:val="single" w:sz="8" w:color="auto"/>
            </w:tcBorders>
            <w:gridSpan w:val="5"/>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4"/>
                <w:szCs w:val="14"/>
                <w:color w:val="auto"/>
              </w:rPr>
            </w:pPr>
          </w:p>
        </w:tc>
      </w:tr>
      <w:tr>
        <w:trPr>
          <w:trHeight w:val="169"/>
        </w:trPr>
        <w:tc>
          <w:tcPr>
            <w:tcW w:w="518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8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Instruments</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5,586</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9,002</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19,959</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26,512</w:t>
            </w:r>
          </w:p>
        </w:tc>
        <w:tc>
          <w:tcPr>
            <w:tcW w:w="100" w:type="dxa"/>
            <w:vAlign w:val="bottom"/>
          </w:tcPr>
          <w:p>
            <w:pPr>
              <w:spacing w:after="0"/>
              <w:rPr>
                <w:sz w:val="20"/>
                <w:szCs w:val="20"/>
                <w:color w:val="auto"/>
              </w:rPr>
            </w:pPr>
          </w:p>
        </w:tc>
      </w:tr>
      <w:tr>
        <w:trPr>
          <w:trHeight w:val="243"/>
        </w:trPr>
        <w:tc>
          <w:tcPr>
            <w:tcW w:w="5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Consumables</w:t>
            </w:r>
          </w:p>
        </w:tc>
        <w:tc>
          <w:tcPr>
            <w:tcW w:w="80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14,007</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9,709</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45,389</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product revenue</w:t>
            </w:r>
          </w:p>
        </w:tc>
        <w:tc>
          <w:tcPr>
            <w:tcW w:w="8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19,593</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65,348</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57,814</w:t>
            </w:r>
          </w:p>
        </w:tc>
        <w:tc>
          <w:tcPr>
            <w:tcW w:w="100" w:type="dxa"/>
            <w:vAlign w:val="bottom"/>
          </w:tcPr>
          <w:p>
            <w:pPr>
              <w:spacing w:after="0"/>
              <w:rPr>
                <w:sz w:val="20"/>
                <w:szCs w:val="20"/>
                <w:color w:val="auto"/>
              </w:rPr>
            </w:pPr>
          </w:p>
        </w:tc>
      </w:tr>
      <w:tr>
        <w:trPr>
          <w:trHeight w:val="247"/>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8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Lab services</w:t>
            </w:r>
          </w:p>
        </w:tc>
        <w:tc>
          <w:tcPr>
            <w:tcW w:w="8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18,247</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20"/>
                <w:szCs w:val="20"/>
                <w:color w:val="auto"/>
              </w:rPr>
            </w:pPr>
          </w:p>
        </w:tc>
      </w:tr>
      <w:tr>
        <w:trPr>
          <w:trHeight w:val="243"/>
        </w:trPr>
        <w:tc>
          <w:tcPr>
            <w:tcW w:w="5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Field services</w:t>
            </w:r>
          </w:p>
        </w:tc>
        <w:tc>
          <w:tcPr>
            <w:tcW w:w="80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18,738</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service revenue</w:t>
            </w:r>
          </w:p>
        </w:tc>
        <w:tc>
          <w:tcPr>
            <w:tcW w:w="8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24,438</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59,518</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19,268</w:t>
            </w:r>
          </w:p>
        </w:tc>
        <w:tc>
          <w:tcPr>
            <w:tcW w:w="100" w:type="dxa"/>
            <w:vAlign w:val="bottom"/>
          </w:tcPr>
          <w:p>
            <w:pPr>
              <w:spacing w:after="0"/>
              <w:rPr>
                <w:sz w:val="20"/>
                <w:szCs w:val="20"/>
                <w:color w:val="auto"/>
              </w:rPr>
            </w:pPr>
          </w:p>
        </w:tc>
      </w:tr>
      <w:tr>
        <w:trPr>
          <w:trHeight w:val="240"/>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and service revenue</w:t>
            </w:r>
          </w:p>
        </w:tc>
        <w:tc>
          <w:tcPr>
            <w:tcW w:w="80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44,031</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25,277</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124,866</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77,082</w:t>
            </w:r>
          </w:p>
        </w:tc>
        <w:tc>
          <w:tcPr>
            <w:tcW w:w="100" w:type="dxa"/>
            <w:vAlign w:val="bottom"/>
            <w:shd w:val="clear" w:color="auto" w:fill="CFF0FC"/>
          </w:tcPr>
          <w:p>
            <w:pPr>
              <w:spacing w:after="0"/>
              <w:rPr>
                <w:sz w:val="20"/>
                <w:szCs w:val="20"/>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and other revenue</w:t>
            </w:r>
          </w:p>
        </w:tc>
        <w:tc>
          <w:tcPr>
            <w:tcW w:w="8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Pr>
          <w:p>
            <w:pPr>
              <w:spacing w:after="0"/>
              <w:rPr>
                <w:sz w:val="20"/>
                <w:szCs w:val="20"/>
                <w:color w:val="auto"/>
              </w:rPr>
            </w:pPr>
          </w:p>
        </w:tc>
      </w:tr>
      <w:tr>
        <w:trPr>
          <w:trHeight w:val="276"/>
        </w:trPr>
        <w:tc>
          <w:tcPr>
            <w:tcW w:w="5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44,969</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25,367</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127,714</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78,152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59"/>
        </w:trPr>
        <w:tc>
          <w:tcPr>
            <w:tcW w:w="51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Non-GAAP Pro Forma</w:t>
            </w: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5180" w:type="dxa"/>
            <w:vAlign w:val="bottom"/>
          </w:tcPr>
          <w:p>
            <w:pPr>
              <w:spacing w:after="0"/>
              <w:rPr>
                <w:sz w:val="20"/>
                <w:szCs w:val="20"/>
                <w:color w:val="auto"/>
              </w:rPr>
            </w:pPr>
          </w:p>
        </w:tc>
        <w:tc>
          <w:tcPr>
            <w:tcW w:w="2880" w:type="dxa"/>
            <w:vAlign w:val="bottom"/>
            <w:gridSpan w:val="5"/>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4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6"/>
        </w:trPr>
        <w:tc>
          <w:tcPr>
            <w:tcW w:w="51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0"/>
                <w:szCs w:val="20"/>
                <w:color w:val="auto"/>
              </w:rPr>
            </w:pPr>
          </w:p>
        </w:tc>
      </w:tr>
      <w:tr>
        <w:trPr>
          <w:trHeight w:val="23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8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Instruments</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5,586</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9,712</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19,959</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27,683</w:t>
            </w:r>
          </w:p>
        </w:tc>
        <w:tc>
          <w:tcPr>
            <w:tcW w:w="100" w:type="dxa"/>
            <w:vAlign w:val="bottom"/>
          </w:tcPr>
          <w:p>
            <w:pPr>
              <w:spacing w:after="0"/>
              <w:rPr>
                <w:sz w:val="20"/>
                <w:szCs w:val="20"/>
                <w:color w:val="auto"/>
              </w:rPr>
            </w:pPr>
          </w:p>
        </w:tc>
      </w:tr>
      <w:tr>
        <w:trPr>
          <w:trHeight w:val="243"/>
        </w:trPr>
        <w:tc>
          <w:tcPr>
            <w:tcW w:w="5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Consumables</w:t>
            </w:r>
          </w:p>
        </w:tc>
        <w:tc>
          <w:tcPr>
            <w:tcW w:w="80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14,007</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12,417</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45,389</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37,644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product revenue</w:t>
            </w:r>
          </w:p>
        </w:tc>
        <w:tc>
          <w:tcPr>
            <w:tcW w:w="8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19,593</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22,129</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65,348</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65,327</w:t>
            </w:r>
          </w:p>
        </w:tc>
        <w:tc>
          <w:tcPr>
            <w:tcW w:w="100" w:type="dxa"/>
            <w:vAlign w:val="bottom"/>
          </w:tcPr>
          <w:p>
            <w:pPr>
              <w:spacing w:after="0"/>
              <w:rPr>
                <w:sz w:val="20"/>
                <w:szCs w:val="20"/>
                <w:color w:val="auto"/>
              </w:rPr>
            </w:pPr>
          </w:p>
        </w:tc>
      </w:tr>
      <w:tr>
        <w:trPr>
          <w:trHeight w:val="247"/>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8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Lab services</w:t>
            </w:r>
          </w:p>
        </w:tc>
        <w:tc>
          <w:tcPr>
            <w:tcW w:w="8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18,247</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41,384</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53,446</w:t>
            </w:r>
          </w:p>
        </w:tc>
        <w:tc>
          <w:tcPr>
            <w:tcW w:w="100" w:type="dxa"/>
            <w:vAlign w:val="bottom"/>
          </w:tcPr>
          <w:p>
            <w:pPr>
              <w:spacing w:after="0"/>
              <w:rPr>
                <w:sz w:val="20"/>
                <w:szCs w:val="20"/>
                <w:color w:val="auto"/>
              </w:rPr>
            </w:pPr>
          </w:p>
        </w:tc>
      </w:tr>
      <w:tr>
        <w:trPr>
          <w:trHeight w:val="243"/>
        </w:trPr>
        <w:tc>
          <w:tcPr>
            <w:tcW w:w="5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Field services</w:t>
            </w:r>
          </w:p>
        </w:tc>
        <w:tc>
          <w:tcPr>
            <w:tcW w:w="80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18,738</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service revenue</w:t>
            </w:r>
          </w:p>
        </w:tc>
        <w:tc>
          <w:tcPr>
            <w:tcW w:w="8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24,438</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24,432</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60,122</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72,150</w:t>
            </w:r>
          </w:p>
        </w:tc>
        <w:tc>
          <w:tcPr>
            <w:tcW w:w="100" w:type="dxa"/>
            <w:vAlign w:val="bottom"/>
          </w:tcPr>
          <w:p>
            <w:pPr>
              <w:spacing w:after="0"/>
              <w:rPr>
                <w:sz w:val="20"/>
                <w:szCs w:val="20"/>
                <w:color w:val="auto"/>
              </w:rPr>
            </w:pPr>
          </w:p>
        </w:tc>
      </w:tr>
      <w:tr>
        <w:trPr>
          <w:trHeight w:val="240"/>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and service revenue</w:t>
            </w:r>
          </w:p>
        </w:tc>
        <w:tc>
          <w:tcPr>
            <w:tcW w:w="80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44,031</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46,561</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125,470</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137,477</w:t>
            </w:r>
          </w:p>
        </w:tc>
        <w:tc>
          <w:tcPr>
            <w:tcW w:w="100" w:type="dxa"/>
            <w:vAlign w:val="bottom"/>
            <w:shd w:val="clear" w:color="auto" w:fill="CFF0FC"/>
          </w:tcPr>
          <w:p>
            <w:pPr>
              <w:spacing w:after="0"/>
              <w:rPr>
                <w:sz w:val="20"/>
                <w:szCs w:val="20"/>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and other revenue</w:t>
            </w:r>
          </w:p>
        </w:tc>
        <w:tc>
          <w:tcPr>
            <w:tcW w:w="8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00" w:type="dxa"/>
            <w:vAlign w:val="bottom"/>
          </w:tcPr>
          <w:p>
            <w:pPr>
              <w:spacing w:after="0"/>
              <w:rPr>
                <w:sz w:val="20"/>
                <w:szCs w:val="20"/>
                <w:color w:val="auto"/>
              </w:rPr>
            </w:pPr>
          </w:p>
        </w:tc>
      </w:tr>
      <w:tr>
        <w:trPr>
          <w:trHeight w:val="27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8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44,969</w:t>
            </w:r>
          </w:p>
        </w:tc>
        <w:tc>
          <w:tcPr>
            <w:tcW w:w="5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47,415</w:t>
            </w:r>
          </w:p>
        </w:tc>
        <w:tc>
          <w:tcPr>
            <w:tcW w:w="5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128,359</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141,047</w:t>
            </w:r>
          </w:p>
        </w:tc>
        <w:tc>
          <w:tcPr>
            <w:tcW w:w="100" w:type="dxa"/>
            <w:vAlign w:val="bottom"/>
            <w:shd w:val="clear" w:color="auto" w:fill="CFF0FC"/>
          </w:tcPr>
          <w:p>
            <w:pPr>
              <w:spacing w:after="0"/>
              <w:rPr>
                <w:sz w:val="24"/>
                <w:szCs w:val="24"/>
                <w:color w:val="auto"/>
              </w:rPr>
            </w:pPr>
          </w:p>
        </w:tc>
      </w:tr>
      <w:tr>
        <w:trPr>
          <w:trHeight w:val="1313"/>
        </w:trPr>
        <w:tc>
          <w:tcPr>
            <w:tcW w:w="5180" w:type="dxa"/>
            <w:vAlign w:val="bottom"/>
            <w:tcBorders>
              <w:top w:val="single" w:sz="8" w:color="CFF0FC"/>
              <w:bottom w:val="single" w:sz="8" w:color="9A9A9A"/>
            </w:tcBorders>
          </w:tcPr>
          <w:p>
            <w:pPr>
              <w:spacing w:after="0"/>
              <w:rPr>
                <w:sz w:val="24"/>
                <w:szCs w:val="24"/>
                <w:color w:val="auto"/>
              </w:rPr>
            </w:pPr>
          </w:p>
        </w:tc>
        <w:tc>
          <w:tcPr>
            <w:tcW w:w="800" w:type="dxa"/>
            <w:vAlign w:val="bottom"/>
            <w:tcBorders>
              <w:top w:val="single" w:sz="8" w:color="auto"/>
              <w:bottom w:val="single" w:sz="8" w:color="9A9A9A"/>
            </w:tcBorders>
          </w:tcPr>
          <w:p>
            <w:pPr>
              <w:spacing w:after="0"/>
              <w:rPr>
                <w:sz w:val="24"/>
                <w:szCs w:val="24"/>
                <w:color w:val="auto"/>
              </w:rPr>
            </w:pPr>
          </w:p>
        </w:tc>
        <w:tc>
          <w:tcPr>
            <w:tcW w:w="500" w:type="dxa"/>
            <w:vAlign w:val="bottom"/>
            <w:tcBorders>
              <w:top w:val="single" w:sz="8" w:color="auto"/>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1000" w:type="dxa"/>
            <w:vAlign w:val="bottom"/>
            <w:tcBorders>
              <w:top w:val="single" w:sz="8" w:color="auto"/>
              <w:bottom w:val="single" w:sz="8" w:color="9A9A9A"/>
            </w:tcBorders>
          </w:tcPr>
          <w:p>
            <w:pPr>
              <w:spacing w:after="0"/>
              <w:rPr>
                <w:sz w:val="24"/>
                <w:szCs w:val="24"/>
                <w:color w:val="auto"/>
              </w:rPr>
            </w:pPr>
          </w:p>
        </w:tc>
        <w:tc>
          <w:tcPr>
            <w:tcW w:w="260" w:type="dxa"/>
            <w:vAlign w:val="bottom"/>
            <w:tcBorders>
              <w:top w:val="single" w:sz="8" w:color="CFF0FC"/>
              <w:bottom w:val="single" w:sz="8" w:color="9A9A9A"/>
            </w:tcBorders>
          </w:tcPr>
          <w:p>
            <w:pPr>
              <w:spacing w:after="0"/>
              <w:rPr>
                <w:sz w:val="24"/>
                <w:szCs w:val="24"/>
                <w:color w:val="auto"/>
              </w:rPr>
            </w:pPr>
          </w:p>
        </w:tc>
        <w:tc>
          <w:tcPr>
            <w:tcW w:w="280" w:type="dxa"/>
            <w:vAlign w:val="bottom"/>
            <w:tcBorders>
              <w:top w:val="single" w:sz="8" w:color="auto"/>
              <w:bottom w:val="single" w:sz="8" w:color="9A9A9A"/>
            </w:tcBorders>
          </w:tcPr>
          <w:p>
            <w:pPr>
              <w:spacing w:after="0"/>
              <w:rPr>
                <w:sz w:val="24"/>
                <w:szCs w:val="24"/>
                <w:color w:val="auto"/>
              </w:rPr>
            </w:pPr>
          </w:p>
        </w:tc>
        <w:tc>
          <w:tcPr>
            <w:tcW w:w="1000" w:type="dxa"/>
            <w:vAlign w:val="bottom"/>
            <w:tcBorders>
              <w:top w:val="single" w:sz="8" w:color="auto"/>
              <w:bottom w:val="single" w:sz="8" w:color="9A9A9A"/>
            </w:tcBorders>
          </w:tcPr>
          <w:p>
            <w:pPr>
              <w:spacing w:after="0"/>
              <w:rPr>
                <w:sz w:val="24"/>
                <w:szCs w:val="24"/>
                <w:color w:val="auto"/>
              </w:rPr>
            </w:pPr>
          </w:p>
        </w:tc>
        <w:tc>
          <w:tcPr>
            <w:tcW w:w="260" w:type="dxa"/>
            <w:vAlign w:val="bottom"/>
            <w:tcBorders>
              <w:top w:val="single" w:sz="8" w:color="CFF0FC"/>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9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4114800</wp:posOffset>
            </wp:positionH>
            <wp:positionV relativeFrom="paragraph">
              <wp:posOffset>-4665980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-4665980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-4665980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-4665980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-4040505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-4040505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-4040505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-4040505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-3398520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-3381375</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-3398520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-3381375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-3398520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-3381375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-3398520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-3381375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-2148840</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-2148840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-2148840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-2148840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-1523365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-1523365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-1523365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-1523365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-881380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-864235</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-881380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-864235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-881380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-864235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-881380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-864235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1" w:name="page12"/>
    <w:bookmarkEnd w:id="11"/>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INFORMATION</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ITEMIZED RECONCILIATION OF GAAP TO NON-GAAP GROSS PROFIT AND MARGIN PERCENTAGE</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6"/>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2880" w:type="dxa"/>
            <w:vAlign w:val="bottom"/>
            <w:gridSpan w:val="5"/>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right"/>
              <w:ind w:right="4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3"/>
          </w:tcPr>
          <w:p>
            <w:pPr>
              <w:jc w:val="center"/>
              <w:ind w:right="4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23,261</w:t>
            </w:r>
          </w:p>
        </w:tc>
        <w:tc>
          <w:tcPr>
            <w:tcW w:w="240" w:type="dxa"/>
            <w:vAlign w:val="bottom"/>
            <w:shd w:val="clear" w:color="auto" w:fill="CFF0FC"/>
          </w:tcPr>
          <w:p>
            <w:pPr>
              <w:spacing w:after="0"/>
              <w:rPr>
                <w:sz w:val="21"/>
                <w:szCs w:val="21"/>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62,357</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37,093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Cost of sales adjustment</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(1,812 )</w:t>
            </w:r>
          </w:p>
        </w:tc>
        <w:tc>
          <w:tcPr>
            <w:tcW w:w="1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Non-GAAP gross profit</w:t>
            </w:r>
          </w:p>
        </w:tc>
        <w:tc>
          <w:tcPr>
            <w:tcW w:w="6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25,625</w:t>
            </w:r>
          </w:p>
        </w:tc>
        <w:tc>
          <w:tcPr>
            <w:tcW w:w="24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14,475</w:t>
            </w:r>
          </w:p>
        </w:tc>
        <w:tc>
          <w:tcPr>
            <w:tcW w:w="26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67,928</w:t>
            </w:r>
          </w:p>
        </w:tc>
        <w:tc>
          <w:tcPr>
            <w:tcW w:w="2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47,132</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percentage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51.7 %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44.0 %</w:t>
            </w:r>
          </w:p>
        </w:tc>
        <w:tc>
          <w:tcPr>
            <w:tcW w:w="120" w:type="dxa"/>
            <w:vAlign w:val="bottom"/>
          </w:tcPr>
          <w:p>
            <w:pPr>
              <w:spacing w:after="0"/>
              <w:rPr>
                <w:sz w:val="20"/>
                <w:szCs w:val="20"/>
                <w:color w:val="auto"/>
              </w:rPr>
            </w:pP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48.8 %</w:t>
            </w:r>
          </w:p>
        </w:tc>
        <w:tc>
          <w:tcPr>
            <w:tcW w:w="12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0" w:type="dxa"/>
            <w:vAlign w:val="bottom"/>
          </w:tcPr>
          <w:p>
            <w:pPr>
              <w:spacing w:after="0"/>
              <w:rPr>
                <w:sz w:val="1"/>
                <w:szCs w:val="1"/>
                <w:color w:val="auto"/>
              </w:rPr>
            </w:pPr>
          </w:p>
        </w:tc>
      </w:tr>
      <w:tr>
        <w:trPr>
          <w:trHeight w:val="238"/>
        </w:trPr>
        <w:tc>
          <w:tcPr>
            <w:tcW w:w="4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11.0 %</w:t>
            </w:r>
          </w:p>
        </w:tc>
        <w:tc>
          <w:tcPr>
            <w:tcW w:w="120" w:type="dxa"/>
            <w:vAlign w:val="bottom"/>
          </w:tcPr>
          <w:p>
            <w:pPr>
              <w:spacing w:after="0"/>
              <w:rPr>
                <w:sz w:val="20"/>
                <w:szCs w:val="20"/>
                <w:color w:val="auto"/>
              </w:rPr>
            </w:pP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243"/>
        </w:trPr>
        <w:tc>
          <w:tcPr>
            <w:tcW w:w="4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3.2 %</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21"/>
                <w:szCs w:val="21"/>
                <w:color w:val="auto"/>
              </w:rPr>
            </w:pP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43"/>
        </w:trPr>
        <w:tc>
          <w:tcPr>
            <w:tcW w:w="4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0.8 %</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tcPr>
          <w:p>
            <w:pPr>
              <w:spacing w:after="0"/>
              <w:rPr>
                <w:sz w:val="21"/>
                <w:szCs w:val="21"/>
                <w:color w:val="auto"/>
              </w:rPr>
            </w:pP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43"/>
        </w:trPr>
        <w:tc>
          <w:tcPr>
            <w:tcW w:w="4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sales adjustment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0.0 %</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21"/>
                <w:szCs w:val="21"/>
                <w:color w:val="auto"/>
              </w:rPr>
            </w:pP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7"/>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Non-GAAP gross margin percentage</w:t>
            </w: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8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7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56.9 %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57.0 %</w:t>
            </w:r>
          </w:p>
        </w:tc>
        <w:tc>
          <w:tcPr>
            <w:tcW w:w="120" w:type="dxa"/>
            <w:vAlign w:val="bottom"/>
          </w:tcPr>
          <w:p>
            <w:pPr>
              <w:spacing w:after="0"/>
              <w:rPr>
                <w:sz w:val="20"/>
                <w:szCs w:val="20"/>
                <w:color w:val="auto"/>
              </w:rPr>
            </w:pP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53.2 %</w:t>
            </w:r>
          </w:p>
        </w:tc>
        <w:tc>
          <w:tcPr>
            <w:tcW w:w="12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60.3 %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2"/>
        </w:trPr>
        <w:tc>
          <w:tcPr>
            <w:tcW w:w="47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Non-GAAP Pro Forma Combined</w:t>
            </w: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gridSpan w:val="6"/>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2880" w:type="dxa"/>
            <w:vAlign w:val="bottom"/>
            <w:gridSpan w:val="5"/>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7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3"/>
          </w:tcPr>
          <w:p>
            <w:pPr>
              <w:jc w:val="right"/>
              <w:ind w:right="440"/>
              <w:spacing w:after="0" w:line="20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jc w:val="right"/>
              <w:ind w:right="90"/>
              <w:spacing w:after="0" w:line="20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3"/>
          </w:tcPr>
          <w:p>
            <w:pPr>
              <w:jc w:val="center"/>
              <w:ind w:right="3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76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23,261</w:t>
            </w:r>
          </w:p>
        </w:tc>
        <w:tc>
          <w:tcPr>
            <w:tcW w:w="240" w:type="dxa"/>
            <w:vAlign w:val="bottom"/>
            <w:shd w:val="clear" w:color="auto" w:fill="CFF0FC"/>
          </w:tcPr>
          <w:p>
            <w:pPr>
              <w:spacing w:after="0"/>
              <w:rPr>
                <w:sz w:val="22"/>
                <w:szCs w:val="22"/>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20,138</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60,942</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61,924</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24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Cost of sales adjustment</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5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(1,337 )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Non-GAAP gross profit</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25,625</w:t>
            </w: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24,513</w:t>
            </w:r>
          </w:p>
        </w:tc>
        <w:tc>
          <w:tcPr>
            <w:tcW w:w="26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68,325</w:t>
            </w:r>
          </w:p>
        </w:tc>
        <w:tc>
          <w:tcPr>
            <w:tcW w:w="26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73,620</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7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-2859405</wp:posOffset>
            </wp:positionV>
            <wp:extent cx="713232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-2550795</wp:posOffset>
            </wp:positionV>
            <wp:extent cx="713232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-3355975</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-3355975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-3355975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-3355975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-2233930</wp:posOffset>
            </wp:positionV>
            <wp:extent cx="7132320" cy="1797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-350520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-350520</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-350520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340"/>
          </w:cols>
          <w:pgMar w:left="320" w:top="1128" w:right="2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Gross margin percentage</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Amortization of acquired intangible assets</w:t>
      </w:r>
    </w:p>
    <w:p>
      <w:pPr>
        <w:spacing w:after="0" w:line="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p>
      <w:pPr>
        <w:spacing w:after="0" w:line="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Cost of sales adjustment</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Non-GAAP gross margin percentage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51.7 %</w:t>
            </w:r>
          </w:p>
        </w:tc>
        <w:tc>
          <w:tcPr>
            <w:tcW w:w="1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42.5 %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43.9 %</w:t>
            </w:r>
          </w:p>
        </w:tc>
      </w:tr>
      <w:tr>
        <w:trPr>
          <w:trHeight w:val="256"/>
        </w:trPr>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1.2 %</w:t>
            </w:r>
          </w:p>
        </w:tc>
        <w:tc>
          <w:tcPr>
            <w:tcW w:w="1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7.1 %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56"/>
        </w:trPr>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3.2 %</w:t>
            </w:r>
          </w:p>
        </w:tc>
        <w:tc>
          <w:tcPr>
            <w:tcW w:w="1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56"/>
        </w:trPr>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0.8 %</w:t>
            </w:r>
          </w:p>
        </w:tc>
        <w:tc>
          <w:tcPr>
            <w:tcW w:w="1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0.5 %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50"/>
        </w:trPr>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0.0 %</w:t>
            </w:r>
          </w:p>
        </w:tc>
        <w:tc>
          <w:tcPr>
            <w:tcW w:w="1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38"/>
        </w:trPr>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-829945</wp:posOffset>
            </wp:positionV>
            <wp:extent cx="7132320" cy="1625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-504825</wp:posOffset>
            </wp:positionV>
            <wp:extent cx="7132320" cy="162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-179070</wp:posOffset>
            </wp:positionV>
            <wp:extent cx="7132320" cy="1797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963295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040" w:space="720"/>
            <w:col w:w="6580"/>
          </w:cols>
          <w:pgMar w:left="320" w:top="1128" w:right="2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ITEMIZED RECONCILIATION OF GAAP TO NON-GAAP OPERATING EXPENSES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5"/>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4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2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28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20"/>
                <w:szCs w:val="20"/>
                <w:color w:val="auto"/>
              </w:rPr>
            </w:pPr>
          </w:p>
        </w:tc>
      </w:tr>
      <w:tr>
        <w:trPr>
          <w:trHeight w:val="203"/>
        </w:trPr>
        <w:tc>
          <w:tcPr>
            <w:tcW w:w="48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2"/>
          </w:tcPr>
          <w:p>
            <w:pPr>
              <w:jc w:val="center"/>
              <w:ind w:right="4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center"/>
              <w:ind w:right="3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7"/>
                <w:szCs w:val="17"/>
                <w:color w:val="auto"/>
              </w:rPr>
            </w:pPr>
          </w:p>
        </w:tc>
      </w:tr>
      <w:tr>
        <w:trPr>
          <w:trHeight w:val="245"/>
        </w:trPr>
        <w:tc>
          <w:tcPr>
            <w:tcW w:w="48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4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54,979</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32,326</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204,776</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92,307</w:t>
            </w:r>
          </w:p>
        </w:tc>
        <w:tc>
          <w:tcPr>
            <w:tcW w:w="100" w:type="dxa"/>
            <w:vAlign w:val="bottom"/>
            <w:shd w:val="clear" w:color="auto" w:fill="CFF0FC"/>
          </w:tcPr>
          <w:p>
            <w:pPr>
              <w:spacing w:after="0"/>
              <w:rPr>
                <w:sz w:val="21"/>
                <w:szCs w:val="21"/>
                <w:color w:val="auto"/>
              </w:rPr>
            </w:pPr>
          </w:p>
        </w:tc>
      </w:tr>
      <w:tr>
        <w:trPr>
          <w:trHeight w:val="238"/>
        </w:trPr>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14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(2,341 )</w:t>
            </w: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(1,998 )</w:t>
            </w:r>
          </w:p>
        </w:tc>
        <w:tc>
          <w:tcPr>
            <w:tcW w:w="10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(12,374 )</w:t>
            </w:r>
          </w:p>
        </w:tc>
        <w:tc>
          <w:tcPr>
            <w:tcW w:w="1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(5,415 )</w:t>
            </w:r>
          </w:p>
        </w:tc>
      </w:tr>
      <w:tr>
        <w:trPr>
          <w:trHeight w:val="247"/>
        </w:trPr>
        <w:tc>
          <w:tcPr>
            <w:tcW w:w="4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(5,079 )</w:t>
            </w:r>
          </w:p>
        </w:tc>
        <w:tc>
          <w:tcPr>
            <w:tcW w:w="1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(1,666 )</w:t>
            </w:r>
          </w:p>
        </w:tc>
        <w:tc>
          <w:tcPr>
            <w:tcW w:w="1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(25,024 )</w:t>
            </w:r>
          </w:p>
        </w:tc>
        <w:tc>
          <w:tcPr>
            <w:tcW w:w="1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(1,666 )</w:t>
            </w:r>
          </w:p>
        </w:tc>
      </w:tr>
      <w:tr>
        <w:trPr>
          <w:trHeight w:val="238"/>
        </w:trPr>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(5,557 )</w:t>
            </w: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(3,198 )</w:t>
            </w:r>
          </w:p>
        </w:tc>
        <w:tc>
          <w:tcPr>
            <w:tcW w:w="10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(23,365 )</w:t>
            </w:r>
          </w:p>
        </w:tc>
        <w:tc>
          <w:tcPr>
            <w:tcW w:w="1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(9,000 )</w:t>
            </w:r>
          </w:p>
        </w:tc>
      </w:tr>
      <w:tr>
        <w:trPr>
          <w:trHeight w:val="247"/>
        </w:trPr>
        <w:tc>
          <w:tcPr>
            <w:tcW w:w="4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(161 )</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(482 )</w:t>
            </w: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(1,986 )</w:t>
            </w: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(853 )</w:t>
            </w:r>
          </w:p>
        </w:tc>
        <w:tc>
          <w:tcPr>
            <w:tcW w:w="10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(5,940 )</w:t>
            </w:r>
          </w:p>
        </w:tc>
        <w:tc>
          <w:tcPr>
            <w:tcW w:w="1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(1,883 )</w:t>
            </w:r>
          </w:p>
        </w:tc>
      </w:tr>
      <w:tr>
        <w:trPr>
          <w:trHeight w:val="243"/>
        </w:trPr>
        <w:tc>
          <w:tcPr>
            <w:tcW w:w="4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Gain/loss on disposal of property and equipment</w:t>
            </w: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(415 )</w:t>
            </w:r>
          </w:p>
        </w:tc>
        <w:tc>
          <w:tcPr>
            <w:tcW w:w="1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(73 )</w:t>
            </w:r>
          </w:p>
        </w:tc>
      </w:tr>
      <w:tr>
        <w:trPr>
          <w:trHeight w:val="236"/>
        </w:trPr>
        <w:tc>
          <w:tcPr>
            <w:tcW w:w="4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39,825</w:t>
            </w: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24,611</w:t>
            </w:r>
          </w:p>
        </w:tc>
        <w:tc>
          <w:tcPr>
            <w:tcW w:w="30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137,176</w:t>
            </w:r>
          </w:p>
        </w:tc>
        <w:tc>
          <w:tcPr>
            <w:tcW w:w="26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74,270</w:t>
            </w:r>
          </w:p>
        </w:tc>
        <w:tc>
          <w:tcPr>
            <w:tcW w:w="100" w:type="dxa"/>
            <w:vAlign w:val="bottom"/>
            <w:tcBorders>
              <w:top w:val="single" w:sz="8" w:color="CFF0FC"/>
            </w:tcBorders>
          </w:tcPr>
          <w:p>
            <w:pPr>
              <w:spacing w:after="0"/>
              <w:rPr>
                <w:sz w:val="20"/>
                <w:szCs w:val="20"/>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4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R&amp;D operating expenses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13,156</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48,358</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19,039</w:t>
            </w:r>
          </w:p>
        </w:tc>
        <w:tc>
          <w:tcPr>
            <w:tcW w:w="100" w:type="dxa"/>
            <w:vAlign w:val="bottom"/>
            <w:shd w:val="clear" w:color="auto" w:fill="CFF0FC"/>
          </w:tcPr>
          <w:p>
            <w:pPr>
              <w:spacing w:after="0"/>
              <w:rPr>
                <w:sz w:val="21"/>
                <w:szCs w:val="21"/>
                <w:color w:val="auto"/>
              </w:rPr>
            </w:pPr>
          </w:p>
        </w:tc>
      </w:tr>
      <w:tr>
        <w:trPr>
          <w:trHeight w:val="238"/>
        </w:trPr>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(724 )</w:t>
            </w: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(459 )</w:t>
            </w:r>
          </w:p>
        </w:tc>
        <w:tc>
          <w:tcPr>
            <w:tcW w:w="10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(4,480 )</w:t>
            </w:r>
          </w:p>
        </w:tc>
        <w:tc>
          <w:tcPr>
            <w:tcW w:w="1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(1,241 )</w:t>
            </w:r>
          </w:p>
        </w:tc>
      </w:tr>
      <w:tr>
        <w:trPr>
          <w:trHeight w:val="243"/>
        </w:trPr>
        <w:tc>
          <w:tcPr>
            <w:tcW w:w="4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(947 )</w:t>
            </w:r>
          </w:p>
        </w:tc>
        <w:tc>
          <w:tcPr>
            <w:tcW w:w="1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(2,606 )</w:t>
            </w:r>
          </w:p>
        </w:tc>
        <w:tc>
          <w:tcPr>
            <w:tcW w:w="1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(401 )</w:t>
            </w:r>
          </w:p>
        </w:tc>
      </w:tr>
      <w:tr>
        <w:trPr>
          <w:trHeight w:val="236"/>
        </w:trPr>
        <w:tc>
          <w:tcPr>
            <w:tcW w:w="4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Non-GAAP R&amp;D operating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11,485</w:t>
            </w: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5,791</w:t>
            </w:r>
          </w:p>
        </w:tc>
        <w:tc>
          <w:tcPr>
            <w:tcW w:w="30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41,272</w:t>
            </w:r>
          </w:p>
        </w:tc>
        <w:tc>
          <w:tcPr>
            <w:tcW w:w="26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17,397</w:t>
            </w:r>
          </w:p>
        </w:tc>
        <w:tc>
          <w:tcPr>
            <w:tcW w:w="100" w:type="dxa"/>
            <w:vAlign w:val="bottom"/>
            <w:tcBorders>
              <w:top w:val="single" w:sz="8" w:color="CFF0FC"/>
            </w:tcBorders>
          </w:tcPr>
          <w:p>
            <w:pPr>
              <w:spacing w:after="0"/>
              <w:rPr>
                <w:sz w:val="20"/>
                <w:szCs w:val="20"/>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4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SG&amp;A operating expenses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34,403</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22,292</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119,020</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66,187</w:t>
            </w:r>
          </w:p>
        </w:tc>
        <w:tc>
          <w:tcPr>
            <w:tcW w:w="100" w:type="dxa"/>
            <w:vAlign w:val="bottom"/>
            <w:shd w:val="clear" w:color="auto" w:fill="CFF0FC"/>
          </w:tcPr>
          <w:p>
            <w:pPr>
              <w:spacing w:after="0"/>
              <w:rPr>
                <w:sz w:val="21"/>
                <w:szCs w:val="21"/>
                <w:color w:val="auto"/>
              </w:rPr>
            </w:pPr>
          </w:p>
        </w:tc>
      </w:tr>
      <w:tr>
        <w:trPr>
          <w:trHeight w:val="238"/>
        </w:trPr>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(4,833 )</w:t>
            </w: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(2,739 )</w:t>
            </w:r>
          </w:p>
        </w:tc>
        <w:tc>
          <w:tcPr>
            <w:tcW w:w="10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(18,885 )</w:t>
            </w:r>
          </w:p>
        </w:tc>
        <w:tc>
          <w:tcPr>
            <w:tcW w:w="1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(7,759 )</w:t>
            </w:r>
          </w:p>
        </w:tc>
      </w:tr>
      <w:tr>
        <w:trPr>
          <w:trHeight w:val="247"/>
        </w:trPr>
        <w:tc>
          <w:tcPr>
            <w:tcW w:w="4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(161 )</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(482 )</w:t>
            </w: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(1,039 )</w:t>
            </w: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(733 )</w:t>
            </w:r>
          </w:p>
        </w:tc>
        <w:tc>
          <w:tcPr>
            <w:tcW w:w="10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(3,334 )</w:t>
            </w:r>
          </w:p>
        </w:tc>
        <w:tc>
          <w:tcPr>
            <w:tcW w:w="1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(1,482 )</w:t>
            </w:r>
          </w:p>
        </w:tc>
      </w:tr>
      <w:tr>
        <w:trPr>
          <w:trHeight w:val="243"/>
        </w:trPr>
        <w:tc>
          <w:tcPr>
            <w:tcW w:w="4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Gain/loss on disposal of property and equipment</w:t>
            </w: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(415 )</w:t>
            </w:r>
          </w:p>
        </w:tc>
        <w:tc>
          <w:tcPr>
            <w:tcW w:w="1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(73 )</w:t>
            </w:r>
          </w:p>
        </w:tc>
      </w:tr>
      <w:tr>
        <w:trPr>
          <w:trHeight w:val="236"/>
        </w:trPr>
        <w:tc>
          <w:tcPr>
            <w:tcW w:w="4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Non-GAAP SG&amp;A operating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28,340</w:t>
            </w: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18,820</w:t>
            </w:r>
          </w:p>
        </w:tc>
        <w:tc>
          <w:tcPr>
            <w:tcW w:w="30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95,904</w:t>
            </w:r>
          </w:p>
        </w:tc>
        <w:tc>
          <w:tcPr>
            <w:tcW w:w="26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56,873</w:t>
            </w:r>
          </w:p>
        </w:tc>
        <w:tc>
          <w:tcPr>
            <w:tcW w:w="100" w:type="dxa"/>
            <w:vAlign w:val="bottom"/>
            <w:tcBorders>
              <w:top w:val="single" w:sz="8" w:color="CFF0FC"/>
            </w:tcBorders>
          </w:tcPr>
          <w:p>
            <w:pPr>
              <w:spacing w:after="0"/>
              <w:rPr>
                <w:sz w:val="20"/>
                <w:szCs w:val="20"/>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7"/>
        </w:trPr>
        <w:tc>
          <w:tcPr>
            <w:tcW w:w="48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Non-GAAP Pro Forma Combined</w:t>
            </w: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0"/>
        </w:trPr>
        <w:tc>
          <w:tcPr>
            <w:tcW w:w="4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2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28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20"/>
                <w:szCs w:val="20"/>
                <w:color w:val="auto"/>
              </w:rPr>
            </w:pPr>
          </w:p>
        </w:tc>
      </w:tr>
      <w:tr>
        <w:trPr>
          <w:trHeight w:val="203"/>
        </w:trPr>
        <w:tc>
          <w:tcPr>
            <w:tcW w:w="48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2"/>
          </w:tcPr>
          <w:p>
            <w:pPr>
              <w:jc w:val="center"/>
              <w:ind w:right="4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center"/>
              <w:ind w:right="3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7"/>
                <w:szCs w:val="17"/>
                <w:color w:val="auto"/>
              </w:rPr>
            </w:pPr>
          </w:p>
        </w:tc>
      </w:tr>
      <w:tr>
        <w:trPr>
          <w:trHeight w:val="245"/>
        </w:trPr>
        <w:tc>
          <w:tcPr>
            <w:tcW w:w="48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4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54,979</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67,431</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208,149</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214,710</w:t>
            </w:r>
          </w:p>
        </w:tc>
        <w:tc>
          <w:tcPr>
            <w:tcW w:w="100" w:type="dxa"/>
            <w:vAlign w:val="bottom"/>
            <w:shd w:val="clear" w:color="auto" w:fill="CFF0FC"/>
          </w:tcPr>
          <w:p>
            <w:pPr>
              <w:spacing w:after="0"/>
              <w:rPr>
                <w:sz w:val="21"/>
                <w:szCs w:val="21"/>
                <w:color w:val="auto"/>
              </w:rPr>
            </w:pPr>
          </w:p>
        </w:tc>
      </w:tr>
      <w:tr>
        <w:trPr>
          <w:trHeight w:val="238"/>
        </w:trPr>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14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(2,341 )</w:t>
            </w: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(1,998 )</w:t>
            </w:r>
          </w:p>
        </w:tc>
        <w:tc>
          <w:tcPr>
            <w:tcW w:w="10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(12,374 )</w:t>
            </w:r>
          </w:p>
        </w:tc>
        <w:tc>
          <w:tcPr>
            <w:tcW w:w="1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(6,515 )</w:t>
            </w:r>
          </w:p>
        </w:tc>
      </w:tr>
      <w:tr>
        <w:trPr>
          <w:trHeight w:val="247"/>
        </w:trPr>
        <w:tc>
          <w:tcPr>
            <w:tcW w:w="4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(5,079 )</w:t>
            </w:r>
          </w:p>
        </w:tc>
        <w:tc>
          <w:tcPr>
            <w:tcW w:w="1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(5,823 )</w:t>
            </w:r>
          </w:p>
        </w:tc>
        <w:tc>
          <w:tcPr>
            <w:tcW w:w="1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(35,193 )</w:t>
            </w:r>
          </w:p>
        </w:tc>
        <w:tc>
          <w:tcPr>
            <w:tcW w:w="1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(5,823 )</w:t>
            </w:r>
          </w:p>
        </w:tc>
      </w:tr>
      <w:tr>
        <w:trPr>
          <w:trHeight w:val="238"/>
        </w:trPr>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(5,557 )</w:t>
            </w: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(4,668 )</w:t>
            </w:r>
          </w:p>
        </w:tc>
        <w:tc>
          <w:tcPr>
            <w:tcW w:w="10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(16,519 )</w:t>
            </w:r>
          </w:p>
        </w:tc>
        <w:tc>
          <w:tcPr>
            <w:tcW w:w="1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(20,335 )</w:t>
            </w:r>
          </w:p>
        </w:tc>
      </w:tr>
      <w:tr>
        <w:trPr>
          <w:trHeight w:val="247"/>
        </w:trPr>
        <w:tc>
          <w:tcPr>
            <w:tcW w:w="4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(161 )</w:t>
            </w:r>
          </w:p>
        </w:tc>
        <w:tc>
          <w:tcPr>
            <w:tcW w:w="1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(161 )</w:t>
            </w:r>
          </w:p>
        </w:tc>
        <w:tc>
          <w:tcPr>
            <w:tcW w:w="1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(482 )</w:t>
            </w:r>
          </w:p>
        </w:tc>
        <w:tc>
          <w:tcPr>
            <w:tcW w:w="1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(482 )</w:t>
            </w:r>
          </w:p>
        </w:tc>
      </w:tr>
      <w:tr>
        <w:trPr>
          <w:trHeight w:val="238"/>
        </w:trPr>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(1,986 )</w:t>
            </w: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(2,110 )</w:t>
            </w:r>
          </w:p>
        </w:tc>
        <w:tc>
          <w:tcPr>
            <w:tcW w:w="10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(5,940 )</w:t>
            </w:r>
          </w:p>
        </w:tc>
        <w:tc>
          <w:tcPr>
            <w:tcW w:w="1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(5,774 )</w:t>
            </w:r>
          </w:p>
        </w:tc>
      </w:tr>
      <w:tr>
        <w:trPr>
          <w:trHeight w:val="243"/>
        </w:trPr>
        <w:tc>
          <w:tcPr>
            <w:tcW w:w="4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Gain/loss on disposal of property and equipment</w:t>
            </w: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(415 )</w:t>
            </w:r>
          </w:p>
        </w:tc>
        <w:tc>
          <w:tcPr>
            <w:tcW w:w="1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(122 )</w:t>
            </w:r>
          </w:p>
        </w:tc>
      </w:tr>
      <w:tr>
        <w:trPr>
          <w:trHeight w:val="236"/>
        </w:trPr>
        <w:tc>
          <w:tcPr>
            <w:tcW w:w="4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39,825</w:t>
            </w: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52,671</w:t>
            </w:r>
          </w:p>
        </w:tc>
        <w:tc>
          <w:tcPr>
            <w:tcW w:w="30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137,226</w:t>
            </w:r>
          </w:p>
        </w:tc>
        <w:tc>
          <w:tcPr>
            <w:tcW w:w="26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175,659</w:t>
            </w:r>
          </w:p>
        </w:tc>
        <w:tc>
          <w:tcPr>
            <w:tcW w:w="100" w:type="dxa"/>
            <w:vAlign w:val="bottom"/>
            <w:tcBorders>
              <w:top w:val="single" w:sz="8" w:color="CFF0FC"/>
            </w:tcBorders>
          </w:tcPr>
          <w:p>
            <w:pPr>
              <w:spacing w:after="0"/>
              <w:rPr>
                <w:sz w:val="20"/>
                <w:szCs w:val="20"/>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4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R&amp;D operating expenses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13,156</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14,753</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49,010</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47,484</w:t>
            </w:r>
          </w:p>
        </w:tc>
        <w:tc>
          <w:tcPr>
            <w:tcW w:w="100" w:type="dxa"/>
            <w:vAlign w:val="bottom"/>
            <w:shd w:val="clear" w:color="auto" w:fill="CFF0FC"/>
          </w:tcPr>
          <w:p>
            <w:pPr>
              <w:spacing w:after="0"/>
              <w:rPr>
                <w:sz w:val="21"/>
                <w:szCs w:val="21"/>
                <w:color w:val="auto"/>
              </w:rPr>
            </w:pPr>
          </w:p>
        </w:tc>
      </w:tr>
      <w:tr>
        <w:trPr>
          <w:trHeight w:val="238"/>
        </w:trPr>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(724 )</w:t>
            </w: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(964 )</w:t>
            </w:r>
          </w:p>
        </w:tc>
        <w:tc>
          <w:tcPr>
            <w:tcW w:w="10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(4,480 )</w:t>
            </w:r>
          </w:p>
        </w:tc>
        <w:tc>
          <w:tcPr>
            <w:tcW w:w="1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(2,476 )</w:t>
            </w:r>
          </w:p>
        </w:tc>
      </w:tr>
      <w:tr>
        <w:trPr>
          <w:trHeight w:val="243"/>
        </w:trPr>
        <w:tc>
          <w:tcPr>
            <w:tcW w:w="4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(947 )</w:t>
            </w:r>
          </w:p>
        </w:tc>
        <w:tc>
          <w:tcPr>
            <w:tcW w:w="1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(540 )</w:t>
            </w:r>
          </w:p>
        </w:tc>
        <w:tc>
          <w:tcPr>
            <w:tcW w:w="1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(2,606 )</w:t>
            </w:r>
          </w:p>
        </w:tc>
        <w:tc>
          <w:tcPr>
            <w:tcW w:w="1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(1,592 )</w:t>
            </w:r>
          </w:p>
        </w:tc>
      </w:tr>
      <w:tr>
        <w:trPr>
          <w:trHeight w:val="236"/>
        </w:trPr>
        <w:tc>
          <w:tcPr>
            <w:tcW w:w="4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Non-GAAP R&amp;D operating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11,485</w:t>
            </w: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13,249</w:t>
            </w:r>
          </w:p>
        </w:tc>
        <w:tc>
          <w:tcPr>
            <w:tcW w:w="30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41,924</w:t>
            </w:r>
          </w:p>
        </w:tc>
        <w:tc>
          <w:tcPr>
            <w:tcW w:w="26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43,416</w:t>
            </w:r>
          </w:p>
        </w:tc>
        <w:tc>
          <w:tcPr>
            <w:tcW w:w="100" w:type="dxa"/>
            <w:vAlign w:val="bottom"/>
            <w:tcBorders>
              <w:top w:val="single" w:sz="8" w:color="CFF0FC"/>
            </w:tcBorders>
          </w:tcPr>
          <w:p>
            <w:pPr>
              <w:spacing w:after="0"/>
              <w:rPr>
                <w:sz w:val="20"/>
                <w:szCs w:val="20"/>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4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SG&amp;A operating expenses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34,403</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44,857</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111,572</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154,888</w:t>
            </w:r>
          </w:p>
        </w:tc>
        <w:tc>
          <w:tcPr>
            <w:tcW w:w="100" w:type="dxa"/>
            <w:vAlign w:val="bottom"/>
            <w:shd w:val="clear" w:color="auto" w:fill="CFF0FC"/>
          </w:tcPr>
          <w:p>
            <w:pPr>
              <w:spacing w:after="0"/>
              <w:rPr>
                <w:sz w:val="21"/>
                <w:szCs w:val="21"/>
                <w:color w:val="auto"/>
              </w:rPr>
            </w:pPr>
          </w:p>
        </w:tc>
      </w:tr>
      <w:tr>
        <w:trPr>
          <w:trHeight w:val="238"/>
        </w:trPr>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(4,833 )</w:t>
            </w: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(3,704 )</w:t>
            </w:r>
          </w:p>
        </w:tc>
        <w:tc>
          <w:tcPr>
            <w:tcW w:w="10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(12,039 )</w:t>
            </w:r>
          </w:p>
        </w:tc>
        <w:tc>
          <w:tcPr>
            <w:tcW w:w="1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(17,859 )</w:t>
            </w:r>
          </w:p>
        </w:tc>
      </w:tr>
      <w:tr>
        <w:trPr>
          <w:trHeight w:val="247"/>
        </w:trPr>
        <w:tc>
          <w:tcPr>
            <w:tcW w:w="4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(161 )</w:t>
            </w:r>
          </w:p>
        </w:tc>
        <w:tc>
          <w:tcPr>
            <w:tcW w:w="1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(161 )</w:t>
            </w:r>
          </w:p>
        </w:tc>
        <w:tc>
          <w:tcPr>
            <w:tcW w:w="1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(482 )</w:t>
            </w:r>
          </w:p>
        </w:tc>
        <w:tc>
          <w:tcPr>
            <w:tcW w:w="1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(482 )</w:t>
            </w:r>
          </w:p>
        </w:tc>
      </w:tr>
      <w:tr>
        <w:trPr>
          <w:trHeight w:val="238"/>
        </w:trPr>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(1,039 )</w:t>
            </w: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(1,570 )</w:t>
            </w:r>
          </w:p>
        </w:tc>
        <w:tc>
          <w:tcPr>
            <w:tcW w:w="10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(3,334 )</w:t>
            </w:r>
          </w:p>
        </w:tc>
        <w:tc>
          <w:tcPr>
            <w:tcW w:w="1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(4,182 )</w:t>
            </w:r>
          </w:p>
        </w:tc>
      </w:tr>
      <w:tr>
        <w:trPr>
          <w:trHeight w:val="243"/>
        </w:trPr>
        <w:tc>
          <w:tcPr>
            <w:tcW w:w="4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Gain/loss on disposal of property and equipment</w:t>
            </w: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(415 )</w:t>
            </w:r>
          </w:p>
        </w:tc>
        <w:tc>
          <w:tcPr>
            <w:tcW w:w="1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(122 )</w:t>
            </w:r>
          </w:p>
        </w:tc>
      </w:tr>
      <w:tr>
        <w:trPr>
          <w:trHeight w:val="236"/>
        </w:trPr>
        <w:tc>
          <w:tcPr>
            <w:tcW w:w="4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Non-GAAP SG&amp;A operating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28,340</w:t>
            </w: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39,422</w:t>
            </w:r>
          </w:p>
        </w:tc>
        <w:tc>
          <w:tcPr>
            <w:tcW w:w="30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95,302</w:t>
            </w:r>
          </w:p>
        </w:tc>
        <w:tc>
          <w:tcPr>
            <w:tcW w:w="26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132,243</w:t>
            </w:r>
          </w:p>
        </w:tc>
        <w:tc>
          <w:tcPr>
            <w:tcW w:w="100" w:type="dxa"/>
            <w:vAlign w:val="bottom"/>
            <w:tcBorders>
              <w:top w:val="single" w:sz="8" w:color="CFF0FC"/>
            </w:tcBorders>
          </w:tcPr>
          <w:p>
            <w:pPr>
              <w:spacing w:after="0"/>
              <w:rPr>
                <w:sz w:val="20"/>
                <w:szCs w:val="20"/>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-6052820</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-6052820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-6052820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-6052820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-5248275</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-5248275</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-5248275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-5248275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-4135120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-4135120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-4135120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-4135120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-2105660</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-2105660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-2105660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-2105660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-1301115</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-1301115</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-1301115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-1301115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-187960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-187960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-187960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826135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ITEMIZED RECONCILIATION OF GAAP NET LOSS TO NON-GAAP ADJUSTED EBITDA</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5"/>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4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2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28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20"/>
                <w:szCs w:val="20"/>
                <w:color w:val="auto"/>
              </w:rPr>
            </w:pPr>
          </w:p>
        </w:tc>
      </w:tr>
      <w:tr>
        <w:trPr>
          <w:trHeight w:val="203"/>
        </w:trPr>
        <w:tc>
          <w:tcPr>
            <w:tcW w:w="48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2"/>
          </w:tcPr>
          <w:p>
            <w:pPr>
              <w:jc w:val="center"/>
              <w:ind w:right="4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center"/>
              <w:ind w:right="3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7"/>
                <w:szCs w:val="17"/>
                <w:color w:val="auto"/>
              </w:rPr>
            </w:pPr>
          </w:p>
        </w:tc>
      </w:tr>
      <w:tr>
        <w:trPr>
          <w:trHeight w:val="245"/>
        </w:trPr>
        <w:tc>
          <w:tcPr>
            <w:tcW w:w="48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4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(26,938 )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(20,997 )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(104,813 )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(54,880 )</w:t>
            </w:r>
          </w:p>
        </w:tc>
      </w:tr>
      <w:tr>
        <w:trPr>
          <w:trHeight w:val="238"/>
        </w:trPr>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20"/>
                <w:szCs w:val="20"/>
                <w:color w:val="auto"/>
              </w:rPr>
            </w:pPr>
          </w:p>
        </w:tc>
      </w:tr>
      <w:tr>
        <w:trPr>
          <w:trHeight w:val="247"/>
        </w:trPr>
        <w:tc>
          <w:tcPr>
            <w:tcW w:w="4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 net</w:t>
            </w: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(3,941 )</w:t>
            </w:r>
          </w:p>
        </w:tc>
        <w:tc>
          <w:tcPr>
            <w:tcW w:w="1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(340 )</w:t>
            </w:r>
          </w:p>
        </w:tc>
        <w:tc>
          <w:tcPr>
            <w:tcW w:w="1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(13,559 )</w:t>
            </w:r>
          </w:p>
        </w:tc>
        <w:tc>
          <w:tcPr>
            <w:tcW w:w="1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(656 )</w:t>
            </w:r>
          </w:p>
        </w:tc>
      </w:tr>
      <w:tr>
        <w:trPr>
          <w:trHeight w:val="238"/>
        </w:trPr>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00" w:type="dxa"/>
            <w:vAlign w:val="bottom"/>
          </w:tcPr>
          <w:p>
            <w:pPr>
              <w:spacing w:after="0"/>
              <w:rPr>
                <w:sz w:val="20"/>
                <w:szCs w:val="20"/>
                <w:color w:val="auto"/>
              </w:rPr>
            </w:pPr>
          </w:p>
        </w:tc>
      </w:tr>
      <w:tr>
        <w:trPr>
          <w:trHeight w:val="247"/>
        </w:trPr>
        <w:tc>
          <w:tcPr>
            <w:tcW w:w="4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00" w:type="dxa"/>
            <w:vAlign w:val="bottom"/>
            <w:shd w:val="clear" w:color="auto" w:fill="CFF0FC"/>
          </w:tcPr>
          <w:p>
            <w:pPr>
              <w:spacing w:after="0"/>
              <w:rPr>
                <w:sz w:val="21"/>
                <w:szCs w:val="21"/>
                <w:color w:val="auto"/>
              </w:rPr>
            </w:pPr>
          </w:p>
        </w:tc>
      </w:tr>
      <w:tr>
        <w:trPr>
          <w:trHeight w:val="238"/>
        </w:trPr>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Bargain purchase gain</w:t>
            </w:r>
          </w:p>
        </w:tc>
        <w:tc>
          <w:tcPr>
            <w:tcW w:w="140" w:type="dxa"/>
            <w:vAlign w:val="bottom"/>
          </w:tcPr>
          <w:p>
            <w:pPr>
              <w:spacing w:after="0"/>
              <w:rPr>
                <w:sz w:val="20"/>
                <w:szCs w:val="20"/>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(25,213 )</w:t>
            </w:r>
          </w:p>
        </w:tc>
        <w:tc>
          <w:tcPr>
            <w:tcW w:w="10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12,374</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00" w:type="dxa"/>
            <w:vAlign w:val="bottom"/>
            <w:shd w:val="clear" w:color="auto" w:fill="CFF0FC"/>
          </w:tcPr>
          <w:p>
            <w:pPr>
              <w:spacing w:after="0"/>
              <w:rPr>
                <w:sz w:val="21"/>
                <w:szCs w:val="21"/>
                <w:color w:val="auto"/>
              </w:rPr>
            </w:pPr>
          </w:p>
        </w:tc>
      </w:tr>
      <w:tr>
        <w:trPr>
          <w:trHeight w:val="238"/>
        </w:trPr>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Pr>
          <w:p>
            <w:pPr>
              <w:spacing w:after="0"/>
              <w:rPr>
                <w:sz w:val="20"/>
                <w:szCs w:val="20"/>
                <w:color w:val="auto"/>
              </w:rPr>
            </w:pPr>
          </w:p>
        </w:tc>
      </w:tr>
      <w:tr>
        <w:trPr>
          <w:trHeight w:val="247"/>
        </w:trPr>
        <w:tc>
          <w:tcPr>
            <w:tcW w:w="4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24,262</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9,648</w:t>
            </w:r>
          </w:p>
        </w:tc>
        <w:tc>
          <w:tcPr>
            <w:tcW w:w="100" w:type="dxa"/>
            <w:vAlign w:val="bottom"/>
            <w:shd w:val="clear" w:color="auto" w:fill="CFF0FC"/>
          </w:tcPr>
          <w:p>
            <w:pPr>
              <w:spacing w:after="0"/>
              <w:rPr>
                <w:sz w:val="21"/>
                <w:szCs w:val="21"/>
                <w:color w:val="auto"/>
              </w:rPr>
            </w:pPr>
          </w:p>
        </w:tc>
      </w:tr>
      <w:tr>
        <w:trPr>
          <w:trHeight w:val="238"/>
        </w:trPr>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sales adjustment</w:t>
            </w:r>
          </w:p>
        </w:tc>
        <w:tc>
          <w:tcPr>
            <w:tcW w:w="140" w:type="dxa"/>
            <w:vAlign w:val="bottom"/>
          </w:tcPr>
          <w:p>
            <w:pPr>
              <w:spacing w:after="0"/>
              <w:rPr>
                <w:sz w:val="20"/>
                <w:szCs w:val="20"/>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(1,812 )</w:t>
            </w:r>
          </w:p>
        </w:tc>
        <w:tc>
          <w:tcPr>
            <w:tcW w:w="10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Gain/loss on disposal of property and equipment</w:t>
            </w: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21"/>
                <w:szCs w:val="21"/>
                <w:color w:val="auto"/>
              </w:rPr>
            </w:pPr>
          </w:p>
        </w:tc>
      </w:tr>
      <w:tr>
        <w:trPr>
          <w:trHeight w:val="238"/>
        </w:trPr>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non-operating expense</w:t>
            </w:r>
          </w:p>
        </w:tc>
        <w:tc>
          <w:tcPr>
            <w:tcW w:w="14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(957 )</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(292 )</w:t>
            </w:r>
          </w:p>
        </w:tc>
      </w:tr>
      <w:tr>
        <w:trPr>
          <w:trHeight w:val="20"/>
        </w:trPr>
        <w:tc>
          <w:tcPr>
            <w:tcW w:w="4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(14,200 )</w:t>
            </w:r>
          </w:p>
        </w:tc>
        <w:tc>
          <w:tcPr>
            <w:tcW w:w="12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(10,136 )</w:t>
            </w:r>
          </w:p>
        </w:tc>
        <w:tc>
          <w:tcPr>
            <w:tcW w:w="10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(69,248 )</w:t>
            </w:r>
          </w:p>
        </w:tc>
        <w:tc>
          <w:tcPr>
            <w:tcW w:w="1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(27,138 )</w:t>
            </w:r>
          </w:p>
        </w:tc>
      </w:tr>
      <w:tr>
        <w:trPr>
          <w:trHeight w:val="668"/>
        </w:trPr>
        <w:tc>
          <w:tcPr>
            <w:tcW w:w="48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Non-GAAP Pro Forma Combined</w:t>
            </w: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0"/>
        </w:trPr>
        <w:tc>
          <w:tcPr>
            <w:tcW w:w="4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2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28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20"/>
                <w:szCs w:val="20"/>
                <w:color w:val="auto"/>
              </w:rPr>
            </w:pPr>
          </w:p>
        </w:tc>
      </w:tr>
      <w:tr>
        <w:trPr>
          <w:trHeight w:val="203"/>
        </w:trPr>
        <w:tc>
          <w:tcPr>
            <w:tcW w:w="48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2"/>
          </w:tcPr>
          <w:p>
            <w:pPr>
              <w:jc w:val="center"/>
              <w:ind w:right="4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center"/>
              <w:ind w:right="3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7"/>
                <w:szCs w:val="17"/>
                <w:color w:val="auto"/>
              </w:rPr>
            </w:pPr>
          </w:p>
        </w:tc>
      </w:tr>
      <w:tr>
        <w:trPr>
          <w:trHeight w:val="245"/>
        </w:trPr>
        <w:tc>
          <w:tcPr>
            <w:tcW w:w="48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4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(26,938 )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(41,204 )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(134,607 )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(109,000 )</w:t>
            </w:r>
          </w:p>
        </w:tc>
      </w:tr>
      <w:tr>
        <w:trPr>
          <w:trHeight w:val="238"/>
        </w:trPr>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20"/>
                <w:szCs w:val="20"/>
                <w:color w:val="auto"/>
              </w:rPr>
            </w:pPr>
          </w:p>
        </w:tc>
      </w:tr>
      <w:tr>
        <w:trPr>
          <w:trHeight w:val="247"/>
        </w:trPr>
        <w:tc>
          <w:tcPr>
            <w:tcW w:w="4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 net</w:t>
            </w: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(3,941 )</w:t>
            </w:r>
          </w:p>
        </w:tc>
        <w:tc>
          <w:tcPr>
            <w:tcW w:w="1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(6,447 )</w:t>
            </w:r>
          </w:p>
        </w:tc>
        <w:tc>
          <w:tcPr>
            <w:tcW w:w="1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(13,559 )</w:t>
            </w:r>
          </w:p>
        </w:tc>
        <w:tc>
          <w:tcPr>
            <w:tcW w:w="1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(17,604 )</w:t>
            </w:r>
          </w:p>
        </w:tc>
      </w:tr>
      <w:tr>
        <w:trPr>
          <w:trHeight w:val="238"/>
        </w:trPr>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10,549</w:t>
            </w:r>
          </w:p>
        </w:tc>
        <w:tc>
          <w:tcPr>
            <w:tcW w:w="100" w:type="dxa"/>
            <w:vAlign w:val="bottom"/>
          </w:tcPr>
          <w:p>
            <w:pPr>
              <w:spacing w:after="0"/>
              <w:rPr>
                <w:sz w:val="20"/>
                <w:szCs w:val="20"/>
                <w:color w:val="auto"/>
              </w:rPr>
            </w:pPr>
          </w:p>
        </w:tc>
      </w:tr>
      <w:tr>
        <w:trPr>
          <w:trHeight w:val="247"/>
        </w:trPr>
        <w:tc>
          <w:tcPr>
            <w:tcW w:w="4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7,924</w:t>
            </w:r>
          </w:p>
        </w:tc>
        <w:tc>
          <w:tcPr>
            <w:tcW w:w="100" w:type="dxa"/>
            <w:vAlign w:val="bottom"/>
            <w:shd w:val="clear" w:color="auto" w:fill="CFF0FC"/>
          </w:tcPr>
          <w:p>
            <w:pPr>
              <w:spacing w:after="0"/>
              <w:rPr>
                <w:sz w:val="21"/>
                <w:szCs w:val="21"/>
                <w:color w:val="auto"/>
              </w:rPr>
            </w:pPr>
          </w:p>
        </w:tc>
      </w:tr>
      <w:tr>
        <w:trPr>
          <w:trHeight w:val="238"/>
        </w:trPr>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Bargain purchase gain</w:t>
            </w:r>
          </w:p>
        </w:tc>
        <w:tc>
          <w:tcPr>
            <w:tcW w:w="140" w:type="dxa"/>
            <w:vAlign w:val="bottom"/>
          </w:tcPr>
          <w:p>
            <w:pPr>
              <w:spacing w:after="0"/>
              <w:rPr>
                <w:sz w:val="20"/>
                <w:szCs w:val="20"/>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(25,213 )</w:t>
            </w:r>
          </w:p>
        </w:tc>
      </w:tr>
      <w:tr>
        <w:trPr>
          <w:trHeight w:val="247"/>
        </w:trPr>
        <w:tc>
          <w:tcPr>
            <w:tcW w:w="4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12,374</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100" w:type="dxa"/>
            <w:vAlign w:val="bottom"/>
            <w:shd w:val="clear" w:color="auto" w:fill="CFF0FC"/>
          </w:tcPr>
          <w:p>
            <w:pPr>
              <w:spacing w:after="0"/>
              <w:rPr>
                <w:sz w:val="21"/>
                <w:szCs w:val="21"/>
                <w:color w:val="auto"/>
              </w:rPr>
            </w:pPr>
          </w:p>
        </w:tc>
      </w:tr>
      <w:tr>
        <w:trPr>
          <w:trHeight w:val="238"/>
        </w:trPr>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100" w:type="dxa"/>
            <w:vAlign w:val="bottom"/>
          </w:tcPr>
          <w:p>
            <w:pPr>
              <w:spacing w:after="0"/>
              <w:rPr>
                <w:sz w:val="20"/>
                <w:szCs w:val="20"/>
                <w:color w:val="auto"/>
              </w:rPr>
            </w:pPr>
          </w:p>
        </w:tc>
      </w:tr>
      <w:tr>
        <w:trPr>
          <w:trHeight w:val="247"/>
        </w:trPr>
        <w:tc>
          <w:tcPr>
            <w:tcW w:w="4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17,416</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21,151</w:t>
            </w:r>
          </w:p>
        </w:tc>
        <w:tc>
          <w:tcPr>
            <w:tcW w:w="100" w:type="dxa"/>
            <w:vAlign w:val="bottom"/>
            <w:shd w:val="clear" w:color="auto" w:fill="CFF0FC"/>
          </w:tcPr>
          <w:p>
            <w:pPr>
              <w:spacing w:after="0"/>
              <w:rPr>
                <w:sz w:val="21"/>
                <w:szCs w:val="21"/>
                <w:color w:val="auto"/>
              </w:rPr>
            </w:pPr>
          </w:p>
        </w:tc>
      </w:tr>
      <w:tr>
        <w:trPr>
          <w:trHeight w:val="238"/>
        </w:trPr>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sales adjustment</w:t>
            </w:r>
          </w:p>
        </w:tc>
        <w:tc>
          <w:tcPr>
            <w:tcW w:w="140" w:type="dxa"/>
            <w:vAlign w:val="bottom"/>
          </w:tcPr>
          <w:p>
            <w:pPr>
              <w:spacing w:after="0"/>
              <w:rPr>
                <w:sz w:val="20"/>
                <w:szCs w:val="20"/>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(1,337 )</w:t>
            </w:r>
          </w:p>
        </w:tc>
      </w:tr>
      <w:tr>
        <w:trPr>
          <w:trHeight w:val="247"/>
        </w:trPr>
        <w:tc>
          <w:tcPr>
            <w:tcW w:w="4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Gain/loss on disposal of property and equipment</w:t>
            </w: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21"/>
                <w:szCs w:val="21"/>
                <w:color w:val="auto"/>
              </w:rPr>
            </w:pPr>
          </w:p>
        </w:tc>
      </w:tr>
      <w:tr>
        <w:trPr>
          <w:trHeight w:val="238"/>
        </w:trPr>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non-operating expense</w:t>
            </w:r>
          </w:p>
        </w:tc>
        <w:tc>
          <w:tcPr>
            <w:tcW w:w="14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(957 )</w:t>
            </w: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(170 )</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(2,065 )</w:t>
            </w:r>
          </w:p>
        </w:tc>
      </w:tr>
      <w:tr>
        <w:trPr>
          <w:trHeight w:val="20"/>
        </w:trPr>
        <w:tc>
          <w:tcPr>
            <w:tcW w:w="4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(14,200 )</w:t>
            </w:r>
          </w:p>
        </w:tc>
        <w:tc>
          <w:tcPr>
            <w:tcW w:w="12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(28,158 )</w:t>
            </w:r>
          </w:p>
        </w:tc>
        <w:tc>
          <w:tcPr>
            <w:tcW w:w="10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(68,901 )</w:t>
            </w:r>
          </w:p>
        </w:tc>
        <w:tc>
          <w:tcPr>
            <w:tcW w:w="1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(102,039 )</w:t>
            </w:r>
          </w:p>
        </w:tc>
      </w:tr>
      <w:tr>
        <w:trPr>
          <w:trHeight w:val="1328"/>
        </w:trPr>
        <w:tc>
          <w:tcPr>
            <w:tcW w:w="4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2024-10-30T15:48:27Z</dcterms:created>
  <dcterms:modified xsi:type="dcterms:W3CDTF">2024-10-30T15:48:27Z</dcterms:modified>
</cp:coreProperties>
</file>