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18585d1_8k.htm"/>
      <w:bookmarkStart w:id="1" w:name="kstm241858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24062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June 27, 2024</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4"/>
      <w:bookmarkEnd w:id="4"/>
      <w:r>
        <w:rPr>
          <w:rFonts w:ascii="Times New Roman;Times;Serif" w:hAnsi="Times New Roman;Times;Serif"/>
          <w:b/>
          <w:i w:val="false"/>
          <w:caps w:val="false"/>
          <w:smallCaps w:val="false"/>
          <w:sz w:val="36"/>
        </w:rPr>
        <w:t>Standard BioTools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2630"/>
        <w:gridCol w:w="60"/>
        <w:gridCol w:w="1340"/>
        <w:gridCol w:w="60"/>
        <w:gridCol w:w="1775"/>
      </w:tblGrid>
      <w:tr>
        <w:trPr/>
        <w:tc>
          <w:tcPr>
            <w:tcW w:w="2630"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b/>
                <w:sz w:val="20"/>
              </w:rPr>
            </w:pPr>
            <w:bookmarkStart w:id="6" w:name="xdx_90F_edei--EntityFileNumber_c20240627"/>
            <w:bookmarkEnd w:id="6"/>
            <w:r>
              <w:rPr>
                <w:b/>
                <w:sz w:val="20"/>
              </w:rPr>
              <w:t>001-34180</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b/>
                <w:sz w:val="20"/>
              </w:rPr>
            </w:pPr>
            <w:bookmarkStart w:id="7" w:name="xdx_908_edei--EntityTaxIdentificationNum"/>
            <w:bookmarkEnd w:id="7"/>
            <w:r>
              <w:rPr>
                <w:b/>
                <w:sz w:val="20"/>
              </w:rPr>
              <w:t>77-0513190</w:t>
            </w:r>
          </w:p>
        </w:tc>
      </w:tr>
      <w:tr>
        <w:trPr/>
        <w:tc>
          <w:tcPr>
            <w:tcW w:w="2630" w:type="dxa"/>
            <w:tcBorders/>
            <w:vAlign w:val="center"/>
          </w:tcPr>
          <w:p>
            <w:pPr>
              <w:pStyle w:val="TableContents"/>
              <w:bidi w:val="0"/>
              <w:spacing w:before="0" w:after="283"/>
              <w:jc w:val="center"/>
              <w:rPr/>
            </w:pPr>
            <w:r>
              <w:rPr/>
              <w:t xml:space="preserve">(State or Other Jurisdiction </w:t>
              <w:br/>
              <w:t xml:space="preserve">of Incorporation)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 xml:space="preserve">(Commission </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0" w:type="dxa"/>
        <w:jc w:val="left"/>
        <w:tblInd w:w="0" w:type="dxa"/>
        <w:tblLayout w:type="fixed"/>
        <w:tblCellMar>
          <w:top w:w="0" w:type="dxa"/>
          <w:left w:w="0" w:type="dxa"/>
          <w:bottom w:w="0" w:type="dxa"/>
          <w:right w:w="0" w:type="dxa"/>
        </w:tblCellMar>
      </w:tblPr>
      <w:tblGrid>
        <w:gridCol w:w="5000"/>
      </w:tblGrid>
      <w:tr>
        <w:trPr/>
        <w:tc>
          <w:tcPr>
            <w:tcW w:w="5000" w:type="dxa"/>
            <w:tcBorders/>
            <w:vAlign w:val="center"/>
          </w:tcPr>
          <w:p>
            <w:pPr>
              <w:pStyle w:val="TableContents"/>
              <w:bidi w:val="0"/>
              <w:spacing w:before="0" w:after="283"/>
              <w:jc w:val="center"/>
              <w:rPr/>
            </w:pPr>
            <w:bookmarkStart w:id="8" w:name="xdx_90F_edei--EntityAddressAddressLine1_"/>
            <w:bookmarkEnd w:id="8"/>
            <w:r>
              <w:rPr>
                <w:b/>
              </w:rPr>
              <w:t xml:space="preserve">2 Tower Place, </w:t>
            </w:r>
            <w:bookmarkStart w:id="9" w:name="xdx_904_edei--EntityAddressAddressLine2_"/>
            <w:bookmarkEnd w:id="9"/>
            <w:r>
              <w:rPr>
                <w:b/>
              </w:rPr>
              <w:t>Suite 2000</w:t>
            </w:r>
          </w:p>
        </w:tc>
      </w:tr>
      <w:tr>
        <w:trPr/>
        <w:tc>
          <w:tcPr>
            <w:tcW w:w="5000" w:type="dxa"/>
            <w:tcBorders/>
            <w:vAlign w:val="center"/>
          </w:tcPr>
          <w:p>
            <w:pPr>
              <w:pStyle w:val="TableContents"/>
              <w:bidi w:val="0"/>
              <w:spacing w:before="0" w:after="283"/>
              <w:jc w:val="center"/>
              <w:rPr/>
            </w:pPr>
            <w:bookmarkStart w:id="10" w:name="xdx_908_edei--EntityAddressCityOrTown_c2"/>
            <w:bookmarkEnd w:id="10"/>
            <w:r>
              <w:rPr>
                <w:b/>
              </w:rPr>
              <w:t xml:space="preserve">South San Francisco, </w:t>
            </w:r>
            <w:bookmarkStart w:id="11" w:name="xdx_908_edei--EntityAddressStateOrProvin"/>
            <w:bookmarkEnd w:id="11"/>
            <w:r>
              <w:rPr>
                <w:b/>
              </w:rPr>
              <w:t>California</w:t>
            </w:r>
            <w:r>
              <w:rPr/>
              <w:t xml:space="preserve"> </w:t>
            </w:r>
            <w:bookmarkStart w:id="12" w:name="xdx_904_edei--EntityAddressPostalZipCode"/>
            <w:bookmarkEnd w:id="12"/>
            <w:r>
              <w:rPr>
                <w:b/>
              </w:rPr>
              <w:t>94080</w:t>
            </w:r>
          </w:p>
        </w:tc>
      </w:tr>
      <w:tr>
        <w:trPr/>
        <w:tc>
          <w:tcPr>
            <w:tcW w:w="5000" w:type="dxa"/>
            <w:tcBorders/>
            <w:vAlign w:val="center"/>
          </w:tcPr>
          <w:p>
            <w:pPr>
              <w:pStyle w:val="TableContents"/>
              <w:bidi w:val="0"/>
              <w:spacing w:before="0" w:after="283"/>
              <w:jc w:val="center"/>
              <w:rPr/>
            </w:pPr>
            <w:r>
              <w:rPr/>
              <w:t>(Address of Principal Executive Offices) (Zip Code)</w:t>
            </w:r>
          </w:p>
        </w:tc>
      </w:tr>
      <w:tr>
        <w:trPr/>
        <w:tc>
          <w:tcPr>
            <w:tcW w:w="500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40627__20"/>
      <w:bookmarkEnd w:id="13"/>
      <w:r>
        <w:rPr>
          <w:rFonts w:ascii="Times New Roman;Times;Serif" w:hAnsi="Times New Roman;Times;Serif"/>
          <w:b/>
          <w:i w:val="false"/>
          <w:caps w:val="false"/>
          <w:smallCaps w:val="false"/>
          <w:sz w:val="20"/>
        </w:rPr>
        <w:t xml:space="preserve">650) </w:t>
      </w:r>
      <w:bookmarkStart w:id="14" w:name="xdx_903_edei--LocalPhoneNumber_c20240627"/>
      <w:bookmarkEnd w:id="14"/>
      <w:r>
        <w:rPr>
          <w:rFonts w:ascii="Times New Roman;Times;Serif" w:hAnsi="Times New Roman;Times;Serif"/>
          <w:b/>
          <w:i w:val="false"/>
          <w:caps w:val="false"/>
          <w:smallCaps w:val="false"/>
          <w:sz w:val="20"/>
        </w:rPr>
        <w:t>266-6000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SolicitingMaterial_c202406"/>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9735" w:type="dxa"/>
        <w:jc w:val="left"/>
        <w:tblInd w:w="-10" w:type="dxa"/>
        <w:tblLayout w:type="fixed"/>
        <w:tblCellMar>
          <w:top w:w="30" w:type="dxa"/>
          <w:left w:w="28" w:type="dxa"/>
          <w:bottom w:w="28" w:type="dxa"/>
          <w:right w:w="28" w:type="dxa"/>
        </w:tblCellMar>
      </w:tblPr>
      <w:tblGrid>
        <w:gridCol w:w="4100"/>
        <w:gridCol w:w="1925"/>
        <w:gridCol w:w="3710"/>
      </w:tblGrid>
      <w:tr>
        <w:trPr/>
        <w:tc>
          <w:tcPr>
            <w:tcW w:w="41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Title of each class</w:t>
            </w:r>
          </w:p>
        </w:tc>
        <w:tc>
          <w:tcPr>
            <w:tcW w:w="1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Trading Symbol(s)</w:t>
            </w:r>
          </w:p>
        </w:tc>
        <w:tc>
          <w:tcPr>
            <w:tcW w:w="3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Name of each exchange on which registered</w:t>
            </w:r>
          </w:p>
        </w:tc>
      </w:tr>
      <w:tr>
        <w:trPr/>
        <w:tc>
          <w:tcPr>
            <w:tcW w:w="4100"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center"/>
              <w:rPr/>
            </w:pPr>
            <w:bookmarkStart w:id="19" w:name="xdx_901_edei--Security12bTitle_c20240627"/>
            <w:bookmarkEnd w:id="19"/>
            <w:r>
              <w:rPr/>
              <w:t>Common stock, par value $0.001 per share</w:t>
            </w:r>
          </w:p>
        </w:tc>
        <w:tc>
          <w:tcPr>
            <w:tcW w:w="1925"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center"/>
              <w:rPr/>
            </w:pPr>
            <w:bookmarkStart w:id="20" w:name="xdx_90E_edei--TradingSymbol_c20240627__2"/>
            <w:bookmarkEnd w:id="20"/>
            <w:r>
              <w:rPr/>
              <w:t>LAB</w:t>
            </w:r>
          </w:p>
        </w:tc>
        <w:tc>
          <w:tcPr>
            <w:tcW w:w="3710"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center"/>
              <w:rPr/>
            </w:pPr>
            <w:bookmarkStart w:id="21" w:name="xdx_900_edei--SecurityExchangeName_c2024"/>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 (the “Company”) held its 2024 Annual Meeting of Stockholders (the “Annual Meeting”) on June 27, 2024. The Company’s stockholders voted to approve an amendment to the Company’s Amended and Restated 2011 Equity Incentive Plan, as amended (the “Plan”), increasing the number of shares of common stock reserved for issuance thereunder by 19,125,000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described in further detail in the Company’s definitive proxy statement on Schedule 14A for the Annual Meeting filed with the Securities and Exchange Commission on May 21, 2024, as supplemented on June 3, 2024 (the “Proxy Statement”), which description is incorporated herein by reference. The complete text of the Plan is set forth in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2024 (the “Record Date”), the Company had 369,920,511 shares of common stock issued and outstanding. A total of 292,959,945 votes, or approximately 79.19% of the total voting power of the shares of the Company’s capital stock issued and outstanding and entitled to vote at the Annual Meeting were represented in person or by proxy at the Annual Meeting. The following proposals are described in detail in the Proxy Statement. The final voting results for each of the matters submitted to a stockholder vote at the Annual Meeting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Election of Class II Directors.</w:t>
      </w:r>
      <w:r>
        <w:rPr>
          <w:rFonts w:ascii="Times New Roman;Times;Serif" w:hAnsi="Times New Roman;Times;Serif"/>
          <w:b w:val="false"/>
          <w:i w:val="false"/>
          <w:caps w:val="false"/>
          <w:smallCaps w:val="false"/>
          <w:sz w:val="20"/>
        </w:rPr>
        <w:t xml:space="preserve"> The following nominees were elected to serve as Class II directors, to hold office until the Company’s 2027 annual meeting of stockholders or until their respective successors have been duly elected and qualified or their earlier resignation or removal:</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1145"/>
        <w:gridCol w:w="60"/>
        <w:gridCol w:w="1055"/>
        <w:gridCol w:w="60"/>
        <w:gridCol w:w="1310"/>
        <w:gridCol w:w="60"/>
        <w:gridCol w:w="1565"/>
      </w:tblGrid>
      <w:tr>
        <w:trPr/>
        <w:tc>
          <w:tcPr>
            <w:tcW w:w="1145" w:type="dxa"/>
            <w:tcBorders>
              <w:bottom w:val="single" w:sz="8" w:space="0" w:color="000000"/>
            </w:tcBorders>
            <w:vAlign w:val="center"/>
          </w:tcPr>
          <w:p>
            <w:pPr>
              <w:pStyle w:val="TableContents"/>
              <w:bidi w:val="0"/>
              <w:spacing w:before="0" w:after="283"/>
              <w:jc w:val="center"/>
              <w:rPr>
                <w:b/>
                <w:sz w:val="20"/>
              </w:rPr>
            </w:pPr>
            <w:r>
              <w:rPr>
                <w:b/>
                <w:sz w:val="20"/>
              </w:rPr>
              <w:t>Nominee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8" w:space="0" w:color="000000"/>
            </w:tcBorders>
            <w:vAlign w:val="center"/>
          </w:tcPr>
          <w:p>
            <w:pPr>
              <w:pStyle w:val="TableContents"/>
              <w:bidi w:val="0"/>
              <w:spacing w:before="0" w:after="283"/>
              <w:jc w:val="center"/>
              <w:rPr>
                <w:b/>
                <w:sz w:val="20"/>
              </w:rPr>
            </w:pPr>
            <w:r>
              <w:rPr>
                <w:b/>
                <w:sz w:val="20"/>
              </w:rPr>
              <w:t>Votes Withheld</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1145" w:type="dxa"/>
            <w:tcBorders/>
            <w:shd w:fill="CCEEFF" w:val="clear"/>
            <w:tcMar>
              <w:bottom w:w="0" w:type="dxa"/>
            </w:tcMar>
            <w:vAlign w:val="center"/>
          </w:tcPr>
          <w:p>
            <w:pPr>
              <w:pStyle w:val="TableContents"/>
              <w:bidi w:val="0"/>
              <w:spacing w:before="0" w:after="283"/>
              <w:jc w:val="center"/>
              <w:rPr>
                <w:sz w:val="20"/>
              </w:rPr>
            </w:pPr>
            <w:r>
              <w:rPr>
                <w:sz w:val="20"/>
              </w:rPr>
              <w:t>Troy Cox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222,829,923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7,618,480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62,511,542</w:t>
            </w:r>
          </w:p>
        </w:tc>
      </w:tr>
      <w:tr>
        <w:trPr/>
        <w:tc>
          <w:tcPr>
            <w:tcW w:w="1145" w:type="dxa"/>
            <w:tcBorders/>
            <w:shd w:fill="FFFFFF" w:val="clear"/>
            <w:tcMar>
              <w:bottom w:w="0" w:type="dxa"/>
            </w:tcMar>
            <w:vAlign w:val="center"/>
          </w:tcPr>
          <w:p>
            <w:pPr>
              <w:pStyle w:val="TableContents"/>
              <w:bidi w:val="0"/>
              <w:spacing w:before="0" w:after="283"/>
              <w:jc w:val="center"/>
              <w:rPr>
                <w:sz w:val="20"/>
              </w:rPr>
            </w:pPr>
            <w:r>
              <w:rPr>
                <w:sz w:val="20"/>
              </w:rPr>
              <w:t>Fenel M. Eloi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221,580,993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8,868,410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sz w:val="20"/>
              </w:rPr>
            </w:pPr>
            <w:r>
              <w:rPr>
                <w:sz w:val="20"/>
              </w:rPr>
              <w:t>62,510,542</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Advisory Vote on Approval of Executive Compensation.</w:t>
      </w:r>
      <w:r>
        <w:rPr>
          <w:rFonts w:ascii="Times New Roman;Times;Serif" w:hAnsi="Times New Roman;Times;Serif"/>
          <w:b w:val="false"/>
          <w:i w:val="false"/>
          <w:caps w:val="false"/>
          <w:smallCaps w:val="false"/>
          <w:sz w:val="20"/>
        </w:rPr>
        <w:t xml:space="preserve"> The proposal to approve, on an advisory basis, the compensation of the Company’s named executive officers for the year ended December 31, 2023 was approved by the following votes: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28" w:type="dxa"/>
          <w:right w:w="0" w:type="dxa"/>
        </w:tblCellMar>
      </w:tblPr>
      <w:tblGrid>
        <w:gridCol w:w="1070"/>
        <w:gridCol w:w="60"/>
        <w:gridCol w:w="1175"/>
        <w:gridCol w:w="60"/>
        <w:gridCol w:w="995"/>
        <w:gridCol w:w="60"/>
        <w:gridCol w:w="1565"/>
      </w:tblGrid>
      <w:tr>
        <w:trPr/>
        <w:tc>
          <w:tcPr>
            <w:tcW w:w="1070"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200,835,452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28,960,018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653,932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62,510,543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Ratification of Appointment of Independent Registered Public Accounting Firm.</w:t>
      </w:r>
      <w:r>
        <w:rPr>
          <w:rFonts w:ascii="Times New Roman;Times;Serif" w:hAnsi="Times New Roman;Times;Serif"/>
          <w:b w:val="false"/>
          <w:i w:val="false"/>
          <w:caps w:val="false"/>
          <w:smallCaps w:val="false"/>
          <w:sz w:val="20"/>
        </w:rPr>
        <w:t xml:space="preserve"> The proposal to ratify the appointment of PricewaterhouseCoopers LLP as the Company’s independent registered public accounting firm for the year ending December 31, 2024 was approved by the following vote:</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28" w:type="dxa"/>
          <w:right w:w="0" w:type="dxa"/>
        </w:tblCellMar>
      </w:tblPr>
      <w:tblGrid>
        <w:gridCol w:w="1070"/>
        <w:gridCol w:w="60"/>
        <w:gridCol w:w="1175"/>
        <w:gridCol w:w="60"/>
        <w:gridCol w:w="1010"/>
      </w:tblGrid>
      <w:tr>
        <w:trPr/>
        <w:tc>
          <w:tcPr>
            <w:tcW w:w="1070"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b/>
                <w:sz w:val="20"/>
              </w:rPr>
            </w:pPr>
            <w:r>
              <w:rPr>
                <w:b/>
                <w:sz w:val="20"/>
              </w:rPr>
              <w:t>Abstentions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291,606,384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383,526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970,035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Approval of the Amendment to the Amended and Restated 2011 Equity Incentive Plan. </w:t>
      </w:r>
      <w:r>
        <w:rPr>
          <w:rFonts w:ascii="Times New Roman;Times;Serif" w:hAnsi="Times New Roman;Times;Serif"/>
          <w:b w:val="false"/>
          <w:i w:val="false"/>
          <w:caps w:val="false"/>
          <w:smallCaps w:val="false"/>
          <w:sz w:val="20"/>
        </w:rPr>
        <w:t>The proposal to approve the amendment to the Plan to increase the shares of common stock reserved thereunder by 19,125,000 shares was approved by the following votes: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28" w:type="dxa"/>
          <w:right w:w="0" w:type="dxa"/>
        </w:tblCellMar>
      </w:tblPr>
      <w:tblGrid>
        <w:gridCol w:w="1070"/>
        <w:gridCol w:w="60"/>
        <w:gridCol w:w="1175"/>
        <w:gridCol w:w="60"/>
        <w:gridCol w:w="995"/>
        <w:gridCol w:w="60"/>
        <w:gridCol w:w="1565"/>
      </w:tblGrid>
      <w:tr>
        <w:trPr/>
        <w:tc>
          <w:tcPr>
            <w:tcW w:w="1070"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219,832,074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10,192,031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425,296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62,510,544</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65"/>
        <w:gridCol w:w="60"/>
        <w:gridCol w:w="728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b/>
                <w:sz w:val="20"/>
              </w:rPr>
            </w:pPr>
            <w:r>
              <w:rPr>
                <w:b/>
                <w:sz w:val="20"/>
              </w:rPr>
              <w:t>Description</w:t>
            </w:r>
          </w:p>
        </w:tc>
      </w:tr>
      <w:tr>
        <w:trPr/>
        <w:tc>
          <w:tcPr>
            <w:tcW w:w="665" w:type="dxa"/>
            <w:tcBorders>
              <w:top w:val="single" w:sz="8" w:space="0" w:color="000000"/>
            </w:tcBorders>
            <w:tcMar>
              <w:top w:w="28" w:type="dxa"/>
            </w:tcMar>
            <w:vAlign w:val="center"/>
          </w:tcPr>
          <w:p>
            <w:pPr>
              <w:pStyle w:val="TableContents"/>
              <w:bidi w:val="0"/>
              <w:spacing w:before="0" w:after="283"/>
              <w:jc w:val="left"/>
              <w:rPr/>
            </w:pPr>
            <w:hyperlink w:anchor="tm2418585d1_ex10-1.htm">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7280" w:type="dxa"/>
            <w:tcBorders>
              <w:top w:val="single" w:sz="8" w:space="0" w:color="000000"/>
            </w:tcBorders>
            <w:tcMar>
              <w:top w:w="28" w:type="dxa"/>
            </w:tcMar>
            <w:vAlign w:val="center"/>
          </w:tcPr>
          <w:p>
            <w:pPr>
              <w:pStyle w:val="TableContents"/>
              <w:bidi w:val="0"/>
              <w:spacing w:before="0" w:after="283"/>
              <w:jc w:val="left"/>
              <w:rPr/>
            </w:pPr>
            <w:hyperlink w:anchor="tm2418585d1_ex10-1.htm">
              <w:r>
                <w:rPr>
                  <w:rStyle w:val="InternetLink"/>
                  <w:sz w:val="20"/>
                </w:rPr>
                <w:t>Standard BioTools Inc. Amended and Restated 2011 Equity Incentive Plan, As Amended.</w:t>
              </w:r>
            </w:hyperlink>
          </w:p>
        </w:tc>
      </w:tr>
      <w:tr>
        <w:trPr/>
        <w:tc>
          <w:tcPr>
            <w:tcW w:w="6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compensation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1775"/>
        <w:gridCol w:w="900"/>
        <w:gridCol w:w="2404"/>
      </w:tblGrid>
      <w:tr>
        <w:trPr/>
        <w:tc>
          <w:tcPr>
            <w:tcW w:w="1775" w:type="dxa"/>
            <w:tcBorders/>
            <w:vAlign w:val="center"/>
          </w:tcPr>
          <w:p>
            <w:pPr>
              <w:pStyle w:val="TableContents"/>
              <w:bidi w:val="0"/>
              <w:spacing w:before="0" w:after="283"/>
              <w:jc w:val="left"/>
              <w:rPr/>
            </w:pPr>
            <w:r>
              <w:rPr/>
              <w:t>Date: July 1, 2024</w:t>
            </w:r>
          </w:p>
        </w:tc>
        <w:tc>
          <w:tcPr>
            <w:tcW w:w="3304" w:type="dxa"/>
            <w:gridSpan w:val="2"/>
            <w:tcBorders/>
            <w:vAlign w:val="center"/>
          </w:tcPr>
          <w:p>
            <w:pPr>
              <w:pStyle w:val="TableContents"/>
              <w:bidi w:val="0"/>
              <w:spacing w:before="0" w:after="283"/>
              <w:jc w:val="left"/>
              <w:rPr>
                <w:b/>
              </w:rPr>
            </w:pPr>
            <w:r>
              <w:rPr>
                <w:b/>
              </w:rPr>
              <w:t>STANDARD BIOTOOLS INC.</w:t>
            </w:r>
          </w:p>
        </w:tc>
      </w:tr>
      <w:tr>
        <w:trPr/>
        <w:tc>
          <w:tcPr>
            <w:tcW w:w="17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Black</w:t>
            </w:r>
          </w:p>
        </w:tc>
      </w:tr>
      <w:tr>
        <w:trPr/>
        <w:tc>
          <w:tcPr>
            <w:tcW w:w="17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Name: </w:t>
            </w:r>
          </w:p>
        </w:tc>
        <w:tc>
          <w:tcPr>
            <w:tcW w:w="24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Black</w:t>
            </w:r>
          </w:p>
        </w:tc>
      </w:tr>
      <w:tr>
        <w:trPr/>
        <w:tc>
          <w:tcPr>
            <w:tcW w:w="17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Title: </w:t>
            </w:r>
          </w:p>
        </w:tc>
        <w:tc>
          <w:tcPr>
            <w:tcW w:w="24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3" w:name="tm2418585d1_ex10-1.htm"/>
      <w:bookmarkStart w:id="24" w:name="kstm2418585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b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amended and restated effective June 3, 2019, and as further amended effective</w:t>
        <w:br/>
        <w:t>June 23, 2020, May 25, 2021, June 14, 2023, January 4, 2024 and June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any of its Committees as may administer the Plan in accordance with Section 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means June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xml:space="preserve">” means the requirements </w:t>
      </w:r>
      <w:r>
        <w:rPr>
          <w:rFonts w:ascii="Times New Roman;Times;Serif" w:hAnsi="Times New Roman;Times;Serif"/>
          <w:b w:val="false"/>
          <w:i w:val="false"/>
          <w:caps w:val="false"/>
          <w:smallCaps w:val="false"/>
          <w:sz w:val="20"/>
          <w:u w:val="single"/>
        </w:rPr>
        <w:t>relating</w:t>
      </w:r>
      <w:r>
        <w:rPr>
          <w:rFonts w:ascii="Times New Roman;Times;Serif" w:hAnsi="Times New Roman;Times;Serif"/>
          <w:b w:val="false"/>
          <w:i w:val="false"/>
          <w:caps w:val="false"/>
          <w:smallCaps w:val="false"/>
          <w:sz w:val="20"/>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Performance Units or Performance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in the ownership of the Company which occurs on the date that any one person, or more than one person acting as a group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Standard BioTools Inc. (fka Fluidigm Corporation), a Delaware corporation,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engaged by the Company or a Parent or Subsidiary to render services to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Common Stock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Common Stock, the Fair Market Value will be determined in good faith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intended to qualify as an incentive stock option within the meaning of Section 422 of the Code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Inside Director</w:t>
      </w:r>
      <w:r>
        <w:rPr>
          <w:rFonts w:ascii="Times New Roman;Times;Serif" w:hAnsi="Times New Roman;Times;Serif"/>
          <w:b w:val="false"/>
          <w:i w:val="false"/>
          <w:caps w:val="false"/>
          <w:smallCaps w:val="false"/>
          <w:sz w:val="20"/>
        </w:rPr>
        <w:t>” means a Director who is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Outside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 “parent corporation,” whether now or hereafter existing,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an Award denominated in Shares which may be earned in whole or in part upon attainment of performance goals or other vesting criteria as the Administrator may determine pursuant to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2011 Equity Incentive Plan, as amended and restated effective June 3, 2019, and as further amended at the 2020 Annual Meeting of Stockholders, the 2021 Annual Meeting of Stockholders, the 2023 Annual Meeting of Stockholders, the 2024 Special Meeting of Stockholders and the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Shares issued pursuant to a Restricted Stock award under Section 7 of the Plan, or issued pursuant to the early exercise of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8. Each Restricted Stock Unit represents an unfunded and unsecured obligation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Section 16(12)</w:t>
      </w:r>
      <w:r>
        <w:rPr>
          <w:rFonts w:ascii="Times New Roman;Times;Serif" w:hAnsi="Times New Roman;Times;Serif"/>
          <w:b w:val="false"/>
          <w:i w:val="false"/>
          <w:caps w:val="false"/>
          <w:smallCaps w:val="false"/>
          <w:sz w:val="20"/>
        </w:rPr>
        <w:t>” means Section 16(b)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Director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the Common Stock, as adjusted in accordance with Section 13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means an Award, granted alone or in connection with an Option, that pursuant to Section 9 is designated as a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whether now or hereafter existing,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Subject to the provisions of Section 13 of the Plan, the maximum aggregate number of Shares that may be issued under the Plan as of the Amendment Effective Date is (i) 19,125,000 Shares, plus (ii) any Shares that, as of immediately prior to the Amendment Effective Date, were available for issuance under the pre-existing version of the 2011 Equity Incentive Plan prior to this amendment (the “</w:t>
      </w:r>
      <w:r>
        <w:rPr>
          <w:rFonts w:ascii="Times New Roman;Times;Serif" w:hAnsi="Times New Roman;Times;Serif"/>
          <w:b w:val="false"/>
          <w:i w:val="false"/>
          <w:caps w:val="false"/>
          <w:smallCaps w:val="false"/>
          <w:sz w:val="20"/>
          <w:u w:val="single"/>
        </w:rPr>
        <w:t>Existing Plan</w:t>
      </w:r>
      <w:r>
        <w:rPr>
          <w:rFonts w:ascii="Times New Roman;Times;Serif" w:hAnsi="Times New Roman;Times;Serif"/>
          <w:b w:val="false"/>
          <w:i w:val="false"/>
          <w:caps w:val="false"/>
          <w:smallCaps w:val="false"/>
          <w:sz w:val="20"/>
        </w:rPr>
        <w:t>”). The Shares may be authorized, but unissued, or reacquired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The Company, during the term of this Plan, will at all times reserve and keep available such number of Shares as will be sufficient to satisfy the requirements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may administer the Plan with respect to different groups of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such transactions will be structured to satisfy the requirements for exemption under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 constituted to satisfy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and in the case of a Committee, subject to the specific duties delegated by the Board to such Committee, the Administrator will have the authority,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Service Providers to whom Awards may be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Award Agreements for use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construe and interpret the terms of the Plan and Awards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modify or amend each Award (subject to Section 18 of the Plan), including but not limited to the discretionary authority to extend the post-termination exercisability period of Awards and to extend the maximum term of an Option (subject to Section 6(b)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allow Participants to satisfy tax withholding obligations in such manner as prescribed in Section 14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authorize any person to execute on behalf of the Company any instrument required to effect the grant of an Award previously granted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allow a Participant to defer the receipt of the payment of cash or the delivery of Shares that would otherwise be due to such Participant under an Award;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make all other determinations deemed necessary or advisable for administering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decisions, determinations, and interpretations of the Administrator will be final and binding on all Participants and any other holders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Limitations on Administrative Authority</w:t>
      </w:r>
      <w:r>
        <w:rPr>
          <w:rFonts w:ascii="Times New Roman;Times;Serif" w:hAnsi="Times New Roman;Times;Serif"/>
          <w:b w:val="false"/>
          <w:i w:val="false"/>
          <w:caps w:val="false"/>
          <w:smallCaps w:val="false"/>
          <w:sz w:val="20"/>
        </w:rPr>
        <w:t>. Notwithstanding anything herein to the contrary, the Administrator shall be limited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The Administrator may not implement an Exchange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Dividends or Dividend Equivalents Paid on Unvested Awards</w:t>
      </w:r>
      <w:r>
        <w:rPr>
          <w:rFonts w:ascii="Times New Roman;Times;Serif" w:hAnsi="Times New Roman;Times;Serif"/>
          <w:b w:val="false"/>
          <w:i w:val="false"/>
          <w:caps w:val="false"/>
          <w:smallCaps w:val="false"/>
          <w:sz w:val="20"/>
        </w:rPr>
        <w:t>. No dividends or dividend equivalents shall be paid on any unvested Awards. Any dividends or dividend equivalents may be declared or accrue on unvested Awards, but shall not be paid until the vesting of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Outside Director Limitations</w:t>
      </w:r>
      <w:r>
        <w:rPr>
          <w:rFonts w:ascii="Times New Roman;Times;Serif" w:hAnsi="Times New Roman;Times;Serif"/>
          <w:b w:val="false"/>
          <w:i w:val="false"/>
          <w:caps w:val="false"/>
          <w:smallCaps w:val="false"/>
          <w:sz w:val="20"/>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granted to any Employee other than an Employee described in paragraph (A) immediately above, the per Share exercise price will be no less than one hundred percent (100%)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Nonstatutory Stock Option, the per Share exercise price will be no less than one hundred percent (100%)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conditions that must be satisfied before the Option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7 or in the Award Agreement, Shares of Restricted Stock may not be sold, transferred, pledged, assigned, or otherwise alienated or hypothecated until the end of the applicable Period of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the Administrator provides otherwise, subject to Section 4(d) (ii).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revert to the Company and again will become available for grant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Stock Appreciation Right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On the date set forth in the Award Agreement, all unearned or unvested Performance Units/Shares will be forfeited to the Company, and again will be available for grant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Leaves of Absence/Transfers Between Locations</w:t>
      </w:r>
      <w:r>
        <w:rPr>
          <w:rFonts w:ascii="Times New Roman;Times;Serif" w:hAnsi="Times New Roman;Times;Serif"/>
          <w:b w:val="false"/>
          <w:i w:val="false"/>
          <w:caps w:val="false"/>
          <w:smallCaps w:val="false"/>
          <w:sz w:val="20"/>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Outside Director Awards</w:t>
      </w:r>
      <w:r>
        <w:rPr>
          <w:rFonts w:ascii="Times New Roman;Times;Serif" w:hAnsi="Times New Roman;Times;Serif"/>
          <w:b w:val="false"/>
          <w:i w:val="false"/>
          <w:caps w:val="false"/>
          <w:smallCaps w:val="false"/>
          <w:sz w:val="20"/>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With Code Section 409A</w:t>
      </w:r>
      <w:r>
        <w:rPr>
          <w:rFonts w:ascii="Times New Roman;Times;Serif" w:hAnsi="Times New Roman;Times;Serif"/>
          <w:b w:val="false"/>
          <w:i w:val="false"/>
          <w:caps w:val="false"/>
          <w:smallCaps w:val="false"/>
          <w:sz w:val="20"/>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Subject to Section 22 of the Plan, this amendment of the Plan will become effective upon the Amendment Effective Date. It will continue in effect for a term of ten (10) years from the date of the Amendment Effective Date, unless terminated earlier under Section 18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Board may at any time amend, alter, suspend or terminate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will obtain stockholder approval of any Plan amendment to the extent necessary and desirable to comply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This amendment of the Plan is subject to, and contingent upon, stockholder approval at the Special Meeting of Stockholders. Such stockholder approval will be obtained in the manner and to the degree required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9496</Words>
  <Characters>49198</Characters>
  <CharactersWithSpaces>60351</CharactersWithSpaces>
  <Paragraphs>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