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07/24/2017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4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820" w:type="dxa"/>
            <w:vAlign w:val="bottom"/>
            <w:tcBorders>
              <w:bottom w:val="single" w:sz="8" w:color="9A9A9A"/>
            </w:tcBorders>
          </w:tcPr>
          <w:p>
            <w:pPr>
              <w:spacing w:after="0"/>
              <w:rPr>
                <w:sz w:val="5"/>
                <w:szCs w:val="5"/>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600" w:type="dxa"/>
            <w:vAlign w:val="bottom"/>
            <w:gridSpan w:val="5"/>
            <w:vMerge w:val="continue"/>
          </w:tcPr>
          <w:p>
            <w:pPr>
              <w:spacing w:after="0"/>
              <w:rPr>
                <w:sz w:val="6"/>
                <w:szCs w:val="6"/>
                <w:color w:val="auto"/>
              </w:rPr>
            </w:pPr>
          </w:p>
        </w:tc>
        <w:tc>
          <w:tcPr>
            <w:tcW w:w="39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3200" w:type="dxa"/>
            <w:vAlign w:val="bottom"/>
            <w:gridSpan w:val="3"/>
          </w:tcPr>
          <w:p>
            <w:pPr>
              <w:ind w:left="1980"/>
              <w:spacing w:after="0"/>
              <w:rPr>
                <w:sz w:val="20"/>
                <w:szCs w:val="20"/>
                <w:color w:val="auto"/>
              </w:rPr>
            </w:pPr>
            <w:r>
              <w:rPr>
                <w:rFonts w:ascii="Arial" w:cs="Arial" w:eastAsia="Arial" w:hAnsi="Arial"/>
                <w:sz w:val="18"/>
                <w:szCs w:val="18"/>
                <w:color w:val="0000FF"/>
              </w:rPr>
              <w:t>08/11/2017</w:t>
            </w: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Line)</w:t>
            </w: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line="183" w:lineRule="exact"/>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line="183" w:lineRule="exact"/>
              <w:rPr>
                <w:sz w:val="20"/>
                <w:szCs w:val="20"/>
                <w:color w:val="auto"/>
              </w:rPr>
            </w:pPr>
            <w:r>
              <w:rPr>
                <w:rFonts w:ascii="Arial" w:cs="Arial" w:eastAsia="Arial" w:hAnsi="Arial"/>
                <w:sz w:val="18"/>
                <w:szCs w:val="18"/>
                <w:color w:val="0000FF"/>
              </w:rPr>
              <w:t>NY</w:t>
            </w:r>
          </w:p>
        </w:tc>
        <w:tc>
          <w:tcPr>
            <w:tcW w:w="1820" w:type="dxa"/>
            <w:vAlign w:val="bottom"/>
          </w:tcPr>
          <w:p>
            <w:pPr>
              <w:ind w:left="560"/>
              <w:spacing w:after="0" w:line="183" w:lineRule="exact"/>
              <w:rPr>
                <w:sz w:val="20"/>
                <w:szCs w:val="20"/>
                <w:color w:val="auto"/>
              </w:rPr>
            </w:pPr>
            <w:r>
              <w:rPr>
                <w:rFonts w:ascii="Arial" w:cs="Arial" w:eastAsia="Arial" w:hAnsi="Arial"/>
                <w:sz w:val="18"/>
                <w:szCs w:val="18"/>
                <w:color w:val="0000FF"/>
              </w:rPr>
              <w:t>10022</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vMerge w:val="restart"/>
          </w:tcPr>
          <w:p>
            <w:pPr>
              <w:ind w:left="60"/>
              <w:spacing w:after="0" w:line="183" w:lineRule="exact"/>
              <w:rPr>
                <w:sz w:val="20"/>
                <w:szCs w:val="20"/>
                <w:color w:val="auto"/>
              </w:rPr>
            </w:pPr>
            <w:r>
              <w:rPr>
                <w:rFonts w:ascii="Arial" w:cs="Arial" w:eastAsia="Arial" w:hAnsi="Arial"/>
                <w:sz w:val="18"/>
                <w:szCs w:val="18"/>
                <w:color w:val="0000FF"/>
                <w:w w:val="99"/>
              </w:rPr>
              <w:t>X</w:t>
            </w:r>
          </w:p>
        </w:tc>
        <w:tc>
          <w:tcPr>
            <w:tcW w:w="302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60" w:type="dxa"/>
            <w:vAlign w:val="bottom"/>
            <w:vMerge w:val="restart"/>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44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60" w:type="dxa"/>
            <w:vAlign w:val="bottom"/>
            <w:gridSpan w:val="2"/>
          </w:tcPr>
          <w:p>
            <w:pPr>
              <w:jc w:val="center"/>
              <w:ind w:left="859"/>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1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w w:val="96"/>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vMerge w:val="restart"/>
          </w:tcPr>
          <w:p>
            <w:pPr>
              <w:jc w:val="center"/>
              <w:ind w:left="859"/>
              <w:spacing w:after="0"/>
              <w:rPr>
                <w:sz w:val="20"/>
                <w:szCs w:val="20"/>
                <w:color w:val="auto"/>
              </w:rPr>
            </w:pPr>
            <w:r>
              <w:rPr>
                <w:rFonts w:ascii="Arial" w:cs="Arial" w:eastAsia="Arial" w:hAnsi="Arial"/>
                <w:sz w:val="18"/>
                <w:szCs w:val="18"/>
                <w:color w:val="0000FF"/>
                <w:w w:val="88"/>
              </w:rPr>
              <w:t>07/24/2017</w:t>
            </w:r>
          </w:p>
        </w:tc>
        <w:tc>
          <w:tcPr>
            <w:tcW w:w="1140" w:type="dxa"/>
            <w:vAlign w:val="bottom"/>
          </w:tcPr>
          <w:p>
            <w:pPr>
              <w:spacing w:after="0"/>
              <w:rPr>
                <w:sz w:val="18"/>
                <w:szCs w:val="18"/>
                <w:color w:val="auto"/>
              </w:rPr>
            </w:pPr>
          </w:p>
        </w:tc>
        <w:tc>
          <w:tcPr>
            <w:tcW w:w="820" w:type="dxa"/>
            <w:vAlign w:val="bottom"/>
            <w:vMerge w:val="restart"/>
          </w:tcPr>
          <w:p>
            <w:pPr>
              <w:jc w:val="center"/>
              <w:ind w:right="299"/>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8,720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200" w:type="dxa"/>
            <w:vAlign w:val="bottom"/>
          </w:tcPr>
          <w:p>
            <w:pPr>
              <w:spacing w:after="0"/>
              <w:rPr>
                <w:sz w:val="18"/>
                <w:szCs w:val="18"/>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8"/>
                <w:szCs w:val="18"/>
                <w:color w:val="0000FF"/>
                <w:w w:val="87"/>
              </w:rPr>
              <w:t>6,210,736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Strategies,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w w:val="96"/>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vMerge w:val="restart"/>
          </w:tcPr>
          <w:p>
            <w:pPr>
              <w:jc w:val="center"/>
              <w:ind w:left="859"/>
              <w:spacing w:after="0"/>
              <w:rPr>
                <w:sz w:val="20"/>
                <w:szCs w:val="20"/>
                <w:color w:val="auto"/>
              </w:rPr>
            </w:pPr>
            <w:r>
              <w:rPr>
                <w:rFonts w:ascii="Arial" w:cs="Arial" w:eastAsia="Arial" w:hAnsi="Arial"/>
                <w:sz w:val="18"/>
                <w:szCs w:val="18"/>
                <w:color w:val="0000FF"/>
                <w:w w:val="88"/>
              </w:rPr>
              <w:t>08/09/2017</w:t>
            </w:r>
          </w:p>
        </w:tc>
        <w:tc>
          <w:tcPr>
            <w:tcW w:w="1140" w:type="dxa"/>
            <w:vAlign w:val="bottom"/>
          </w:tcPr>
          <w:p>
            <w:pPr>
              <w:spacing w:after="0"/>
              <w:rPr>
                <w:sz w:val="18"/>
                <w:szCs w:val="18"/>
                <w:color w:val="auto"/>
              </w:rPr>
            </w:pPr>
          </w:p>
        </w:tc>
        <w:tc>
          <w:tcPr>
            <w:tcW w:w="820" w:type="dxa"/>
            <w:vAlign w:val="bottom"/>
            <w:vMerge w:val="restart"/>
          </w:tcPr>
          <w:p>
            <w:pPr>
              <w:jc w:val="center"/>
              <w:ind w:right="299"/>
              <w:spacing w:after="0"/>
              <w:rPr>
                <w:sz w:val="20"/>
                <w:szCs w:val="20"/>
                <w:color w:val="auto"/>
              </w:rPr>
            </w:pPr>
            <w:r>
              <w:rPr>
                <w:rFonts w:ascii="Arial" w:cs="Arial" w:eastAsia="Arial" w:hAnsi="Arial"/>
                <w:sz w:val="12"/>
                <w:szCs w:val="12"/>
                <w:color w:val="0000FF"/>
                <w:w w:val="74"/>
              </w:rPr>
              <w:t>P</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1,549</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3.1838</w:t>
            </w:r>
          </w:p>
        </w:tc>
        <w:tc>
          <w:tcPr>
            <w:tcW w:w="200" w:type="dxa"/>
            <w:vAlign w:val="bottom"/>
          </w:tcPr>
          <w:p>
            <w:pPr>
              <w:spacing w:after="0"/>
              <w:rPr>
                <w:sz w:val="18"/>
                <w:szCs w:val="18"/>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8"/>
                <w:szCs w:val="18"/>
                <w:color w:val="0000FF"/>
                <w:w w:val="87"/>
              </w:rPr>
              <w:t>6,212,285</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Strategies,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w w:val="96"/>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vMerge w:val="restart"/>
          </w:tcPr>
          <w:p>
            <w:pPr>
              <w:jc w:val="center"/>
              <w:ind w:left="859"/>
              <w:spacing w:after="0"/>
              <w:rPr>
                <w:sz w:val="20"/>
                <w:szCs w:val="20"/>
                <w:color w:val="auto"/>
              </w:rPr>
            </w:pPr>
            <w:r>
              <w:rPr>
                <w:rFonts w:ascii="Arial" w:cs="Arial" w:eastAsia="Arial" w:hAnsi="Arial"/>
                <w:sz w:val="18"/>
                <w:szCs w:val="18"/>
                <w:color w:val="0000FF"/>
                <w:w w:val="88"/>
              </w:rPr>
              <w:t>08/10/2017</w:t>
            </w:r>
          </w:p>
        </w:tc>
        <w:tc>
          <w:tcPr>
            <w:tcW w:w="1140" w:type="dxa"/>
            <w:vAlign w:val="bottom"/>
          </w:tcPr>
          <w:p>
            <w:pPr>
              <w:spacing w:after="0"/>
              <w:rPr>
                <w:sz w:val="18"/>
                <w:szCs w:val="18"/>
                <w:color w:val="auto"/>
              </w:rPr>
            </w:pPr>
          </w:p>
        </w:tc>
        <w:tc>
          <w:tcPr>
            <w:tcW w:w="820" w:type="dxa"/>
            <w:vAlign w:val="bottom"/>
            <w:vMerge w:val="restart"/>
          </w:tcPr>
          <w:p>
            <w:pPr>
              <w:jc w:val="center"/>
              <w:ind w:right="299"/>
              <w:spacing w:after="0"/>
              <w:rPr>
                <w:sz w:val="20"/>
                <w:szCs w:val="20"/>
                <w:color w:val="auto"/>
              </w:rPr>
            </w:pPr>
            <w:r>
              <w:rPr>
                <w:rFonts w:ascii="Arial" w:cs="Arial" w:eastAsia="Arial" w:hAnsi="Arial"/>
                <w:sz w:val="12"/>
                <w:szCs w:val="12"/>
                <w:color w:val="0000FF"/>
                <w:w w:val="74"/>
              </w:rPr>
              <w:t>P</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3,908,251</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3.3</w:t>
            </w:r>
          </w:p>
        </w:tc>
        <w:tc>
          <w:tcPr>
            <w:tcW w:w="200" w:type="dxa"/>
            <w:vAlign w:val="bottom"/>
          </w:tcPr>
          <w:p>
            <w:pPr>
              <w:spacing w:after="0"/>
              <w:rPr>
                <w:sz w:val="18"/>
                <w:szCs w:val="18"/>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8"/>
                <w:szCs w:val="18"/>
                <w:color w:val="0000FF"/>
                <w:w w:val="86"/>
              </w:rPr>
              <w:t>10,120,536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Strategies,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w w:val="96"/>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vMerge w:val="restart"/>
          </w:tcPr>
          <w:p>
            <w:pPr>
              <w:jc w:val="center"/>
              <w:ind w:left="859"/>
              <w:spacing w:after="0"/>
              <w:rPr>
                <w:sz w:val="20"/>
                <w:szCs w:val="20"/>
                <w:color w:val="auto"/>
              </w:rPr>
            </w:pPr>
            <w:r>
              <w:rPr>
                <w:rFonts w:ascii="Arial" w:cs="Arial" w:eastAsia="Arial" w:hAnsi="Arial"/>
                <w:sz w:val="18"/>
                <w:szCs w:val="18"/>
                <w:color w:val="0000FF"/>
                <w:w w:val="88"/>
              </w:rPr>
              <w:t>08/10/2017</w:t>
            </w:r>
          </w:p>
        </w:tc>
        <w:tc>
          <w:tcPr>
            <w:tcW w:w="1140" w:type="dxa"/>
            <w:vAlign w:val="bottom"/>
          </w:tcPr>
          <w:p>
            <w:pPr>
              <w:spacing w:after="0"/>
              <w:rPr>
                <w:sz w:val="18"/>
                <w:szCs w:val="18"/>
                <w:color w:val="auto"/>
              </w:rPr>
            </w:pPr>
          </w:p>
        </w:tc>
        <w:tc>
          <w:tcPr>
            <w:tcW w:w="820" w:type="dxa"/>
            <w:vAlign w:val="bottom"/>
            <w:vMerge w:val="restart"/>
          </w:tcPr>
          <w:p>
            <w:pPr>
              <w:jc w:val="center"/>
              <w:ind w:right="299"/>
              <w:spacing w:after="0"/>
              <w:rPr>
                <w:sz w:val="20"/>
                <w:szCs w:val="20"/>
                <w:color w:val="auto"/>
              </w:rPr>
            </w:pPr>
            <w:r>
              <w:rPr>
                <w:rFonts w:ascii="Arial" w:cs="Arial" w:eastAsia="Arial" w:hAnsi="Arial"/>
                <w:sz w:val="12"/>
                <w:szCs w:val="12"/>
                <w:color w:val="0000FF"/>
                <w:w w:val="74"/>
              </w:rPr>
              <w:t>P</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500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3.2479</w:t>
            </w:r>
          </w:p>
        </w:tc>
        <w:tc>
          <w:tcPr>
            <w:tcW w:w="200" w:type="dxa"/>
            <w:vAlign w:val="bottom"/>
          </w:tcPr>
          <w:p>
            <w:pPr>
              <w:spacing w:after="0"/>
              <w:rPr>
                <w:sz w:val="18"/>
                <w:szCs w:val="18"/>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8"/>
                <w:szCs w:val="18"/>
                <w:color w:val="0000FF"/>
                <w:w w:val="86"/>
              </w:rPr>
              <w:t>10,121,036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Strategies,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w w:val="96"/>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vMerge w:val="restart"/>
          </w:tcPr>
          <w:p>
            <w:pPr>
              <w:jc w:val="center"/>
              <w:ind w:left="859"/>
              <w:spacing w:after="0"/>
              <w:rPr>
                <w:sz w:val="20"/>
                <w:szCs w:val="20"/>
                <w:color w:val="auto"/>
              </w:rPr>
            </w:pPr>
            <w:r>
              <w:rPr>
                <w:rFonts w:ascii="Arial" w:cs="Arial" w:eastAsia="Arial" w:hAnsi="Arial"/>
                <w:sz w:val="18"/>
                <w:szCs w:val="18"/>
                <w:color w:val="0000FF"/>
                <w:w w:val="88"/>
              </w:rPr>
              <w:t>08/10/2017</w:t>
            </w:r>
          </w:p>
        </w:tc>
        <w:tc>
          <w:tcPr>
            <w:tcW w:w="1140" w:type="dxa"/>
            <w:vAlign w:val="bottom"/>
          </w:tcPr>
          <w:p>
            <w:pPr>
              <w:spacing w:after="0"/>
              <w:rPr>
                <w:sz w:val="18"/>
                <w:szCs w:val="18"/>
                <w:color w:val="auto"/>
              </w:rPr>
            </w:pPr>
          </w:p>
        </w:tc>
        <w:tc>
          <w:tcPr>
            <w:tcW w:w="820" w:type="dxa"/>
            <w:vAlign w:val="bottom"/>
            <w:vMerge w:val="restart"/>
          </w:tcPr>
          <w:p>
            <w:pPr>
              <w:jc w:val="center"/>
              <w:ind w:right="299"/>
              <w:spacing w:after="0"/>
              <w:rPr>
                <w:sz w:val="20"/>
                <w:szCs w:val="20"/>
                <w:color w:val="auto"/>
              </w:rPr>
            </w:pPr>
            <w:r>
              <w:rPr>
                <w:rFonts w:ascii="Arial" w:cs="Arial" w:eastAsia="Arial" w:hAnsi="Arial"/>
                <w:sz w:val="12"/>
                <w:szCs w:val="12"/>
                <w:color w:val="0000FF"/>
                <w:w w:val="74"/>
              </w:rPr>
              <w:t>P</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1,080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3.31</w:t>
            </w:r>
          </w:p>
        </w:tc>
        <w:tc>
          <w:tcPr>
            <w:tcW w:w="200" w:type="dxa"/>
            <w:vAlign w:val="bottom"/>
          </w:tcPr>
          <w:p>
            <w:pPr>
              <w:spacing w:after="0"/>
              <w:rPr>
                <w:sz w:val="18"/>
                <w:szCs w:val="18"/>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8"/>
                <w:szCs w:val="18"/>
                <w:color w:val="0000FF"/>
                <w:w w:val="86"/>
              </w:rPr>
              <w:t>10,122,116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Strategies,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vMerge w:val="restart"/>
          </w:tcPr>
          <w:p>
            <w:pPr>
              <w:jc w:val="center"/>
              <w:ind w:left="859"/>
              <w:spacing w:after="0"/>
              <w:rPr>
                <w:sz w:val="20"/>
                <w:szCs w:val="20"/>
                <w:color w:val="auto"/>
              </w:rPr>
            </w:pPr>
            <w:r>
              <w:rPr>
                <w:rFonts w:ascii="Arial" w:cs="Arial" w:eastAsia="Arial" w:hAnsi="Arial"/>
                <w:sz w:val="18"/>
                <w:szCs w:val="18"/>
                <w:color w:val="0000FF"/>
                <w:w w:val="88"/>
              </w:rPr>
              <w:t>08/10/2017</w:t>
            </w:r>
          </w:p>
        </w:tc>
        <w:tc>
          <w:tcPr>
            <w:tcW w:w="1140" w:type="dxa"/>
            <w:vAlign w:val="bottom"/>
          </w:tcPr>
          <w:p>
            <w:pPr>
              <w:spacing w:after="0"/>
              <w:rPr>
                <w:sz w:val="18"/>
                <w:szCs w:val="18"/>
                <w:color w:val="auto"/>
              </w:rPr>
            </w:pPr>
          </w:p>
        </w:tc>
        <w:tc>
          <w:tcPr>
            <w:tcW w:w="820" w:type="dxa"/>
            <w:vAlign w:val="bottom"/>
            <w:vMerge w:val="restart"/>
          </w:tcPr>
          <w:p>
            <w:pPr>
              <w:jc w:val="center"/>
              <w:ind w:right="299"/>
              <w:spacing w:after="0"/>
              <w:rPr>
                <w:sz w:val="20"/>
                <w:szCs w:val="20"/>
                <w:color w:val="auto"/>
              </w:rPr>
            </w:pPr>
            <w:r>
              <w:rPr>
                <w:rFonts w:ascii="Arial" w:cs="Arial" w:eastAsia="Arial" w:hAnsi="Arial"/>
                <w:sz w:val="12"/>
                <w:szCs w:val="12"/>
                <w:color w:val="0000FF"/>
                <w:w w:val="74"/>
              </w:rPr>
              <w:t>P</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3.3</w:t>
            </w:r>
          </w:p>
        </w:tc>
        <w:tc>
          <w:tcPr>
            <w:tcW w:w="200" w:type="dxa"/>
            <w:vAlign w:val="bottom"/>
          </w:tcPr>
          <w:p>
            <w:pPr>
              <w:spacing w:after="0"/>
              <w:rPr>
                <w:sz w:val="18"/>
                <w:szCs w:val="18"/>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8"/>
                <w:szCs w:val="18"/>
                <w:color w:val="0000FF"/>
                <w:w w:val="87"/>
              </w:rPr>
              <w:t>1,113,376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w w:val="92"/>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By: Levin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tcPr>
          <w:p>
            <w:pPr>
              <w:jc w:val="center"/>
              <w:ind w:left="859"/>
              <w:spacing w:after="0"/>
              <w:rPr>
                <w:sz w:val="20"/>
                <w:szCs w:val="20"/>
                <w:color w:val="auto"/>
              </w:rPr>
            </w:pPr>
            <w:r>
              <w:rPr>
                <w:rFonts w:ascii="Arial" w:cs="Arial" w:eastAsia="Arial" w:hAnsi="Arial"/>
                <w:sz w:val="18"/>
                <w:szCs w:val="18"/>
                <w:color w:val="0000FF"/>
                <w:w w:val="88"/>
              </w:rPr>
              <w:t>08/10/2017</w:t>
            </w:r>
          </w:p>
        </w:tc>
        <w:tc>
          <w:tcPr>
            <w:tcW w:w="1140" w:type="dxa"/>
            <w:vAlign w:val="bottom"/>
          </w:tcPr>
          <w:p>
            <w:pPr>
              <w:spacing w:after="0"/>
              <w:rPr>
                <w:sz w:val="18"/>
                <w:szCs w:val="18"/>
                <w:color w:val="auto"/>
              </w:rPr>
            </w:pPr>
          </w:p>
        </w:tc>
        <w:tc>
          <w:tcPr>
            <w:tcW w:w="820" w:type="dxa"/>
            <w:vAlign w:val="bottom"/>
          </w:tcPr>
          <w:p>
            <w:pPr>
              <w:jc w:val="center"/>
              <w:ind w:right="299"/>
              <w:spacing w:after="0"/>
              <w:rPr>
                <w:sz w:val="20"/>
                <w:szCs w:val="20"/>
                <w:color w:val="auto"/>
              </w:rPr>
            </w:pPr>
            <w:r>
              <w:rPr>
                <w:rFonts w:ascii="Arial" w:cs="Arial" w:eastAsia="Arial" w:hAnsi="Arial"/>
                <w:sz w:val="12"/>
                <w:szCs w:val="12"/>
                <w:color w:val="0000FF"/>
                <w:w w:val="74"/>
              </w:rPr>
              <w:t>P</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31,816</w:t>
            </w:r>
          </w:p>
        </w:tc>
        <w:tc>
          <w:tcPr>
            <w:tcW w:w="520" w:type="dxa"/>
            <w:vAlign w:val="bottom"/>
          </w:tcPr>
          <w:p>
            <w:pPr>
              <w:jc w:val="center"/>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3.3</w:t>
            </w:r>
          </w:p>
        </w:tc>
        <w:tc>
          <w:tcPr>
            <w:tcW w:w="200" w:type="dxa"/>
            <w:vAlign w:val="bottom"/>
          </w:tcPr>
          <w:p>
            <w:pPr>
              <w:spacing w:after="0"/>
              <w:rPr>
                <w:sz w:val="18"/>
                <w:szCs w:val="18"/>
                <w:color w:val="auto"/>
              </w:rPr>
            </w:pPr>
          </w:p>
        </w:tc>
        <w:tc>
          <w:tcPr>
            <w:tcW w:w="960" w:type="dxa"/>
            <w:vAlign w:val="bottom"/>
          </w:tcPr>
          <w:p>
            <w:pPr>
              <w:jc w:val="center"/>
              <w:ind w:right="118"/>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Trilogy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w w:val="96"/>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060" w:type="dxa"/>
            <w:vAlign w:val="bottom"/>
            <w:gridSpan w:val="2"/>
          </w:tcPr>
          <w:p>
            <w:pPr>
              <w:jc w:val="center"/>
              <w:ind w:left="859"/>
              <w:spacing w:after="0"/>
              <w:rPr>
                <w:sz w:val="20"/>
                <w:szCs w:val="20"/>
                <w:color w:val="auto"/>
              </w:rPr>
            </w:pPr>
            <w:r>
              <w:rPr>
                <w:rFonts w:ascii="Arial" w:cs="Arial" w:eastAsia="Arial" w:hAnsi="Arial"/>
                <w:sz w:val="18"/>
                <w:szCs w:val="18"/>
                <w:color w:val="0000FF"/>
                <w:w w:val="88"/>
              </w:rPr>
              <w:t>08/10/2017</w:t>
            </w:r>
          </w:p>
        </w:tc>
        <w:tc>
          <w:tcPr>
            <w:tcW w:w="1140" w:type="dxa"/>
            <w:vAlign w:val="bottom"/>
          </w:tcPr>
          <w:p>
            <w:pPr>
              <w:spacing w:after="0"/>
              <w:rPr>
                <w:sz w:val="18"/>
                <w:szCs w:val="18"/>
                <w:color w:val="auto"/>
              </w:rPr>
            </w:pPr>
          </w:p>
        </w:tc>
        <w:tc>
          <w:tcPr>
            <w:tcW w:w="820" w:type="dxa"/>
            <w:vAlign w:val="bottom"/>
          </w:tcPr>
          <w:p>
            <w:pPr>
              <w:jc w:val="center"/>
              <w:ind w:right="299"/>
              <w:spacing w:after="0"/>
              <w:rPr>
                <w:sz w:val="20"/>
                <w:szCs w:val="20"/>
                <w:color w:val="auto"/>
              </w:rPr>
            </w:pPr>
            <w:r>
              <w:rPr>
                <w:rFonts w:ascii="Arial" w:cs="Arial" w:eastAsia="Arial" w:hAnsi="Arial"/>
                <w:sz w:val="12"/>
                <w:szCs w:val="12"/>
                <w:color w:val="0000FF"/>
                <w:w w:val="74"/>
              </w:rPr>
              <w:t>P</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34,367</w:t>
            </w:r>
          </w:p>
        </w:tc>
        <w:tc>
          <w:tcPr>
            <w:tcW w:w="520" w:type="dxa"/>
            <w:vAlign w:val="bottom"/>
          </w:tcPr>
          <w:p>
            <w:pPr>
              <w:jc w:val="center"/>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3.3</w:t>
            </w:r>
          </w:p>
        </w:tc>
        <w:tc>
          <w:tcPr>
            <w:tcW w:w="200" w:type="dxa"/>
            <w:vAlign w:val="bottom"/>
          </w:tcPr>
          <w:p>
            <w:pPr>
              <w:spacing w:after="0"/>
              <w:rPr>
                <w:sz w:val="18"/>
                <w:szCs w:val="18"/>
                <w:color w:val="auto"/>
              </w:rPr>
            </w:pPr>
          </w:p>
        </w:tc>
        <w:tc>
          <w:tcPr>
            <w:tcW w:w="960" w:type="dxa"/>
            <w:vAlign w:val="bottom"/>
          </w:tcPr>
          <w:p>
            <w:pPr>
              <w:jc w:val="center"/>
              <w:ind w:right="118"/>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1120" w:type="dxa"/>
            <w:vAlign w:val="bottom"/>
            <w:gridSpan w:val="2"/>
          </w:tcPr>
          <w:p>
            <w:pPr>
              <w:ind w:left="8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ind w:left="8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08/10/2017</w:t>
            </w:r>
          </w:p>
        </w:tc>
        <w:tc>
          <w:tcPr>
            <w:tcW w:w="120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right"/>
              <w:ind w:right="112"/>
              <w:spacing w:after="0"/>
              <w:rPr>
                <w:sz w:val="20"/>
                <w:szCs w:val="20"/>
                <w:color w:val="auto"/>
              </w:rPr>
            </w:pPr>
            <w:r>
              <w:rPr>
                <w:rFonts w:ascii="Arial" w:cs="Arial" w:eastAsia="Arial" w:hAnsi="Arial"/>
                <w:sz w:val="18"/>
                <w:szCs w:val="18"/>
                <w:color w:val="0000FF"/>
              </w:rPr>
              <w:t>10,566</w:t>
            </w:r>
          </w:p>
        </w:tc>
        <w:tc>
          <w:tcPr>
            <w:tcW w:w="50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780" w:type="dxa"/>
            <w:vAlign w:val="bottom"/>
            <w:vMerge w:val="restart"/>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w:t>
            </w:r>
          </w:p>
        </w:tc>
        <w:tc>
          <w:tcPr>
            <w:tcW w:w="1140" w:type="dxa"/>
            <w:vAlign w:val="bottom"/>
            <w:vMerge w:val="restart"/>
          </w:tcPr>
          <w:p>
            <w:pPr>
              <w:jc w:val="right"/>
              <w:ind w:right="312"/>
              <w:spacing w:after="0"/>
              <w:rPr>
                <w:sz w:val="20"/>
                <w:szCs w:val="20"/>
                <w:color w:val="auto"/>
              </w:rPr>
            </w:pPr>
            <w:r>
              <w:rPr>
                <w:rFonts w:ascii="Arial" w:cs="Arial" w:eastAsia="Arial" w:hAnsi="Arial"/>
                <w:sz w:val="18"/>
                <w:szCs w:val="18"/>
                <w:color w:val="0000FF"/>
              </w:rPr>
              <w:t>19,818</w:t>
            </w:r>
          </w:p>
        </w:tc>
        <w:tc>
          <w:tcPr>
            <w:tcW w:w="7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1280" w:type="dxa"/>
            <w:vAlign w:val="bottom"/>
          </w:tcPr>
          <w:p>
            <w:pPr>
              <w:ind w:left="2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80" w:type="dxa"/>
            <w:vAlign w:val="bottom"/>
          </w:tcPr>
          <w:p>
            <w:pPr>
              <w:ind w:left="26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ind w:left="260"/>
              <w:spacing w:after="0"/>
              <w:rPr>
                <w:sz w:val="20"/>
                <w:szCs w:val="20"/>
                <w:color w:val="auto"/>
              </w:rPr>
            </w:pPr>
            <w:r>
              <w:rPr>
                <w:rFonts w:ascii="Arial" w:cs="Arial" w:eastAsia="Arial" w:hAnsi="Arial"/>
                <w:sz w:val="11"/>
                <w:szCs w:val="11"/>
                <w:color w:val="008000"/>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00" w:type="dxa"/>
            <w:vAlign w:val="bottom"/>
            <w:tcBorders>
              <w:top w:val="single" w:sz="8" w:color="808080"/>
            </w:tcBorders>
            <w:shd w:val="clear" w:color="auto" w:fill="2C2C2C"/>
          </w:tcPr>
          <w:p>
            <w:pPr>
              <w:spacing w:after="0" w:line="20" w:lineRule="exact"/>
              <w:rPr>
                <w:sz w:val="1"/>
                <w:szCs w:val="1"/>
                <w:color w:val="auto"/>
              </w:rPr>
            </w:pPr>
          </w:p>
        </w:tc>
        <w:tc>
          <w:tcPr>
            <w:tcW w:w="242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2"/>
                <w:szCs w:val="12"/>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gridSpan w:val="2"/>
          </w:tcPr>
          <w:p>
            <w:pPr>
              <w:ind w:left="30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Levin Capital Strategies GP, LLC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gridSpan w:val="2"/>
          </w:tcPr>
          <w:p>
            <w:pPr>
              <w:ind w:left="30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8"/>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Levin Capital Trilogy Master Fund, Ltd.</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gridSpan w:val="2"/>
          </w:tcPr>
          <w:p>
            <w:pPr>
              <w:ind w:left="30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gridSpan w:val="2"/>
          </w:tcPr>
          <w:p>
            <w:pPr>
              <w:ind w:left="30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ectPr>
          <w:pgSz w:w="11900" w:h="16838" w:orient="portrait"/>
          <w:cols w:equalWidth="0" w:num="1">
            <w:col w:w="11420"/>
          </w:cols>
          <w:pgMar w:left="240" w:top="188" w:right="239" w:bottom="0" w:gutter="0" w:footer="0" w:header="0"/>
        </w:sectPr>
      </w:pPr>
    </w:p>
    <w:bookmarkStart w:id="2" w:name="page3"/>
    <w:bookmarkEnd w:id="2"/>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9025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24175" cy="9025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Levcap Alternative Fund,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Event Partners,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Safinia Partners,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ectPr>
          <w:pgSz w:w="11900" w:h="16849" w:orient="portrait"/>
          <w:cols w:equalWidth="0" w:num="1">
            <w:col w:w="11340"/>
          </w:cols>
          <w:pgMar w:left="260" w:top="113" w:right="299" w:bottom="0" w:gutter="0" w:footer="0" w:header="0"/>
        </w:sectPr>
      </w:pPr>
    </w:p>
    <w:bookmarkStart w:id="3" w:name="page4"/>
    <w:bookmarkEnd w:id="3"/>
    <w:p>
      <w:pPr>
        <w:ind w:right="18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July 24, 2017, one of the Managed Accounts that held 8,720 shares closed. Accordingly, as of July 24, 2017, LCS ceased to serve as the investment manager for investment manager for such Managed Account and as such, relinquished all voting and dispositive power over the shares held in the Managed Account.</w:t>
      </w:r>
    </w:p>
    <w:p>
      <w:pPr>
        <w:spacing w:after="0" w:line="30" w:lineRule="exact"/>
        <w:rPr>
          <w:rFonts w:ascii="Arial" w:cs="Arial" w:eastAsia="Arial" w:hAnsi="Arial"/>
          <w:sz w:val="14"/>
          <w:szCs w:val="14"/>
          <w:color w:val="008000"/>
        </w:rPr>
      </w:pPr>
    </w:p>
    <w:p>
      <w:pPr>
        <w:ind w:right="60" w:firstLine="9"/>
        <w:spacing w:after="0" w:line="28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right="2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right="10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This Form 4 is being amended to report transactions in the shares of Common Stock of the Issuer which were inadvertently omitted from the previous filing.</w:t>
      </w:r>
    </w:p>
    <w:p>
      <w:pPr>
        <w:sectPr>
          <w:pgSz w:w="11900" w:h="16838" w:orient="portrait"/>
          <w:cols w:equalWidth="0" w:num="1">
            <w:col w:w="11320"/>
          </w:cols>
          <w:pgMar w:left="280" w:top="142" w:right="29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05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08/14/2017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40" w:space="80"/>
            <w:col w:w="2200"/>
          </w:cols>
          <w:pgMar w:left="280" w:top="142"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9" Type="http://schemas.openxmlformats.org/officeDocument/2006/relationships/hyperlink" Target="http://www.sec.gov/cgi-bin/browse-edgar?action=getcompany&amp;CIK=0001474048" TargetMode="External"/><Relationship Id="rId20"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2019-12-23T16:25:03Z</dcterms:created>
  <dcterms:modified xsi:type="dcterms:W3CDTF">2019-12-23T16:25:03Z</dcterms:modified>
</cp:coreProperties>
</file>