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07/27/2018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07/27/2018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right"/>
              <w:ind w:right="192"/>
              <w:spacing w:after="0"/>
              <w:rPr>
                <w:sz w:val="20"/>
                <w:szCs w:val="20"/>
                <w:color w:val="auto"/>
              </w:rPr>
            </w:pPr>
            <w:r>
              <w:rPr>
                <w:rFonts w:ascii="Arial" w:cs="Arial" w:eastAsia="Arial" w:hAnsi="Arial"/>
                <w:sz w:val="18"/>
                <w:szCs w:val="18"/>
                <w:color w:val="0000FF"/>
              </w:rPr>
              <w:t>145</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2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6.22</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11,697,735</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220" w:type="dxa"/>
            <w:vAlign w:val="bottom"/>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w w:val="89"/>
              </w:rPr>
              <w:t>Strategies, L.P.</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ind w:left="260"/>
              <w:spacing w:after="0"/>
              <w:rPr>
                <w:sz w:val="20"/>
                <w:szCs w:val="20"/>
                <w:color w:val="auto"/>
              </w:rPr>
            </w:pP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83"/>
        </w:trPr>
        <w:tc>
          <w:tcPr>
            <w:tcW w:w="22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2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72"/>
              <w:spacing w:after="0"/>
              <w:rPr>
                <w:sz w:val="20"/>
                <w:szCs w:val="20"/>
                <w:color w:val="auto"/>
              </w:rPr>
            </w:pPr>
            <w:r>
              <w:rPr>
                <w:rFonts w:ascii="Arial" w:cs="Arial" w:eastAsia="Arial" w:hAnsi="Arial"/>
                <w:sz w:val="18"/>
                <w:szCs w:val="18"/>
                <w:color w:val="0000FF"/>
              </w:rPr>
              <w:t>07/27/2018</w:t>
            </w:r>
          </w:p>
        </w:tc>
        <w:tc>
          <w:tcPr>
            <w:tcW w:w="11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0000FF"/>
              </w:rPr>
              <w:t>19,884</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6.1441</w:t>
            </w:r>
            <w:r>
              <w:rPr>
                <w:rFonts w:ascii="Arial" w:cs="Arial" w:eastAsia="Arial" w:hAnsi="Arial"/>
                <w:sz w:val="22"/>
                <w:szCs w:val="22"/>
                <w:color w:val="008000"/>
                <w:w w:val="96"/>
                <w:vertAlign w:val="superscript"/>
              </w:rPr>
              <w:t>(10)</w:t>
            </w:r>
          </w:p>
        </w:tc>
        <w:tc>
          <w:tcPr>
            <w:tcW w:w="1220" w:type="dxa"/>
            <w:vAlign w:val="bottom"/>
            <w:vMerge w:val="restart"/>
          </w:tcPr>
          <w:p>
            <w:pPr>
              <w:jc w:val="right"/>
              <w:ind w:right="212"/>
              <w:spacing w:after="0"/>
              <w:rPr>
                <w:sz w:val="20"/>
                <w:szCs w:val="20"/>
                <w:color w:val="auto"/>
              </w:rPr>
            </w:pPr>
            <w:r>
              <w:rPr>
                <w:rFonts w:ascii="Arial" w:cs="Arial" w:eastAsia="Arial" w:hAnsi="Arial"/>
                <w:sz w:val="18"/>
                <w:szCs w:val="18"/>
                <w:color w:val="0000FF"/>
                <w:w w:val="99"/>
              </w:rPr>
              <w:t>11,717,619</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380" w:type="dxa"/>
            <w:vAlign w:val="bottom"/>
          </w:tcPr>
          <w:p>
            <w:pPr>
              <w:ind w:left="26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30"/>
        </w:trPr>
        <w:tc>
          <w:tcPr>
            <w:tcW w:w="2220" w:type="dxa"/>
            <w:vAlign w:val="bottom"/>
            <w:vMerge w:val="continue"/>
          </w:tcPr>
          <w:p>
            <w:pPr>
              <w:spacing w:after="0"/>
              <w:rPr>
                <w:sz w:val="20"/>
                <w:szCs w:val="20"/>
                <w:color w:val="auto"/>
              </w:rPr>
            </w:pPr>
          </w:p>
        </w:tc>
        <w:tc>
          <w:tcPr>
            <w:tcW w:w="23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380" w:type="dxa"/>
            <w:vAlign w:val="bottom"/>
          </w:tcPr>
          <w:p>
            <w:pPr>
              <w:ind w:left="26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w w:val="83"/>
              </w:rPr>
              <w:t>Ltd.</w:t>
            </w:r>
            <w:r>
              <w:rPr>
                <w:rFonts w:ascii="Arial" w:cs="Arial" w:eastAsia="Arial" w:hAnsi="Arial"/>
                <w:sz w:val="22"/>
                <w:szCs w:val="22"/>
                <w:color w:val="008000"/>
                <w:w w:val="83"/>
                <w:vertAlign w:val="superscript"/>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0000FF"/>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1,305,269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22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2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0"/>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Bi-Directional Disequilibrium Master Fund, Ltd.</w:t>
        </w:r>
      </w:hyperlink>
    </w:p>
    <w:p>
      <w:pPr>
        <w:spacing w:after="0" w:line="329"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199"/>
          </w:cols>
          <w:pgMar w:left="260" w:top="301" w:right="1440" w:bottom="0" w:gutter="0" w:footer="0" w:header="0"/>
        </w:sectPr>
      </w:pPr>
    </w:p>
    <w:p>
      <w:pPr>
        <w:spacing w:after="0" w:line="1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0199"/>
          </w:cols>
          <w:pgMar w:left="260" w:top="30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97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924175" cy="359727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LCS L/S,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right="8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$6.12 to $6.15.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ectPr>
          <w:pgSz w:w="11900" w:h="16838" w:orient="portrait"/>
          <w:cols w:equalWidth="0" w:num="1">
            <w:col w:w="11340"/>
          </w:cols>
          <w:pgMar w:left="260" w:top="113" w:right="299" w:bottom="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8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07/31/2018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07/31/2018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07/31/2018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07/31/2018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07/31/2018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07/31/2018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13" w:right="299" w:bottom="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340"/>
          </w:cols>
          <w:pgMar w:left="260" w:top="113" w:right="299" w:bottom="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2019-12-23T16:17:01Z</dcterms:created>
  <dcterms:modified xsi:type="dcterms:W3CDTF">2019-12-23T16:17:01Z</dcterms:modified>
</cp:coreProperties>
</file>