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352"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06/06/2018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352"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35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1"/>
                <w:szCs w:val="11"/>
                <w:color w:val="008000"/>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06/06/2018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J</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9"/>
              </w:rPr>
              <w:t>119,202</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11,366,594</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Pr>
          <w:p>
            <w:pPr>
              <w:jc w:val="right"/>
              <w:ind w:right="958"/>
              <w:spacing w:after="0" w:line="113" w:lineRule="exact"/>
              <w:rPr>
                <w:sz w:val="20"/>
                <w:szCs w:val="20"/>
                <w:color w:val="auto"/>
              </w:rPr>
            </w:pPr>
            <w:r>
              <w:rPr>
                <w:rFonts w:ascii="Arial" w:cs="Arial" w:eastAsia="Arial" w:hAnsi="Arial"/>
                <w:sz w:val="13"/>
                <w:szCs w:val="13"/>
                <w:color w:val="0000FF"/>
              </w:rPr>
              <w:t>Common Stock</w:t>
            </w:r>
          </w:p>
        </w:tc>
        <w:tc>
          <w:tcPr>
            <w:tcW w:w="23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06/07/2018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7"/>
              </w:rPr>
              <w:t>15,000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5.5353</w:t>
            </w:r>
            <w:r>
              <w:rPr>
                <w:rFonts w:ascii="Arial" w:cs="Arial" w:eastAsia="Arial" w:hAnsi="Arial"/>
                <w:sz w:val="22"/>
                <w:szCs w:val="22"/>
                <w:color w:val="008000"/>
                <w:w w:val="83"/>
                <w:vertAlign w:val="superscript"/>
              </w:rPr>
              <w:t>(11)</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11,381,594</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06/08/2018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7"/>
              </w:rPr>
              <w:t>40,623</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5.51</w:t>
            </w:r>
            <w:r>
              <w:rPr>
                <w:rFonts w:ascii="Arial" w:cs="Arial" w:eastAsia="Arial" w:hAnsi="Arial"/>
                <w:sz w:val="22"/>
                <w:szCs w:val="22"/>
                <w:color w:val="008000"/>
                <w:w w:val="81"/>
                <w:vertAlign w:val="superscript"/>
              </w:rPr>
              <w:t>(12)</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11,422,217</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06/08/2018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140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5.4599</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11,422,357</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Bi-</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Directional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698"/>
              <w:spacing w:after="0" w:line="217" w:lineRule="exact"/>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95,606</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7"/>
              </w:rPr>
              <w:t>Disequilibrium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7"/>
              </w:rPr>
              <w:t>1,298,496</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698"/>
              <w:spacing w:after="0" w:line="217" w:lineRule="exact"/>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56,820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vMerge w:val="restart"/>
          </w:tcPr>
          <w:p>
            <w:pPr>
              <w:jc w:val="right"/>
              <w:ind w:right="698"/>
              <w:spacing w:after="0"/>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7"/>
              </w:rPr>
              <w:t>19,818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8"/>
              </w:rPr>
              <w:t>By: Spouse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698"/>
              <w:spacing w:after="0" w:line="217" w:lineRule="exact"/>
              <w:rPr>
                <w:sz w:val="20"/>
                <w:szCs w:val="20"/>
                <w:color w:val="auto"/>
              </w:rPr>
            </w:pPr>
            <w:r>
              <w:rPr>
                <w:rFonts w:ascii="Arial" w:cs="Arial" w:eastAsia="Arial" w:hAnsi="Arial"/>
                <w:sz w:val="18"/>
                <w:szCs w:val="18"/>
                <w:color w:val="0000FF"/>
                <w:w w:val="88"/>
              </w:rPr>
              <w:t>Common Stock</w:t>
            </w:r>
            <w:r>
              <w:rPr>
                <w:rFonts w:ascii="Arial" w:cs="Arial" w:eastAsia="Arial" w:hAnsi="Arial"/>
                <w:sz w:val="22"/>
                <w:szCs w:val="22"/>
                <w:color w:val="008000"/>
                <w:w w:val="88"/>
                <w:vertAlign w:val="superscript"/>
              </w:rPr>
              <w:t>(1)(2)</w:t>
            </w: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8"/>
              </w:rPr>
              <w:t>5,000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John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00" w:type="dxa"/>
            <w:vAlign w:val="bottom"/>
            <w:tcBorders>
              <w:top w:val="single" w:sz="8" w:color="808080"/>
            </w:tcBorders>
            <w:shd w:val="clear" w:color="auto" w:fill="2C2C2C"/>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3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3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8"/>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4"/>
          </w:tcPr>
          <w:p>
            <w:pPr>
              <w:ind w:left="4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5"/>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or Exercise</w:t>
            </w:r>
          </w:p>
        </w:tc>
        <w:tc>
          <w:tcPr>
            <w:tcW w:w="1200" w:type="dxa"/>
            <w:vAlign w:val="bottom"/>
            <w:gridSpan w:val="4"/>
          </w:tcPr>
          <w:p>
            <w:pPr>
              <w:ind w:left="100"/>
              <w:spacing w:after="0"/>
              <w:rPr>
                <w:sz w:val="20"/>
                <w:szCs w:val="20"/>
                <w:color w:val="auto"/>
              </w:rPr>
            </w:pPr>
            <w:r>
              <w:rPr>
                <w:rFonts w:ascii="Arial" w:cs="Arial" w:eastAsia="Arial" w:hAnsi="Arial"/>
                <w:sz w:val="2"/>
                <w:szCs w:val="2"/>
                <w:b w:val="1"/>
                <w:bCs w:val="1"/>
                <w:color w:val="auto"/>
              </w:rPr>
              <w:t>(Month/Day/Year)</w:t>
            </w:r>
          </w:p>
        </w:tc>
        <w:tc>
          <w:tcPr>
            <w:tcW w:w="440" w:type="dxa"/>
            <w:vAlign w:val="bottom"/>
            <w:gridSpan w:val="2"/>
          </w:tcPr>
          <w:p>
            <w:pPr>
              <w:ind w:left="4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13"/>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8"/>
                <w:szCs w:val="8"/>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8"/>
                <w:szCs w:val="8"/>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500" w:type="dxa"/>
            <w:vAlign w:val="bottom"/>
            <w:tcBorders>
              <w:bottom w:val="single" w:sz="8" w:color="808080"/>
            </w:tcBorders>
            <w:vMerge w:val="continue"/>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ind w:left="80"/>
              <w:spacing w:after="0" w:line="66" w:lineRule="exact"/>
              <w:rPr>
                <w:sz w:val="20"/>
                <w:szCs w:val="20"/>
                <w:color w:val="auto"/>
              </w:rPr>
            </w:pPr>
            <w:r>
              <w:rPr>
                <w:rFonts w:ascii="Arial" w:cs="Arial" w:eastAsia="Arial" w:hAnsi="Arial"/>
                <w:sz w:val="7"/>
                <w:szCs w:val="7"/>
                <w:b w:val="1"/>
                <w:bCs w:val="1"/>
                <w:color w:val="auto"/>
              </w:rPr>
              <w:t>5. Number</w:t>
            </w:r>
          </w:p>
        </w:tc>
        <w:tc>
          <w:tcPr>
            <w:tcW w:w="1580" w:type="dxa"/>
            <w:vAlign w:val="bottom"/>
            <w:tcBorders>
              <w:bottom w:val="single" w:sz="8" w:color="808080"/>
            </w:tcBorders>
            <w:gridSpan w:val="2"/>
            <w:vMerge w:val="continue"/>
          </w:tcPr>
          <w:p>
            <w:pPr>
              <w:spacing w:after="0"/>
              <w:rPr>
                <w:sz w:val="8"/>
                <w:szCs w:val="8"/>
                <w:color w:val="auto"/>
              </w:rPr>
            </w:pPr>
          </w:p>
        </w:tc>
        <w:tc>
          <w:tcPr>
            <w:tcW w:w="1100" w:type="dxa"/>
            <w:vAlign w:val="bottom"/>
            <w:tcBorders>
              <w:bottom w:val="single" w:sz="8" w:color="808080"/>
            </w:tcBorders>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tcPr>
          <w:p>
            <w:pPr>
              <w:ind w:left="60"/>
              <w:spacing w:after="0" w:line="75" w:lineRule="exact"/>
              <w:rPr>
                <w:sz w:val="20"/>
                <w:szCs w:val="20"/>
                <w:color w:val="auto"/>
              </w:rPr>
            </w:pPr>
            <w:r>
              <w:rPr>
                <w:rFonts w:ascii="Arial" w:cs="Arial" w:eastAsia="Arial" w:hAnsi="Arial"/>
                <w:sz w:val="8"/>
                <w:szCs w:val="8"/>
                <w:b w:val="1"/>
                <w:bCs w:val="1"/>
                <w:color w:val="auto"/>
              </w:rPr>
              <w:t>Derivative</w:t>
            </w:r>
          </w:p>
        </w:tc>
        <w:tc>
          <w:tcPr>
            <w:tcW w:w="800" w:type="dxa"/>
            <w:vAlign w:val="bottom"/>
            <w:gridSpan w:val="2"/>
          </w:tcPr>
          <w:p>
            <w:pPr>
              <w:ind w:left="80"/>
              <w:spacing w:after="0" w:line="75" w:lineRule="exact"/>
              <w:rPr>
                <w:sz w:val="20"/>
                <w:szCs w:val="20"/>
                <w:color w:val="auto"/>
              </w:rPr>
            </w:pPr>
            <w:r>
              <w:rPr>
                <w:rFonts w:ascii="Arial" w:cs="Arial" w:eastAsia="Arial" w:hAnsi="Arial"/>
                <w:sz w:val="8"/>
                <w:szCs w:val="8"/>
                <w:b w:val="1"/>
                <w:bCs w:val="1"/>
                <w:color w:val="auto"/>
              </w:rPr>
              <w:t>Conversion</w:t>
            </w:r>
          </w:p>
        </w:tc>
        <w:tc>
          <w:tcPr>
            <w:tcW w:w="960" w:type="dxa"/>
            <w:vAlign w:val="bottom"/>
            <w:gridSpan w:val="2"/>
          </w:tcPr>
          <w:p>
            <w:pPr>
              <w:ind w:left="100"/>
              <w:spacing w:after="0" w:line="75"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gridSpan w:val="4"/>
          </w:tcPr>
          <w:p>
            <w:pPr>
              <w:ind w:left="40"/>
              <w:spacing w:after="0" w:line="75" w:lineRule="exact"/>
              <w:rPr>
                <w:sz w:val="20"/>
                <w:szCs w:val="20"/>
                <w:color w:val="auto"/>
              </w:rPr>
            </w:pPr>
            <w:r>
              <w:rPr>
                <w:rFonts w:ascii="Arial" w:cs="Arial" w:eastAsia="Arial" w:hAnsi="Arial"/>
                <w:sz w:val="8"/>
                <w:szCs w:val="8"/>
                <w:b w:val="1"/>
                <w:bCs w:val="1"/>
                <w:color w:val="auto"/>
              </w:rPr>
              <w:t>Execution Date,</w:t>
            </w:r>
          </w:p>
        </w:tc>
        <w:tc>
          <w:tcPr>
            <w:tcW w:w="840" w:type="dxa"/>
            <w:vAlign w:val="bottom"/>
            <w:tcBorders>
              <w:top w:val="single" w:sz="8" w:color="2C2C2C"/>
            </w:tcBorders>
            <w:gridSpan w:val="5"/>
          </w:tcPr>
          <w:p>
            <w:pPr>
              <w:ind w:left="60"/>
              <w:spacing w:after="0" w:line="75" w:lineRule="exact"/>
              <w:rPr>
                <w:sz w:val="20"/>
                <w:szCs w:val="20"/>
                <w:color w:val="auto"/>
              </w:rPr>
            </w:pPr>
            <w:r>
              <w:rPr>
                <w:rFonts w:ascii="Arial" w:cs="Arial" w:eastAsia="Arial" w:hAnsi="Arial"/>
                <w:sz w:val="8"/>
                <w:szCs w:val="8"/>
                <w:b w:val="1"/>
                <w:bCs w:val="1"/>
                <w:color w:val="auto"/>
              </w:rPr>
              <w:t>Transaction</w:t>
            </w:r>
          </w:p>
        </w:tc>
        <w:tc>
          <w:tcPr>
            <w:tcW w:w="460" w:type="dxa"/>
            <w:vAlign w:val="bottom"/>
            <w:tcBorders>
              <w:top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of</w:t>
            </w:r>
          </w:p>
        </w:tc>
        <w:tc>
          <w:tcPr>
            <w:tcW w:w="320" w:type="dxa"/>
            <w:vAlign w:val="bottom"/>
            <w:tcBorders>
              <w:top w:val="single" w:sz="8" w:color="2C2C2C"/>
            </w:tcBorders>
          </w:tcPr>
          <w:p>
            <w:pPr>
              <w:spacing w:after="0"/>
              <w:rPr>
                <w:sz w:val="6"/>
                <w:szCs w:val="6"/>
                <w:color w:val="auto"/>
              </w:rPr>
            </w:pPr>
          </w:p>
        </w:tc>
        <w:tc>
          <w:tcPr>
            <w:tcW w:w="1580" w:type="dxa"/>
            <w:vAlign w:val="bottom"/>
            <w:tcBorders>
              <w:top w:val="single" w:sz="8" w:color="2C2C2C"/>
            </w:tcBorders>
            <w:gridSpan w:val="2"/>
          </w:tcPr>
          <w:p>
            <w:pPr>
              <w:ind w:left="80"/>
              <w:spacing w:after="0" w:line="75" w:lineRule="exact"/>
              <w:rPr>
                <w:sz w:val="20"/>
                <w:szCs w:val="20"/>
                <w:color w:val="auto"/>
              </w:rPr>
            </w:pPr>
            <w:r>
              <w:rPr>
                <w:rFonts w:ascii="Arial" w:cs="Arial" w:eastAsia="Arial" w:hAnsi="Arial"/>
                <w:sz w:val="8"/>
                <w:szCs w:val="8"/>
                <w:b w:val="1"/>
                <w:bCs w:val="1"/>
                <w:color w:val="auto"/>
              </w:rPr>
              <w:t>Expiration Date</w:t>
            </w:r>
          </w:p>
        </w:tc>
        <w:tc>
          <w:tcPr>
            <w:tcW w:w="1100" w:type="dxa"/>
            <w:vAlign w:val="bottom"/>
            <w:tcBorders>
              <w:top w:val="single" w:sz="8" w:color="2C2C2C"/>
            </w:tcBorders>
            <w:gridSpan w:val="2"/>
          </w:tcPr>
          <w:p>
            <w:pPr>
              <w:ind w:left="60"/>
              <w:spacing w:after="0" w:line="75" w:lineRule="exact"/>
              <w:rPr>
                <w:sz w:val="20"/>
                <w:szCs w:val="20"/>
                <w:color w:val="auto"/>
              </w:rPr>
            </w:pPr>
            <w:r>
              <w:rPr>
                <w:rFonts w:ascii="Arial" w:cs="Arial" w:eastAsia="Arial" w:hAnsi="Arial"/>
                <w:sz w:val="8"/>
                <w:szCs w:val="8"/>
                <w:b w:val="1"/>
                <w:bCs w:val="1"/>
                <w:color w:val="auto"/>
              </w:rPr>
              <w:t>Amount of</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Derivative</w:t>
            </w:r>
          </w:p>
        </w:tc>
        <w:tc>
          <w:tcPr>
            <w:tcW w:w="940" w:type="dxa"/>
            <w:vAlign w:val="bottom"/>
          </w:tcPr>
          <w:p>
            <w:pPr>
              <w:ind w:left="20"/>
              <w:spacing w:after="0" w:line="75"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Ownership</w:t>
            </w:r>
          </w:p>
        </w:tc>
        <w:tc>
          <w:tcPr>
            <w:tcW w:w="800" w:type="dxa"/>
            <w:vAlign w:val="bottom"/>
            <w:gridSpan w:val="2"/>
          </w:tcPr>
          <w:p>
            <w:pPr>
              <w:ind w:left="80"/>
              <w:spacing w:after="0" w:line="75" w:lineRule="exact"/>
              <w:rPr>
                <w:sz w:val="20"/>
                <w:szCs w:val="20"/>
                <w:color w:val="auto"/>
              </w:rPr>
            </w:pPr>
            <w:r>
              <w:rPr>
                <w:rFonts w:ascii="Arial" w:cs="Arial" w:eastAsia="Arial" w:hAnsi="Arial"/>
                <w:sz w:val="8"/>
                <w:szCs w:val="8"/>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4"/>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Amount</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7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or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7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Number</w:t>
            </w:r>
          </w:p>
        </w:tc>
        <w:tc>
          <w:tcPr>
            <w:tcW w:w="760" w:type="dxa"/>
            <w:vAlign w:val="bottom"/>
          </w:tcPr>
          <w:p>
            <w:pPr>
              <w:spacing w:after="0"/>
              <w:rPr>
                <w:sz w:val="7"/>
                <w:szCs w:val="7"/>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Derivative</w:t>
            </w: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of</w:t>
            </w:r>
          </w:p>
        </w:tc>
        <w:tc>
          <w:tcPr>
            <w:tcW w:w="760" w:type="dxa"/>
            <w:vAlign w:val="bottom"/>
          </w:tcPr>
          <w:p>
            <w:pPr>
              <w:spacing w:after="0"/>
              <w:rPr>
                <w:sz w:val="7"/>
                <w:szCs w:val="7"/>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460" w:type="dxa"/>
            <w:vAlign w:val="bottom"/>
            <w:vMerge w:val="continue"/>
          </w:tcPr>
          <w:p>
            <w:pPr>
              <w:spacing w:after="0"/>
              <w:rPr>
                <w:sz w:val="4"/>
                <w:szCs w:val="4"/>
                <w:color w:val="auto"/>
              </w:rPr>
            </w:pPr>
          </w:p>
        </w:tc>
        <w:tc>
          <w:tcPr>
            <w:tcW w:w="3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 3</w:t>
            </w: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gridSpan w:val="4"/>
            <w:vMerge w:val="continue"/>
          </w:tcPr>
          <w:p>
            <w:pPr>
              <w:spacing w:after="0"/>
              <w:rPr>
                <w:sz w:val="7"/>
                <w:szCs w:val="7"/>
                <w:color w:val="auto"/>
              </w:rPr>
            </w:pP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(A)</w:t>
            </w: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Title</w:t>
            </w:r>
          </w:p>
        </w:tc>
        <w:tc>
          <w:tcPr>
            <w:tcW w:w="6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Shares</w:t>
            </w:r>
          </w:p>
        </w:tc>
        <w:tc>
          <w:tcPr>
            <w:tcW w:w="760" w:type="dxa"/>
            <w:vAlign w:val="bottom"/>
          </w:tcPr>
          <w:p>
            <w:pPr>
              <w:spacing w:after="0"/>
              <w:rPr>
                <w:sz w:val="7"/>
                <w:szCs w:val="7"/>
                <w:color w:val="auto"/>
              </w:rPr>
            </w:pP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ind w:left="80"/>
              <w:spacing w:after="0" w:line="81" w:lineRule="exact"/>
              <w:rPr>
                <w:sz w:val="20"/>
                <w:szCs w:val="20"/>
                <w:color w:val="auto"/>
              </w:rPr>
            </w:pPr>
            <w:r>
              <w:rPr>
                <w:rFonts w:ascii="Arial" w:cs="Arial" w:eastAsia="Arial" w:hAnsi="Arial"/>
                <w:sz w:val="9"/>
                <w:szCs w:val="9"/>
                <w:b w:val="1"/>
                <w:bCs w:val="1"/>
                <w:color w:val="auto"/>
              </w:rPr>
              <w:t>Disposed</w:t>
            </w: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ind w:left="60"/>
              <w:spacing w:after="0" w:line="81" w:lineRule="exact"/>
              <w:rPr>
                <w:sz w:val="20"/>
                <w:szCs w:val="20"/>
                <w:color w:val="auto"/>
              </w:rPr>
            </w:pPr>
            <w:r>
              <w:rPr>
                <w:rFonts w:ascii="Arial" w:cs="Arial" w:eastAsia="Arial" w:hAnsi="Arial"/>
                <w:sz w:val="9"/>
                <w:szCs w:val="9"/>
                <w:b w:val="1"/>
                <w:bCs w:val="1"/>
                <w:color w:val="auto"/>
              </w:rPr>
              <w:t>and 4)</w:t>
            </w: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Borders>
              <w:top w:val="single" w:sz="8" w:color="808080"/>
            </w:tcBorders>
          </w:tcPr>
          <w:p>
            <w:pPr>
              <w:spacing w:after="0"/>
              <w:rPr>
                <w:sz w:val="4"/>
                <w:szCs w:val="4"/>
                <w:color w:val="auto"/>
              </w:rPr>
            </w:pPr>
          </w:p>
        </w:tc>
        <w:tc>
          <w:tcPr>
            <w:tcW w:w="2740" w:type="dxa"/>
            <w:vAlign w:val="bottom"/>
            <w:tcBorders>
              <w:top w:val="single" w:sz="8" w:color="2C2C2C"/>
            </w:tcBorders>
            <w:gridSpan w:val="9"/>
            <w:vMerge w:val="restart"/>
          </w:tcPr>
          <w:p>
            <w:pPr>
              <w:ind w:left="60"/>
              <w:spacing w:after="0" w:line="203" w:lineRule="exact"/>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Borders>
              <w:top w:val="single" w:sz="8" w:color="2C2C2C"/>
            </w:tcBorders>
          </w:tcPr>
          <w:p>
            <w:pPr>
              <w:spacing w:after="0"/>
              <w:rPr>
                <w:sz w:val="4"/>
                <w:szCs w:val="4"/>
                <w:color w:val="auto"/>
              </w:rPr>
            </w:pPr>
          </w:p>
        </w:tc>
        <w:tc>
          <w:tcPr>
            <w:tcW w:w="160" w:type="dxa"/>
            <w:vAlign w:val="bottom"/>
            <w:tcBorders>
              <w:top w:val="single" w:sz="8" w:color="2C2C2C"/>
            </w:tcBorders>
          </w:tcPr>
          <w:p>
            <w:pPr>
              <w:spacing w:after="0"/>
              <w:rPr>
                <w:sz w:val="4"/>
                <w:szCs w:val="4"/>
                <w:color w:val="auto"/>
              </w:rPr>
            </w:pPr>
          </w:p>
        </w:tc>
        <w:tc>
          <w:tcPr>
            <w:tcW w:w="300" w:type="dxa"/>
            <w:vAlign w:val="bottom"/>
            <w:tcBorders>
              <w:top w:val="single" w:sz="8" w:color="2C2C2C"/>
            </w:tcBorders>
          </w:tcPr>
          <w:p>
            <w:pPr>
              <w:spacing w:after="0"/>
              <w:rPr>
                <w:sz w:val="4"/>
                <w:szCs w:val="4"/>
                <w:color w:val="auto"/>
              </w:rPr>
            </w:pPr>
          </w:p>
        </w:tc>
        <w:tc>
          <w:tcPr>
            <w:tcW w:w="360" w:type="dxa"/>
            <w:vAlign w:val="bottom"/>
            <w:tcBorders>
              <w:top w:val="single" w:sz="8" w:color="2C2C2C"/>
            </w:tcBorders>
          </w:tcPr>
          <w:p>
            <w:pPr>
              <w:spacing w:after="0"/>
              <w:rPr>
                <w:sz w:val="4"/>
                <w:szCs w:val="4"/>
                <w:color w:val="auto"/>
              </w:rPr>
            </w:pPr>
          </w:p>
        </w:tc>
        <w:tc>
          <w:tcPr>
            <w:tcW w:w="500" w:type="dxa"/>
            <w:vAlign w:val="bottom"/>
            <w:tcBorders>
              <w:top w:val="single" w:sz="8" w:color="2C2C2C"/>
            </w:tcBorders>
          </w:tcPr>
          <w:p>
            <w:pPr>
              <w:spacing w:after="0"/>
              <w:rPr>
                <w:sz w:val="4"/>
                <w:szCs w:val="4"/>
                <w:color w:val="auto"/>
              </w:rPr>
            </w:pPr>
          </w:p>
        </w:tc>
        <w:tc>
          <w:tcPr>
            <w:tcW w:w="100" w:type="dxa"/>
            <w:vAlign w:val="bottom"/>
            <w:tcBorders>
              <w:top w:val="single" w:sz="8" w:color="2C2C2C"/>
            </w:tcBorders>
          </w:tcPr>
          <w:p>
            <w:pPr>
              <w:spacing w:after="0"/>
              <w:rPr>
                <w:sz w:val="4"/>
                <w:szCs w:val="4"/>
                <w:color w:val="auto"/>
              </w:rPr>
            </w:pPr>
          </w:p>
        </w:tc>
        <w:tc>
          <w:tcPr>
            <w:tcW w:w="100" w:type="dxa"/>
            <w:vAlign w:val="bottom"/>
            <w:tcBorders>
              <w:top w:val="single" w:sz="8" w:color="2C2C2C"/>
            </w:tcBorders>
          </w:tcPr>
          <w:p>
            <w:pPr>
              <w:spacing w:after="0"/>
              <w:rPr>
                <w:sz w:val="4"/>
                <w:szCs w:val="4"/>
                <w:color w:val="auto"/>
              </w:rPr>
            </w:pPr>
          </w:p>
        </w:tc>
        <w:tc>
          <w:tcPr>
            <w:tcW w:w="20" w:type="dxa"/>
            <w:vAlign w:val="bottom"/>
            <w:tcBorders>
              <w:top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ind w:left="80"/>
              <w:spacing w:after="0" w:line="53" w:lineRule="exact"/>
              <w:rPr>
                <w:sz w:val="20"/>
                <w:szCs w:val="20"/>
                <w:color w:val="auto"/>
              </w:rPr>
            </w:pPr>
            <w:r>
              <w:rPr>
                <w:rFonts w:ascii="Arial" w:cs="Arial" w:eastAsia="Arial" w:hAnsi="Arial"/>
                <w:sz w:val="6"/>
                <w:szCs w:val="6"/>
                <w:b w:val="1"/>
                <w:bCs w:val="1"/>
                <w:color w:val="auto"/>
              </w:rPr>
              <w:t>of (D)</w:t>
            </w: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ind w:left="20"/>
              <w:spacing w:after="0" w:line="53" w:lineRule="exact"/>
              <w:rPr>
                <w:sz w:val="20"/>
                <w:szCs w:val="20"/>
                <w:color w:val="auto"/>
              </w:rPr>
            </w:pPr>
            <w:r>
              <w:rPr>
                <w:rFonts w:ascii="Arial" w:cs="Arial" w:eastAsia="Arial" w:hAnsi="Arial"/>
                <w:sz w:val="6"/>
                <w:szCs w:val="6"/>
                <w:b w:val="1"/>
                <w:bCs w:val="1"/>
                <w:color w:val="auto"/>
              </w:rPr>
              <w:t>Transaction(s)</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4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11"/>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20" w:type="dxa"/>
            <w:vAlign w:val="bottom"/>
            <w:gridSpan w:val="11"/>
            <w:vMerge w:val="continue"/>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11"/>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w w:val="92"/>
              </w:rPr>
              <w:t>595 MADISON AVENUE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860" w:type="dxa"/>
            <w:vAlign w:val="bottom"/>
            <w:gridSpan w:val="4"/>
            <w:vMerge w:val="continue"/>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gridSpan w:val="9"/>
          </w:tcPr>
          <w:p>
            <w:pPr>
              <w:spacing w:after="0" w:line="224" w:lineRule="exact"/>
              <w:rPr>
                <w:rFonts w:ascii="Arial" w:cs="Arial" w:eastAsia="Arial" w:hAnsi="Arial"/>
                <w:sz w:val="22"/>
                <w:szCs w:val="22"/>
                <w:color w:val="0000EE"/>
                <w:w w:val="94"/>
              </w:rPr>
            </w:pPr>
            <w:hyperlink r:id="rId14">
              <w:r>
                <w:rPr>
                  <w:rFonts w:ascii="Arial" w:cs="Arial" w:eastAsia="Arial" w:hAnsi="Arial"/>
                  <w:sz w:val="22"/>
                  <w:szCs w:val="22"/>
                  <w:color w:val="0000EE"/>
                  <w:w w:val="94"/>
                </w:rPr>
                <w:t>Levin Capital Strategies GP, LLC</w:t>
              </w:r>
            </w:hyperlink>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bottom w:val="single" w:sz="8" w:color="0000EE"/>
            </w:tcBorders>
            <w:gridSpan w:val="12"/>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Bi-Directional Disequilibrium Master Fund, Ltd.</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LCS, LLC</w:t>
              </w:r>
            </w:hyperlink>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7"/>
          </w:tcPr>
          <w:p>
            <w:pPr>
              <w:spacing w:after="0" w:line="224" w:lineRule="exact"/>
              <w:rPr>
                <w:rFonts w:ascii="Arial" w:cs="Arial" w:eastAsia="Arial" w:hAnsi="Arial"/>
                <w:sz w:val="22"/>
                <w:szCs w:val="22"/>
                <w:color w:val="0000EE"/>
                <w:w w:val="90"/>
              </w:rPr>
            </w:pPr>
            <w:hyperlink r:id="rId17">
              <w:r>
                <w:rPr>
                  <w:rFonts w:ascii="Arial" w:cs="Arial" w:eastAsia="Arial" w:hAnsi="Arial"/>
                  <w:sz w:val="22"/>
                  <w:szCs w:val="22"/>
                  <w:color w:val="0000EE"/>
                  <w:w w:val="90"/>
                </w:rPr>
                <w:t>Levcap Alternative Fund, L.P.</w:t>
              </w:r>
            </w:hyperlink>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9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r>
    </w:p>
    <w:p>
      <w:pPr>
        <w:spacing w:after="0" w:line="3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177" w:right="239" w:bottom="0" w:gutter="0" w:footer="0" w:header="0"/>
          <w:type w:val="continuous"/>
        </w:sectPr>
      </w:pPr>
    </w:p>
    <w:bookmarkStart w:id="2" w:name="page3"/>
    <w:bookmarkEnd w:id="2"/>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25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4175" cy="72593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LCS Event Partners,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6, 2018, LCS began managing a new investment advisory account, which holds 119,202 shares. LCS did not purchase these shares.</w:t>
      </w:r>
    </w:p>
    <w:p>
      <w:pPr>
        <w:spacing w:after="0" w:line="41" w:lineRule="exact"/>
        <w:rPr>
          <w:rFonts w:ascii="Arial" w:cs="Arial" w:eastAsia="Arial" w:hAnsi="Arial"/>
          <w:sz w:val="14"/>
          <w:szCs w:val="14"/>
          <w:color w:val="008000"/>
        </w:rPr>
      </w:pPr>
    </w:p>
    <w:p>
      <w:pPr>
        <w:ind w:left="20" w:right="40" w:firstLine="9"/>
        <w:spacing w:after="0" w:line="31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$5.5050 to $5.55. The Reporting Persons undertake to provide to the Issuer, any security holder of the Issuer, or the staff of the Securities and Exchange Commission, upon request, full information regarding the number of shares purchased at each separate price within the range</w:t>
      </w:r>
    </w:p>
    <w:p>
      <w:pPr>
        <w:sectPr>
          <w:pgSz w:w="11900" w:h="16901" w:orient="portrait"/>
          <w:cols w:equalWidth="0" w:num="1">
            <w:col w:w="11340"/>
          </w:cols>
          <w:pgMar w:left="260" w:top="180" w:right="299" w:bottom="0" w:gutter="0" w:footer="0" w:header="0"/>
        </w:sectPr>
      </w:pPr>
    </w:p>
    <w:bookmarkStart w:id="3" w:name="page4"/>
    <w:bookmarkEnd w:id="3"/>
    <w:p>
      <w:pPr>
        <w:spacing w:after="0"/>
        <w:rPr>
          <w:sz w:val="20"/>
          <w:szCs w:val="20"/>
          <w:color w:val="auto"/>
        </w:rPr>
      </w:pPr>
      <w:r>
        <w:rPr>
          <w:rFonts w:ascii="Arial" w:cs="Arial" w:eastAsia="Arial" w:hAnsi="Arial"/>
          <w:sz w:val="14"/>
          <w:szCs w:val="14"/>
          <w:color w:val="008000"/>
        </w:rPr>
        <w:t>set forth in this footnote 10.</w:t>
      </w:r>
    </w:p>
    <w:p>
      <w:pPr>
        <w:spacing w:after="0" w:line="42" w:lineRule="exact"/>
        <w:rPr>
          <w:sz w:val="20"/>
          <w:szCs w:val="20"/>
          <w:color w:val="auto"/>
        </w:rPr>
      </w:pPr>
    </w:p>
    <w:p>
      <w:pPr>
        <w:ind w:firstLine="9"/>
        <w:spacing w:after="0" w:line="28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$5.3850 to $5.50.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280"/>
          </w:cols>
          <w:pgMar w:left="280" w:top="129" w:right="339" w:bottom="1440" w:gutter="0" w:footer="0" w:header="0"/>
        </w:sectPr>
      </w:pP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40" w:space="80"/>
            <w:col w:w="2160"/>
          </w:cols>
          <w:pgMar w:left="280" w:top="129" w:right="339" w:bottom="1440" w:gutter="0" w:footer="0" w:header="0"/>
          <w:type w:val="continuous"/>
        </w:sect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06/11/2018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160"/>
          </w:cols>
          <w:pgMar w:left="280" w:top="129"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5" Type="http://schemas.openxmlformats.org/officeDocument/2006/relationships/hyperlink" Target="http://www.sec.gov/cgi-bin/browse-edgar?action=getcompany&amp;CIK=0001688307" TargetMode="External"/><Relationship Id="rId16" Type="http://schemas.openxmlformats.org/officeDocument/2006/relationships/hyperlink" Target="http://www.sec.gov/cgi-bin/browse-edgar?action=getcompany&amp;CIK=0001688304" TargetMode="External"/><Relationship Id="rId17" Type="http://schemas.openxmlformats.org/officeDocument/2006/relationships/hyperlink" Target="http://www.sec.gov/cgi-bin/browse-edgar?action=getcompany&amp;CIK=0001474048" TargetMode="External"/><Relationship Id="rId20"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2019-12-23T16:23:02Z</dcterms:created>
  <dcterms:modified xsi:type="dcterms:W3CDTF">2019-12-23T16:23:02Z</dcterms:modified>
</cp:coreProperties>
</file>