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6472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47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42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Linthwaite Stephen Christopher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680"/>
        <w:spacing w:after="0" w:line="3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5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427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42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08/20/2021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7,813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300,777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08/20/2021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6,882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307,659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08/20/2021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7,722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315,381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08/20/2021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11,287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6.53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304,094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7,813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7,813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23,439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6,882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6,882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41,292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7,722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7,722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77,223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-2818765</wp:posOffset>
            </wp:positionV>
            <wp:extent cx="29210" cy="2823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1,795 shares purchased on May 28, 2021 under the Company's 2017 Employee Stock Purchase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June 11, 2018, the Reporting Person was granted 125,000 Restricted Stock Units vesting as to 1/16th of the total number of shares on August 20, 2018, and as to 1/16th of the total number of shares each quarter thereafter.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19, 2019, the Reporting Person was granted 110,112 Restricted Stock Units vesting as to 1/4th of the total number of shares on February 20, 2020, and as to 1/16th of the total number of shares each quarter thereafter.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10, 2020, the Reporting Person was granted 123,555 Restricted Stock Units vesting as to 1/4th of the underlying shares on February 20, 2021, and as to 1/16th of the total number of shares each quarter thereafter.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Stephen Christopher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0071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Linthwaite by Nicholas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Khadder,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1398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42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080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2021-08-24T18:11:16Z</dcterms:created>
  <dcterms:modified xsi:type="dcterms:W3CDTF">2021-08-24T18:11:16Z</dcterms:modified>
</cp:coreProperties>
</file>