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02/28/2025</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02/28/2025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vMerge w:val="restart"/>
          </w:tcPr>
          <w:p>
            <w:pPr>
              <w:jc w:val="center"/>
              <w:ind w:right="400"/>
              <w:spacing w:after="0"/>
              <w:rPr>
                <w:sz w:val="20"/>
                <w:szCs w:val="20"/>
                <w:color w:val="auto"/>
              </w:rPr>
            </w:pPr>
            <w:r>
              <w:rPr>
                <w:rFonts w:ascii="Times New Roman" w:cs="Times New Roman" w:eastAsia="Times New Roman" w:hAnsi="Times New Roman"/>
                <w:sz w:val="13"/>
                <w:szCs w:val="13"/>
                <w:color w:val="0000FF"/>
                <w:w w:val="82"/>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4,820,959</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1.065</w:t>
            </w:r>
          </w:p>
        </w:tc>
        <w:tc>
          <w:tcPr>
            <w:tcW w:w="1300" w:type="dxa"/>
            <w:vAlign w:val="bottom"/>
            <w:gridSpan w:val="3"/>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58,846,780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02/28/2025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vMerge w:val="restart"/>
          </w:tcPr>
          <w:p>
            <w:pPr>
              <w:jc w:val="center"/>
              <w:ind w:right="40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545,000</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1.065</w:t>
            </w:r>
          </w:p>
        </w:tc>
        <w:tc>
          <w:tcPr>
            <w:tcW w:w="1300" w:type="dxa"/>
            <w:vAlign w:val="bottom"/>
            <w:gridSpan w:val="3"/>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59,391,780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02/28/2025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vMerge w:val="restart"/>
          </w:tcPr>
          <w:p>
            <w:pPr>
              <w:jc w:val="center"/>
              <w:ind w:right="40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545,000</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vMerge w:val="restart"/>
          </w:tcPr>
          <w:p>
            <w:pPr>
              <w:jc w:val="center"/>
              <w:ind w:right="437"/>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bottom w:val="single" w:sz="8" w:color="2C2C2C"/>
            </w:tcBorders>
          </w:tcPr>
          <w:p>
            <w:pPr>
              <w:spacing w:after="0"/>
              <w:rPr>
                <w:sz w:val="24"/>
                <w:szCs w:val="24"/>
                <w:color w:val="auto"/>
              </w:rPr>
            </w:pPr>
          </w:p>
        </w:tc>
        <w:tc>
          <w:tcPr>
            <w:tcW w:w="1600" w:type="dxa"/>
            <w:vAlign w:val="bottom"/>
            <w:tcBorders>
              <w:top w:val="single" w:sz="8" w:color="2C2C2C"/>
              <w:bottom w:val="single" w:sz="8" w:color="2C2C2C"/>
            </w:tcBorders>
            <w:gridSpan w:val="4"/>
          </w:tcPr>
          <w:p>
            <w:pPr>
              <w:jc w:val="right"/>
              <w:ind w:right="340"/>
              <w:spacing w:after="0"/>
              <w:rPr>
                <w:sz w:val="20"/>
                <w:szCs w:val="20"/>
                <w:color w:val="auto"/>
              </w:rPr>
            </w:pPr>
            <w:r>
              <w:rPr>
                <w:rFonts w:ascii="Times New Roman" w:cs="Times New Roman" w:eastAsia="Times New Roman" w:hAnsi="Times New Roman"/>
                <w:sz w:val="17"/>
                <w:szCs w:val="17"/>
                <w:color w:val="0000FF"/>
              </w:rPr>
              <w:t>02/28/2025</w:t>
            </w: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jc w:val="center"/>
              <w:ind w:right="400"/>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58,215</w:t>
            </w:r>
            <w:r>
              <w:rPr>
                <w:rFonts w:ascii="Times New Roman" w:cs="Times New Roman" w:eastAsia="Times New Roman" w:hAnsi="Times New Roman"/>
                <w:sz w:val="22"/>
                <w:szCs w:val="22"/>
                <w:color w:val="008000"/>
                <w:w w:val="93"/>
                <w:vertAlign w:val="superscript"/>
              </w:rPr>
              <w:t>(4)</w:t>
            </w:r>
          </w:p>
        </w:tc>
        <w:tc>
          <w:tcPr>
            <w:tcW w:w="440" w:type="dxa"/>
            <w:vAlign w:val="bottom"/>
            <w:tcBorders>
              <w:top w:val="single" w:sz="8" w:color="2C2C2C"/>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1960" w:type="dxa"/>
            <w:vAlign w:val="bottom"/>
            <w:tcBorders>
              <w:top w:val="single" w:sz="8" w:color="2C2C2C"/>
              <w:bottom w:val="single" w:sz="8" w:color="2C2C2C"/>
            </w:tcBorders>
            <w:gridSpan w:val="5"/>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1.065</w:t>
            </w:r>
            <w:r>
              <w:rPr>
                <w:rFonts w:ascii="Times New Roman" w:cs="Times New Roman" w:eastAsia="Times New Roman" w:hAnsi="Times New Roman"/>
                <w:sz w:val="22"/>
                <w:szCs w:val="22"/>
                <w:color w:val="008000"/>
                <w:vertAlign w:val="superscript"/>
              </w:rPr>
              <w:t>(5)</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2,806,470</w:t>
            </w:r>
            <w:r>
              <w:rPr>
                <w:rFonts w:ascii="Times New Roman" w:cs="Times New Roman" w:eastAsia="Times New Roman" w:hAnsi="Times New Roman"/>
                <w:sz w:val="22"/>
                <w:szCs w:val="22"/>
                <w:color w:val="008000"/>
                <w:vertAlign w:val="superscript"/>
              </w:rPr>
              <w:t>(6)</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(7)</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13,939,637</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2,744,219</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4"/>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Casdin Eli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Capital,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7"/>
        </w:trPr>
        <w:tc>
          <w:tcPr>
            <w:tcW w:w="12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NEW YORK</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10019</w:t>
            </w:r>
          </w:p>
        </w:tc>
      </w:tr>
    </w:tbl>
    <w:p>
      <w:pPr>
        <w:spacing w:after="0" w:line="200" w:lineRule="exact"/>
        <w:rPr>
          <w:sz w:val="20"/>
          <w:szCs w:val="20"/>
          <w:color w:val="auto"/>
        </w:rPr>
      </w:pPr>
    </w:p>
    <w:p>
      <w:pPr>
        <w:sectPr>
          <w:pgSz w:w="11900" w:h="16838" w:orient="portrait"/>
          <w:cols w:equalWidth="0" w:num="1">
            <w:col w:w="9979"/>
          </w:cols>
          <w:pgMar w:left="480" w:top="111"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111"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-140970</wp:posOffset>
            </wp:positionV>
            <wp:extent cx="2809240" cy="3702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3702050"/>
                    </a:xfrm>
                    <a:prstGeom prst="rect">
                      <a:avLst/>
                    </a:prstGeom>
                    <a:noFill/>
                  </pic:spPr>
                </pic:pic>
              </a:graphicData>
            </a:graphic>
          </wp:anchor>
        </w:drawing>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Casdin Amplify Fund,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CASDIN PRIVATE GROWTH EQUITY</w:t>
        </w:r>
      </w:hyperlink>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5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cross-trade, pursuant to which Casdin Amplify Fund, LP ("Amplify") transferred 545,000 shares of Common Stock to the Master Fund.</w:t>
      </w:r>
    </w:p>
    <w:p>
      <w:pPr>
        <w:spacing w:after="0" w:line="50" w:lineRule="exact"/>
        <w:rPr>
          <w:rFonts w:ascii="Times New Roman" w:cs="Times New Roman" w:eastAsia="Times New Roman" w:hAnsi="Times New Roman"/>
          <w:sz w:val="13"/>
          <w:szCs w:val="13"/>
          <w:color w:val="008000"/>
        </w:rPr>
      </w:pPr>
    </w:p>
    <w:p>
      <w:pPr>
        <w:ind w:right="2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owned directly by Amplify and were deemed to be indirectly beneficially owned by (i) Casdin, the investment adviser to Amplify, (ii) the GP, the general partner of Amplify,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right="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as to 25% on the last day of the last month of each fiscal quarter of 2025, subject to the Reporting Person's continued service through the applicable vesting date.</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issued to the Reporting Person, who elected to take RSUs in lieu of $62,000 in cash compensation for services as a board member.</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110" w:right="499" w:bottom="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Amplify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42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1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99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60"/>
            <w:col w:w="2160"/>
          </w:cols>
          <w:pgMar w:left="500" w:top="110"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Casdin Private Growth Equity 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6" Type="http://schemas.openxmlformats.org/officeDocument/2006/relationships/hyperlink" Target="http://www.sec.gov/cgi-bin/browse-edgar?action=getcompany&amp;CIK=0001534264" TargetMode="External"/><Relationship Id="rId18" Type="http://schemas.openxmlformats.org/officeDocument/2006/relationships/hyperlink" Target="http://www.sec.gov/cgi-bin/browse-edgar?action=getcompany&amp;CIK=0001534261" TargetMode="External"/><Relationship Id="rId19" Type="http://schemas.openxmlformats.org/officeDocument/2006/relationships/hyperlink" Target="http://www.sec.gov/cgi-bin/browse-edgar?action=getcompany&amp;CIK=0001534260" TargetMode="External"/><Relationship Id="rId20" Type="http://schemas.openxmlformats.org/officeDocument/2006/relationships/hyperlink" Target="http://www.sec.gov/cgi-bin/browse-edgar?action=getcompany&amp;CIK=0001891102" TargetMode="External"/><Relationship Id="rId21" Type="http://schemas.openxmlformats.org/officeDocument/2006/relationships/hyperlink" Target="http://www.sec.gov/cgi-bin/browse-edgar?action=getcompany&amp;CIK=0001919480" TargetMode="External"/><Relationship Id="rId22" Type="http://schemas.openxmlformats.org/officeDocument/2006/relationships/hyperlink" Target="http://www.sec.gov/cgi-bin/browse-edgar?action=getcompany&amp;CIK=0001823061" TargetMode="External"/><Relationship Id="rId24" Type="http://schemas.openxmlformats.org/officeDocument/2006/relationships/hyperlink" Target="http://www.sec.gov/cgi-bin/browse-edgar?action=getcompany&amp;CIK=0002028254" TargetMode="External"/><Relationship Id="rId25" Type="http://schemas.openxmlformats.org/officeDocument/2006/relationships/hyperlink" Target="http://www.sec.gov/cgi-bin/browse-edgar?action=getcompany&amp;CIK=00018645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2025-03-04T19:28:15Z</dcterms:created>
  <dcterms:modified xsi:type="dcterms:W3CDTF">2025-03-04T19:28:15Z</dcterms:modified>
</cp:coreProperties>
</file>