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723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723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McPhail Steven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jc w:val="center"/>
              <w:ind w:left="548"/>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08/21/2017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775</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28,617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08/21/2017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338</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28,955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08/21/2017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4"/>
              </w:rPr>
              <w:t>1,284</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30,239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08/21/2017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6"/>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791</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5"/>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3.76</w:t>
            </w: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29,448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7"/>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99"/>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99"/>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7"/>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5"/>
              <w:spacing w:after="0"/>
              <w:rPr>
                <w:sz w:val="20"/>
                <w:szCs w:val="20"/>
                <w:color w:val="auto"/>
              </w:rPr>
            </w:pPr>
            <w:r>
              <w:rPr>
                <w:rFonts w:ascii="Arial" w:cs="Arial" w:eastAsia="Arial" w:hAnsi="Arial"/>
                <w:sz w:val="18"/>
                <w:szCs w:val="18"/>
                <w:color w:val="0000FF"/>
                <w:w w:val="86"/>
              </w:rPr>
              <w:t>775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08/21/2017</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318"/>
              <w:spacing w:after="0" w:line="149" w:lineRule="exact"/>
              <w:rPr>
                <w:sz w:val="20"/>
                <w:szCs w:val="20"/>
                <w:color w:val="auto"/>
              </w:rPr>
            </w:pPr>
            <w:r>
              <w:rPr>
                <w:rFonts w:ascii="Arial" w:cs="Arial" w:eastAsia="Arial" w:hAnsi="Arial"/>
                <w:sz w:val="14"/>
                <w:szCs w:val="14"/>
                <w:color w:val="0000FF"/>
                <w:w w:val="85"/>
              </w:rPr>
              <w:t>775</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8"/>
              <w:spacing w:after="0" w:line="149" w:lineRule="exact"/>
              <w:rPr>
                <w:sz w:val="20"/>
                <w:szCs w:val="20"/>
                <w:color w:val="auto"/>
              </w:rPr>
            </w:pPr>
            <w:r>
              <w:rPr>
                <w:rFonts w:ascii="Arial" w:cs="Arial" w:eastAsia="Arial" w:hAnsi="Arial"/>
                <w:sz w:val="14"/>
                <w:szCs w:val="14"/>
                <w:color w:val="0000FF"/>
                <w:w w:val="85"/>
              </w:rPr>
              <w:t>5,425</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5"/>
              <w:spacing w:after="0"/>
              <w:rPr>
                <w:sz w:val="20"/>
                <w:szCs w:val="20"/>
                <w:color w:val="auto"/>
              </w:rPr>
            </w:pPr>
            <w:r>
              <w:rPr>
                <w:rFonts w:ascii="Arial" w:cs="Arial" w:eastAsia="Arial" w:hAnsi="Arial"/>
                <w:sz w:val="18"/>
                <w:szCs w:val="18"/>
                <w:color w:val="0000FF"/>
                <w:w w:val="86"/>
              </w:rPr>
              <w:t>338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08/21/2017</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318"/>
              <w:spacing w:after="0" w:line="149" w:lineRule="exact"/>
              <w:rPr>
                <w:sz w:val="20"/>
                <w:szCs w:val="20"/>
                <w:color w:val="auto"/>
              </w:rPr>
            </w:pPr>
            <w:r>
              <w:rPr>
                <w:rFonts w:ascii="Arial" w:cs="Arial" w:eastAsia="Arial" w:hAnsi="Arial"/>
                <w:sz w:val="14"/>
                <w:szCs w:val="14"/>
                <w:color w:val="0000FF"/>
                <w:w w:val="85"/>
              </w:rPr>
              <w:t>338</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8"/>
              <w:spacing w:after="0" w:line="149" w:lineRule="exact"/>
              <w:rPr>
                <w:sz w:val="20"/>
                <w:szCs w:val="20"/>
                <w:color w:val="auto"/>
              </w:rPr>
            </w:pPr>
            <w:r>
              <w:rPr>
                <w:rFonts w:ascii="Arial" w:cs="Arial" w:eastAsia="Arial" w:hAnsi="Arial"/>
                <w:sz w:val="14"/>
                <w:szCs w:val="14"/>
                <w:color w:val="0000FF"/>
                <w:w w:val="85"/>
              </w:rPr>
              <w:t>3,263</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1,284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08/21/2017</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298"/>
              <w:spacing w:after="0" w:line="149" w:lineRule="exact"/>
              <w:rPr>
                <w:sz w:val="20"/>
                <w:szCs w:val="20"/>
                <w:color w:val="auto"/>
              </w:rPr>
            </w:pPr>
            <w:r>
              <w:rPr>
                <w:rFonts w:ascii="Arial" w:cs="Arial" w:eastAsia="Arial" w:hAnsi="Arial"/>
                <w:sz w:val="14"/>
                <w:szCs w:val="14"/>
                <w:color w:val="0000FF"/>
                <w:w w:val="85"/>
              </w:rPr>
              <w:t>1,284</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8"/>
              <w:spacing w:after="0" w:line="149" w:lineRule="exact"/>
              <w:rPr>
                <w:sz w:val="20"/>
                <w:szCs w:val="20"/>
                <w:color w:val="auto"/>
              </w:rPr>
            </w:pPr>
            <w:r>
              <w:rPr>
                <w:rFonts w:ascii="Arial" w:cs="Arial" w:eastAsia="Arial" w:hAnsi="Arial"/>
                <w:sz w:val="14"/>
                <w:szCs w:val="14"/>
                <w:color w:val="0000FF"/>
                <w:w w:val="88"/>
              </w:rPr>
              <w:t>17,554</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May 21, 2015, the Reporting Person was granted 12,400 Restricted Stock Units of which 12/48th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20,550 Restricted Stock Units of which 4/48th of the total number of shares underlying the Restricted Stock Units granted vested on May 20, 2017, and 3/48th of the total number of shares underlying the Restricted Stock Units granted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08/23/2017</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185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2019-12-04T00:37:46Z</dcterms:created>
  <dcterms:modified xsi:type="dcterms:W3CDTF">2019-12-04T00:37:46Z</dcterms:modified>
</cp:coreProperties>
</file>