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SCHEDULE 13G/A</w:t>
      </w: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34385P108</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right="9960" w:firstLine="8"/>
        <w:spacing w:after="0" w:line="225" w:lineRule="exact"/>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97" w:lineRule="exact"/>
        <w:rPr>
          <w:sz w:val="24"/>
          <w:szCs w:val="24"/>
          <w:color w:val="auto"/>
        </w:rPr>
      </w:pPr>
    </w:p>
    <w:p>
      <w:pPr>
        <w:ind w:firstLine="8"/>
        <w:spacing w:after="0" w:line="195" w:lineRule="auto"/>
        <w:tabs>
          <w:tab w:leader="none" w:pos="12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Levin Easterly Partners LLC</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83-2400656</w:t>
      </w:r>
    </w:p>
    <w:p>
      <w:pPr>
        <w:spacing w:after="0" w:line="310" w:lineRule="exact"/>
        <w:rPr>
          <w:sz w:val="20"/>
          <w:szCs w:val="20"/>
          <w:color w:val="auto"/>
        </w:rPr>
      </w:pPr>
    </w:p>
    <w:p>
      <w:pPr>
        <w:ind w:left="400" w:hanging="223"/>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160" w:type="dxa"/>
            <w:vAlign w:val="bottom"/>
            <w:vMerge w:val="continue"/>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2"/>
        </w:trPr>
        <w:tc>
          <w:tcPr>
            <w:tcW w:w="216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 Partners Holdings LLC</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83-2587475</w:t>
      </w:r>
    </w:p>
    <w:p>
      <w:pPr>
        <w:spacing w:after="0" w:line="310" w:lineRule="exact"/>
        <w:rPr>
          <w:sz w:val="20"/>
          <w:szCs w:val="20"/>
          <w:color w:val="auto"/>
        </w:rPr>
      </w:pPr>
    </w:p>
    <w:p>
      <w:pPr>
        <w:ind w:left="400" w:hanging="223"/>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160" w:type="dxa"/>
            <w:vAlign w:val="bottom"/>
            <w:vMerge w:val="continue"/>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2"/>
        </w:trPr>
        <w:tc>
          <w:tcPr>
            <w:tcW w:w="216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 Partners Holdings II LLC</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83-4229605</w:t>
      </w:r>
    </w:p>
    <w:p>
      <w:pPr>
        <w:spacing w:after="0" w:line="310" w:lineRule="exact"/>
        <w:rPr>
          <w:sz w:val="20"/>
          <w:szCs w:val="20"/>
          <w:color w:val="auto"/>
        </w:rPr>
      </w:pPr>
    </w:p>
    <w:p>
      <w:pPr>
        <w:ind w:left="400" w:hanging="223"/>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160" w:type="dxa"/>
            <w:vAlign w:val="bottom"/>
            <w:vMerge w:val="continue"/>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2"/>
        </w:trPr>
        <w:tc>
          <w:tcPr>
            <w:tcW w:w="216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400" w:hanging="223"/>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 Partners Holdings III LLC</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83-4195384</w:t>
      </w:r>
    </w:p>
    <w:p>
      <w:pPr>
        <w:spacing w:after="0" w:line="310" w:lineRule="exact"/>
        <w:rPr>
          <w:sz w:val="20"/>
          <w:szCs w:val="20"/>
          <w:color w:val="auto"/>
        </w:rPr>
      </w:pPr>
    </w:p>
    <w:p>
      <w:pPr>
        <w:ind w:left="400" w:hanging="223"/>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160" w:type="dxa"/>
            <w:vAlign w:val="bottom"/>
            <w:vMerge w:val="continue"/>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2"/>
        </w:trPr>
        <w:tc>
          <w:tcPr>
            <w:tcW w:w="2160" w:type="dxa"/>
            <w:vAlign w:val="bottom"/>
            <w:vMerge w:val="continue"/>
          </w:tcPr>
          <w:p>
            <w:pPr>
              <w:spacing w:after="0"/>
              <w:rPr>
                <w:sz w:val="4"/>
                <w:szCs w:val="4"/>
                <w:color w:val="auto"/>
              </w:rPr>
            </w:pPr>
          </w:p>
        </w:tc>
        <w:tc>
          <w:tcPr>
            <w:tcW w:w="6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400" w:hanging="223"/>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Easterly Asset Management LP</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85-2537098</w:t>
      </w:r>
    </w:p>
    <w:p>
      <w:pPr>
        <w:spacing w:after="0" w:line="310" w:lineRule="exact"/>
        <w:rPr>
          <w:sz w:val="20"/>
          <w:szCs w:val="20"/>
          <w:color w:val="auto"/>
        </w:rPr>
      </w:pPr>
    </w:p>
    <w:p>
      <w:pPr>
        <w:ind w:left="400" w:hanging="22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160" w:type="dxa"/>
            <w:vAlign w:val="bottom"/>
            <w:vMerge w:val="continue"/>
          </w:tcPr>
          <w:p>
            <w:pPr>
              <w:spacing w:after="0"/>
              <w:rPr>
                <w:sz w:val="8"/>
                <w:szCs w:val="8"/>
                <w:color w:val="auto"/>
              </w:rPr>
            </w:pPr>
          </w:p>
        </w:tc>
        <w:tc>
          <w:tcPr>
            <w:tcW w:w="6400" w:type="dxa"/>
            <w:vAlign w:val="bottom"/>
            <w:vMerge w:val="restart"/>
          </w:tcPr>
          <w:p>
            <w:pPr>
              <w:jc w:val="right"/>
              <w:ind w:right="61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vMerge w:val="continue"/>
          </w:tcPr>
          <w:p>
            <w:pPr>
              <w:spacing w:after="0"/>
              <w:rPr>
                <w:sz w:val="6"/>
                <w:szCs w:val="6"/>
                <w:color w:val="auto"/>
              </w:rPr>
            </w:pPr>
          </w:p>
        </w:tc>
        <w:tc>
          <w:tcPr>
            <w:tcW w:w="6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383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9580" cy="2383155"/>
                    </a:xfrm>
                    <a:prstGeom prst="rect">
                      <a:avLst/>
                    </a:prstGeom>
                    <a:noFill/>
                  </pic:spPr>
                </pic:pic>
              </a:graphicData>
            </a:graphic>
          </wp:anchor>
        </w:drawing>
        <w:t>CUSIP No. 34385P108</w:t>
      </w:r>
    </w:p>
    <w:p>
      <w:pPr>
        <w:spacing w:after="0" w:line="50" w:lineRule="exact"/>
        <w:rPr>
          <w:sz w:val="20"/>
          <w:szCs w:val="20"/>
          <w:color w:val="auto"/>
        </w:rPr>
      </w:pPr>
    </w:p>
    <w:p>
      <w:pPr>
        <w:ind w:left="400" w:hanging="223"/>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Easterly Asset Management GP LLC</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86-1407232</w:t>
      </w:r>
    </w:p>
    <w:p>
      <w:pPr>
        <w:spacing w:after="0" w:line="310" w:lineRule="exact"/>
        <w:rPr>
          <w:sz w:val="20"/>
          <w:szCs w:val="20"/>
          <w:color w:val="auto"/>
        </w:rPr>
      </w:pPr>
    </w:p>
    <w:p>
      <w:pPr>
        <w:ind w:left="400" w:hanging="223"/>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160" w:type="dxa"/>
            <w:vAlign w:val="bottom"/>
            <w:vMerge w:val="continue"/>
          </w:tcPr>
          <w:p>
            <w:pPr>
              <w:spacing w:after="0"/>
              <w:rPr>
                <w:sz w:val="8"/>
                <w:szCs w:val="8"/>
                <w:color w:val="auto"/>
              </w:rPr>
            </w:pPr>
          </w:p>
        </w:tc>
        <w:tc>
          <w:tcPr>
            <w:tcW w:w="6400" w:type="dxa"/>
            <w:vAlign w:val="bottom"/>
            <w:vMerge w:val="restart"/>
          </w:tcPr>
          <w:p>
            <w:pPr>
              <w:jc w:val="right"/>
              <w:ind w:right="61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vMerge w:val="continue"/>
          </w:tcPr>
          <w:p>
            <w:pPr>
              <w:spacing w:after="0"/>
              <w:rPr>
                <w:sz w:val="6"/>
                <w:szCs w:val="6"/>
                <w:color w:val="auto"/>
              </w:rPr>
            </w:pPr>
          </w:p>
        </w:tc>
        <w:tc>
          <w:tcPr>
            <w:tcW w:w="6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26035</wp:posOffset>
            </wp:positionV>
            <wp:extent cx="5520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182880</wp:posOffset>
            </wp:positionV>
            <wp:extent cx="5520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hanging="23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292"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-453390</wp:posOffset>
            </wp:positionV>
            <wp:extent cx="5529580" cy="805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9580" cy="80581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-616585</wp:posOffset>
            </wp:positionV>
            <wp:extent cx="5520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400" w:type="dxa"/>
            <w:vAlign w:val="bottom"/>
            <w:vMerge w:val="restart"/>
          </w:tcPr>
          <w:p>
            <w:pPr>
              <w:jc w:val="right"/>
              <w:ind w:right="615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vMerge w:val="continue"/>
          </w:tcPr>
          <w:p>
            <w:pPr>
              <w:spacing w:after="0"/>
              <w:rPr>
                <w:sz w:val="6"/>
                <w:szCs w:val="6"/>
                <w:color w:val="auto"/>
              </w:rPr>
            </w:pPr>
          </w:p>
        </w:tc>
        <w:tc>
          <w:tcPr>
            <w:tcW w:w="6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1"/>
        <w:spacing w:after="0"/>
        <w:tabs>
          <w:tab w:leader="none" w:pos="2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7"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2700" w:hanging="221"/>
        <w:spacing w:after="0"/>
        <w:tabs>
          <w:tab w:leader="none" w:pos="2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8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9580" cy="2228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9580" cy="2228850"/>
                    </a:xfrm>
                    <a:prstGeom prst="rect">
                      <a:avLst/>
                    </a:prstGeom>
                    <a:noFill/>
                  </pic:spPr>
                </pic:pic>
              </a:graphicData>
            </a:graphic>
          </wp:anchor>
        </w:drawing>
        <w:t>CUSIP No. 34385P108</w:t>
      </w:r>
    </w:p>
    <w:p>
      <w:pPr>
        <w:spacing w:after="0" w:line="50" w:lineRule="exact"/>
        <w:rPr>
          <w:sz w:val="20"/>
          <w:szCs w:val="20"/>
          <w:color w:val="auto"/>
        </w:rPr>
      </w:pPr>
    </w:p>
    <w:p>
      <w:pPr>
        <w:ind w:left="400" w:hanging="223"/>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John Murphy</w:t>
      </w:r>
    </w:p>
    <w:p>
      <w:pPr>
        <w:spacing w:after="0" w:line="310" w:lineRule="exact"/>
        <w:rPr>
          <w:sz w:val="20"/>
          <w:szCs w:val="20"/>
          <w:color w:val="auto"/>
        </w:rPr>
      </w:pPr>
    </w:p>
    <w:p>
      <w:pPr>
        <w:ind w:left="400" w:hanging="223"/>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400" w:hanging="223"/>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400" w:type="dxa"/>
            <w:vAlign w:val="bottom"/>
          </w:tcPr>
          <w:p>
            <w:pPr>
              <w:jc w:val="right"/>
              <w:ind w:right="60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6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160" w:type="dxa"/>
            <w:vAlign w:val="bottom"/>
            <w:vMerge w:val="continue"/>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400" w:type="dxa"/>
            <w:vAlign w:val="bottom"/>
            <w:vMerge w:val="restart"/>
          </w:tcPr>
          <w:p>
            <w:pPr>
              <w:jc w:val="right"/>
              <w:ind w:right="617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vMerge w:val="continue"/>
          </w:tcPr>
          <w:p>
            <w:pPr>
              <w:spacing w:after="0"/>
              <w:rPr>
                <w:sz w:val="6"/>
                <w:szCs w:val="6"/>
                <w:color w:val="auto"/>
              </w:rPr>
            </w:pPr>
          </w:p>
        </w:tc>
        <w:tc>
          <w:tcPr>
            <w:tcW w:w="6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2700" w:hanging="228"/>
        <w:spacing w:after="0"/>
        <w:tabs>
          <w:tab w:leader="none" w:pos="2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6"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0</w:t>
      </w:r>
    </w:p>
    <w:p>
      <w:pPr>
        <w:spacing w:after="0" w:line="287" w:lineRule="exact"/>
        <w:rPr>
          <w:rFonts w:ascii="Times New Roman" w:cs="Times New Roman" w:eastAsia="Times New Roman" w:hAnsi="Times New Roman"/>
          <w:sz w:val="18"/>
          <w:szCs w:val="18"/>
          <w:color w:val="auto"/>
        </w:rPr>
      </w:pPr>
    </w:p>
    <w:p>
      <w:pPr>
        <w:ind w:left="2700" w:hanging="228"/>
        <w:spacing w:after="0"/>
        <w:tabs>
          <w:tab w:leader="none" w:pos="2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3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83" w:lineRule="exact"/>
        <w:rPr>
          <w:rFonts w:ascii="Times New Roman" w:cs="Times New Roman" w:eastAsia="Times New Roman" w:hAnsi="Times New Roman"/>
          <w:sz w:val="18"/>
          <w:szCs w:val="18"/>
          <w:color w:val="auto"/>
        </w:rPr>
      </w:pPr>
    </w:p>
    <w:p>
      <w:pPr>
        <w:ind w:left="380" w:hanging="216"/>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-433705</wp:posOffset>
            </wp:positionV>
            <wp:extent cx="4054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-751205</wp:posOffset>
            </wp:positionV>
            <wp:extent cx="4054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63" w:lineRule="exact"/>
        <w:rPr>
          <w:sz w:val="20"/>
          <w:szCs w:val="20"/>
          <w:color w:val="auto"/>
        </w:rPr>
      </w:pPr>
    </w:p>
    <w:p>
      <w:pPr>
        <w:ind w:left="160"/>
        <w:spacing w:after="0"/>
        <w:tabs>
          <w:tab w:leader="none" w:pos="59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5520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0" w:hanging="316"/>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96" w:lineRule="exact"/>
        <w:rPr>
          <w:rFonts w:ascii="Times New Roman" w:cs="Times New Roman" w:eastAsia="Times New Roman" w:hAnsi="Times New Roman"/>
          <w:sz w:val="18"/>
          <w:szCs w:val="18"/>
          <w:color w:val="auto"/>
        </w:rPr>
      </w:pPr>
    </w:p>
    <w:p>
      <w:pPr>
        <w:ind w:left="480" w:hanging="316"/>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3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-442595</wp:posOffset>
            </wp:positionV>
            <wp:extent cx="5520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Item 1.</w:t>
      </w:r>
    </w:p>
    <w:p>
      <w:pPr>
        <w:spacing w:after="0" w:line="22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Fluidigm Corporation (the “Issuer”).</w:t>
      </w:r>
    </w:p>
    <w:p>
      <w:pPr>
        <w:spacing w:after="0" w:line="2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7000 Shoreline Court, Suite 100, South San Francisco, California 94080.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w:t>
      </w:r>
    </w:p>
    <w:p>
      <w:pPr>
        <w:spacing w:after="0" w:line="2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Person Filing:</w:t>
      </w:r>
    </w:p>
    <w:p>
      <w:pPr>
        <w:spacing w:after="0" w:line="229" w:lineRule="exact"/>
        <w:rPr>
          <w:rFonts w:ascii="Times New Roman" w:cs="Times New Roman" w:eastAsia="Times New Roman" w:hAnsi="Times New Roman"/>
          <w:sz w:val="20"/>
          <w:szCs w:val="20"/>
          <w:color w:val="auto"/>
        </w:rPr>
      </w:pPr>
    </w:p>
    <w:p>
      <w:pPr>
        <w:jc w:val="both"/>
        <w:ind w:left="6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schedule is being jointly filed by Levin Easterly Partners LLC (“Levin Easterly”), LE Partners Holdings LLC (“LEPH”), LE Partners Holdings II LLC (“LEPH II”), LE Partners Holdings III LLC (“LEPH III”), Easterly Asset Management LP (“EAM”), Easterly Asset Management GP LLC (“EAM GP”), John “Jack” Murphy, the Chief Investment Officer of Levin Easterly (“Mr. Murphy”), and Darrell Crate, the Chairman and a controlling person of Levin Easterly (“Mr. Crate”) (all of the foregoing reporting persons and entities are sometimes collectively referred to hereinafter as “Filer”).</w:t>
      </w:r>
    </w:p>
    <w:p>
      <w:pPr>
        <w:spacing w:after="0" w:line="19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Principal Business Office:</w:t>
      </w:r>
    </w:p>
    <w:p>
      <w:pPr>
        <w:spacing w:after="0" w:line="229" w:lineRule="exact"/>
        <w:rPr>
          <w:rFonts w:ascii="Times New Roman" w:cs="Times New Roman" w:eastAsia="Times New Roman" w:hAnsi="Times New Roman"/>
          <w:sz w:val="20"/>
          <w:szCs w:val="20"/>
          <w:color w:val="auto"/>
        </w:rPr>
      </w:pPr>
    </w:p>
    <w:p>
      <w:pPr>
        <w:ind w:left="6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the principal executive office of each of Levin Easterly, LEPH, LEPH II, LEPH III, EAM, EAM GP and Messrs. Crate and Murphy is 138 Conant Street, Beverly, Massachusetts 01915.</w:t>
      </w:r>
    </w:p>
    <w:p>
      <w:pPr>
        <w:spacing w:after="0" w:line="17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29" w:lineRule="exact"/>
        <w:rPr>
          <w:rFonts w:ascii="Times New Roman" w:cs="Times New Roman" w:eastAsia="Times New Roman" w:hAnsi="Times New Roman"/>
          <w:sz w:val="20"/>
          <w:szCs w:val="20"/>
          <w:color w:val="auto"/>
        </w:rPr>
      </w:pPr>
    </w:p>
    <w:p>
      <w:pPr>
        <w:jc w:val="both"/>
        <w:ind w:left="6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citizenship or place of organization of each reporting person and entity is as follows: Levin Easterly, LEPH, LEPH II LEPH III and EAM GP are limited liability companies organized under the laws of the State of Delaware. EAM is a limited partnership organized under the laws of the State of Delaware. Messrs. Murphy and Crate are citizens of the United States of America.</w:t>
      </w:r>
    </w:p>
    <w:p>
      <w:pPr>
        <w:spacing w:after="0" w:line="18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 par value $0.001 per share.</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CUSIP Number:</w:t>
      </w:r>
    </w:p>
    <w:p>
      <w:pPr>
        <w:spacing w:after="0" w:line="23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34385P108</w:t>
      </w:r>
    </w:p>
    <w:p>
      <w:pPr>
        <w:spacing w:after="0" w:line="2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§§240.13d-1(b) or 240.13d-2(b) or (c), check whether the person filing is a:</w:t>
      </w:r>
    </w:p>
    <w:p>
      <w:pPr>
        <w:spacing w:after="0" w:line="205" w:lineRule="exact"/>
        <w:rPr>
          <w:sz w:val="20"/>
          <w:szCs w:val="20"/>
          <w:color w:val="auto"/>
        </w:rPr>
      </w:pPr>
    </w:p>
    <w:p>
      <w:pPr>
        <w:ind w:left="660" w:hanging="328"/>
        <w:spacing w:after="0" w:line="230" w:lineRule="exact"/>
        <w:tabs>
          <w:tab w:leader="none" w:pos="66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660" w:hanging="328"/>
        <w:spacing w:after="0" w:line="230" w:lineRule="exact"/>
        <w:tabs>
          <w:tab w:leader="none" w:pos="66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45" w:lineRule="exact"/>
        <w:rPr>
          <w:rFonts w:ascii="Times New Roman" w:cs="Times New Roman" w:eastAsia="Times New Roman" w:hAnsi="Times New Roman"/>
          <w:sz w:val="20"/>
          <w:szCs w:val="20"/>
          <w:color w:val="auto"/>
        </w:rPr>
      </w:pPr>
    </w:p>
    <w:p>
      <w:pPr>
        <w:ind w:left="660" w:hanging="328"/>
        <w:spacing w:after="0" w:line="230" w:lineRule="exact"/>
        <w:tabs>
          <w:tab w:leader="none" w:pos="66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ind w:left="900" w:hanging="568"/>
        <w:spacing w:after="0" w:line="230" w:lineRule="exact"/>
        <w:tabs>
          <w:tab w:leader="none" w:pos="90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ind w:left="660" w:hanging="328"/>
        <w:spacing w:after="0" w:line="230" w:lineRule="exact"/>
        <w:tabs>
          <w:tab w:leader="none" w:pos="66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An investment adviser in accordance with §240.13d-1(b)(1)(ii)(E);</w:t>
      </w:r>
    </w:p>
    <w:p>
      <w:pPr>
        <w:ind w:left="660" w:hanging="328"/>
        <w:spacing w:after="0" w:line="230" w:lineRule="exact"/>
        <w:tabs>
          <w:tab w:leader="none" w:pos="660" w:val="left"/>
        </w:tabs>
        <w:numPr>
          <w:ilvl w:val="0"/>
          <w:numId w:val="41"/>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An employee benefit plan or endowment fund in accordance with §240.13d-1(b)(1)(ii)(F);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660" w:hanging="328"/>
        <w:spacing w:after="0" w:line="230" w:lineRule="exact"/>
        <w:tabs>
          <w:tab w:leader="none" w:pos="660" w:val="left"/>
        </w:tabs>
        <w:numPr>
          <w:ilvl w:val="0"/>
          <w:numId w:val="42"/>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A parent holding company or control person in accordance with §240.13d-1(b)(1)(ii)(G);</w:t>
      </w:r>
    </w:p>
    <w:p>
      <w:pPr>
        <w:spacing w:after="0" w:line="44" w:lineRule="exact"/>
        <w:rPr>
          <w:rFonts w:ascii="Times New Roman" w:cs="Times New Roman" w:eastAsia="Times New Roman" w:hAnsi="Times New Roman"/>
          <w:sz w:val="20"/>
          <w:szCs w:val="20"/>
          <w:color w:val="auto"/>
        </w:rPr>
      </w:pPr>
    </w:p>
    <w:p>
      <w:pPr>
        <w:ind w:left="900" w:hanging="568"/>
        <w:spacing w:after="0" w:line="230" w:lineRule="exact"/>
        <w:tabs>
          <w:tab w:leader="none" w:pos="900" w:val="left"/>
        </w:tabs>
        <w:numPr>
          <w:ilvl w:val="0"/>
          <w:numId w:val="42"/>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A savings associations as defined in Section 3(b) of the Federal Deposit Insurance Act (12 U.S.C. 1813);</w:t>
      </w:r>
    </w:p>
    <w:p>
      <w:pPr>
        <w:ind w:left="1300" w:hanging="968"/>
        <w:spacing w:after="0" w:line="230" w:lineRule="exact"/>
        <w:tabs>
          <w:tab w:leader="none" w:pos="895" w:val="left"/>
        </w:tabs>
        <w:numPr>
          <w:ilvl w:val="0"/>
          <w:numId w:val="42"/>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ind w:left="660" w:hanging="328"/>
        <w:spacing w:after="0" w:line="230" w:lineRule="exact"/>
        <w:tabs>
          <w:tab w:leader="none" w:pos="660" w:val="left"/>
        </w:tabs>
        <w:numPr>
          <w:ilvl w:val="0"/>
          <w:numId w:val="42"/>
        </w:numPr>
        <w:rPr>
          <w:rFonts w:ascii="Times New Roman" w:cs="Times New Roman" w:eastAsia="Times New Roman" w:hAnsi="Times New Roman"/>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Group, in accordance with §240.13d-1(b)(1)(ii)(J).</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Levin Easterly</w:t>
      </w:r>
    </w:p>
    <w:p>
      <w:pPr>
        <w:spacing w:after="0" w:line="21"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LEPH</w:t>
      </w:r>
    </w:p>
    <w:p>
      <w:pPr>
        <w:spacing w:after="0" w:line="21"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LEPH II</w:t>
      </w:r>
    </w:p>
    <w:p>
      <w:pPr>
        <w:spacing w:after="0" w:line="21"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LEPH III</w:t>
      </w:r>
    </w:p>
    <w:p>
      <w:pPr>
        <w:spacing w:after="0" w:line="21"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EAM</w:t>
      </w:r>
    </w:p>
    <w:p>
      <w:pPr>
        <w:spacing w:after="0" w:line="21"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EAM GP</w:t>
      </w:r>
    </w:p>
    <w:p>
      <w:pPr>
        <w:spacing w:after="0" w:line="20"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Darrell Crate</w:t>
      </w:r>
    </w:p>
    <w:p>
      <w:pPr>
        <w:spacing w:after="0" w:line="21"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“Jack” Murphy</w:t>
      </w:r>
    </w:p>
    <w:p>
      <w:pPr>
        <w:spacing w:after="0" w:line="21"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0</w:t>
      </w:r>
    </w:p>
    <w:p>
      <w:pPr>
        <w:ind w:left="980" w:hanging="324"/>
        <w:spacing w:after="0"/>
        <w:tabs>
          <w:tab w:leader="none" w:pos="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Class: 0%</w:t>
      </w:r>
    </w:p>
    <w:p>
      <w:pPr>
        <w:ind w:left="980" w:hanging="324"/>
        <w:spacing w:after="0"/>
        <w:tabs>
          <w:tab w:leader="none" w:pos="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ind w:left="1300" w:hanging="320"/>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direct vote: 0</w:t>
      </w:r>
    </w:p>
    <w:p>
      <w:pPr>
        <w:ind w:left="1300" w:hanging="320"/>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vote: 0</w:t>
      </w:r>
    </w:p>
    <w:p>
      <w:pPr>
        <w:ind w:left="1300" w:hanging="320"/>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of: 0</w:t>
      </w:r>
    </w:p>
    <w:p>
      <w:pPr>
        <w:ind w:left="1300" w:hanging="320"/>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Messrs. Murphy and Crate disclaims beneficial ownership of the securities reported herein.</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29" w:lineRule="exact"/>
        <w:rPr>
          <w:sz w:val="20"/>
          <w:szCs w:val="20"/>
          <w:color w:val="auto"/>
        </w:rPr>
      </w:pPr>
    </w:p>
    <w:p>
      <w:pPr>
        <w:ind w:left="980"/>
        <w:spacing w:after="0" w:line="251"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29" w:lineRule="exact"/>
        <w:rPr>
          <w:sz w:val="20"/>
          <w:szCs w:val="20"/>
          <w:color w:val="auto"/>
        </w:rPr>
      </w:pPr>
    </w:p>
    <w:p>
      <w:pPr>
        <w:ind w:left="980"/>
        <w:spacing w:after="0" w:line="269" w:lineRule="auto"/>
        <w:rPr>
          <w:sz w:val="20"/>
          <w:szCs w:val="20"/>
          <w:color w:val="auto"/>
        </w:rPr>
      </w:pPr>
      <w:r>
        <w:rPr>
          <w:rFonts w:ascii="Times New Roman" w:cs="Times New Roman" w:eastAsia="Times New Roman" w:hAnsi="Times New Roman"/>
          <w:sz w:val="20"/>
          <w:szCs w:val="20"/>
          <w:color w:val="auto"/>
        </w:rPr>
        <w:t>Various separately managed accounts and investment companies for whom Levin Easterly acts as investment manager have the right to receive dividends from, and the proceeds from the sale of, 0 shares.</w:t>
      </w:r>
    </w:p>
    <w:p>
      <w:pPr>
        <w:spacing w:after="0" w:line="173" w:lineRule="exact"/>
        <w:rPr>
          <w:sz w:val="20"/>
          <w:szCs w:val="20"/>
          <w:color w:val="auto"/>
        </w:rPr>
      </w:pPr>
    </w:p>
    <w:p>
      <w:pPr>
        <w:ind w:left="980" w:hanging="971"/>
        <w:spacing w:after="0" w:line="269" w:lineRule="auto"/>
        <w:tabs>
          <w:tab w:leader="none" w:pos="9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60"/>
          </w:cols>
          <w:pgMar w:left="1300" w:top="118"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16, 2021</w:t>
            </w: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LEVIN EASTERLY PARTNERS LLC</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6"/>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Chairman</w:t>
            </w:r>
          </w:p>
        </w:tc>
      </w:tr>
      <w:tr>
        <w:trPr>
          <w:trHeight w:val="513"/>
        </w:trPr>
        <w:tc>
          <w:tcPr>
            <w:tcW w:w="3000" w:type="dxa"/>
            <w:vAlign w:val="bottom"/>
          </w:tcPr>
          <w:p>
            <w:pPr>
              <w:spacing w:after="0"/>
              <w:rPr>
                <w:sz w:val="24"/>
                <w:szCs w:val="24"/>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LE PARTNERS HOLDINGS LLC</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7"/>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13"/>
        </w:trPr>
        <w:tc>
          <w:tcPr>
            <w:tcW w:w="3000" w:type="dxa"/>
            <w:vAlign w:val="bottom"/>
          </w:tcPr>
          <w:p>
            <w:pPr>
              <w:spacing w:after="0"/>
              <w:rPr>
                <w:sz w:val="24"/>
                <w:szCs w:val="24"/>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LE PARTNERS HOLDINGS II LLC</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7"/>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13"/>
        </w:trPr>
        <w:tc>
          <w:tcPr>
            <w:tcW w:w="3000" w:type="dxa"/>
            <w:vAlign w:val="bottom"/>
          </w:tcPr>
          <w:p>
            <w:pPr>
              <w:spacing w:after="0"/>
              <w:rPr>
                <w:sz w:val="24"/>
                <w:szCs w:val="24"/>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LE PARTNERS HOLDINGS III LLC</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7"/>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11"/>
        </w:trPr>
        <w:tc>
          <w:tcPr>
            <w:tcW w:w="3000" w:type="dxa"/>
            <w:vAlign w:val="bottom"/>
          </w:tcPr>
          <w:p>
            <w:pPr>
              <w:spacing w:after="0"/>
              <w:rPr>
                <w:sz w:val="24"/>
                <w:szCs w:val="24"/>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EASTERLY ASSET MANAGEMENT LP</w:t>
            </w:r>
          </w:p>
        </w:tc>
      </w:tr>
      <w:tr>
        <w:trPr>
          <w:trHeight w:val="230"/>
        </w:trPr>
        <w:tc>
          <w:tcPr>
            <w:tcW w:w="3000" w:type="dxa"/>
            <w:vAlign w:val="bottom"/>
          </w:tcPr>
          <w:p>
            <w:pPr>
              <w:spacing w:after="0"/>
              <w:rPr>
                <w:sz w:val="19"/>
                <w:szCs w:val="19"/>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By:  Easterly  Asset  Management  GP  LLC,  its  general</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partner</w:t>
            </w:r>
          </w:p>
        </w:tc>
        <w:tc>
          <w:tcPr>
            <w:tcW w:w="4180" w:type="dxa"/>
            <w:vAlign w:val="bottom"/>
          </w:tcPr>
          <w:p>
            <w:pPr>
              <w:spacing w:after="0"/>
              <w:rPr>
                <w:sz w:val="22"/>
                <w:szCs w:val="22"/>
                <w:color w:val="auto"/>
              </w:rPr>
            </w:pP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6"/>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13"/>
        </w:trPr>
        <w:tc>
          <w:tcPr>
            <w:tcW w:w="3000" w:type="dxa"/>
            <w:vAlign w:val="bottom"/>
          </w:tcPr>
          <w:p>
            <w:pPr>
              <w:spacing w:after="0"/>
              <w:rPr>
                <w:sz w:val="24"/>
                <w:szCs w:val="24"/>
                <w:color w:val="auto"/>
              </w:rPr>
            </w:pPr>
          </w:p>
        </w:tc>
        <w:tc>
          <w:tcPr>
            <w:tcW w:w="57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EASTERLY ASSET MANAGEMENT GP LLC</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7"/>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11"/>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 Darrell Crate</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Darrell Crate</w:t>
            </w:r>
          </w:p>
        </w:tc>
      </w:tr>
      <w:tr>
        <w:trPr>
          <w:trHeight w:val="498"/>
        </w:trPr>
        <w:tc>
          <w:tcPr>
            <w:tcW w:w="30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 John Murphy</w:t>
            </w:r>
          </w:p>
        </w:tc>
      </w:tr>
      <w:tr>
        <w:trPr>
          <w:trHeight w:val="258"/>
        </w:trPr>
        <w:tc>
          <w:tcPr>
            <w:tcW w:w="3000" w:type="dxa"/>
            <w:vAlign w:val="bottom"/>
          </w:tcPr>
          <w:p>
            <w:pPr>
              <w:spacing w:after="0"/>
              <w:rPr>
                <w:sz w:val="22"/>
                <w:szCs w:val="22"/>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John Murphy</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1"/>
    </w:lvl>
    <w:lvl w:ilvl="1">
      <w:lvlJc w:val="left"/>
      <w:lvlText w:val="%2."/>
      <w:numFmt w:val="decimal"/>
      <w:start w:val="7"/>
    </w:lvl>
  </w:abstractNum>
  <w:abstractNum w:abstractNumId="4">
    <w:nsid w:val="71F32454"/>
    <w:multiLevelType w:val="hybridMultilevel"/>
    <w:lvl w:ilvl="0">
      <w:lvlJc w:val="left"/>
      <w:lvlText w:val="%1."/>
      <w:numFmt w:val="decimal"/>
      <w:start w:val="9"/>
    </w:lvl>
    <w:lvl w:ilvl="1">
      <w:lvlJc w:val="left"/>
      <w:lvlText w:val="%2"/>
      <w:numFmt w:val="decimal"/>
      <w:start w:val="1"/>
    </w:lvl>
  </w:abstractNum>
  <w:abstractNum w:abstractNumId="5">
    <w:nsid w:val="2CA88611"/>
    <w:multiLevelType w:val="hybridMultilevel"/>
    <w:lvl w:ilvl="0">
      <w:lvlJc w:val="left"/>
      <w:lvlText w:val="%1."/>
      <w:numFmt w:val="decimal"/>
      <w:start w:val="1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decimal"/>
      <w:start w:val="1"/>
    </w:lvl>
    <w:lvl w:ilvl="1">
      <w:lvlJc w:val="left"/>
      <w:lvlText w:val="%2."/>
      <w:numFmt w:val="decimal"/>
      <w:start w:val="7"/>
    </w:lvl>
  </w:abstractNum>
  <w:abstractNum w:abstractNumId="8">
    <w:nsid w:val="3A95F874"/>
    <w:multiLevelType w:val="hybridMultilevel"/>
    <w:lvl w:ilvl="0">
      <w:lvlJc w:val="left"/>
      <w:lvlText w:val="%1."/>
      <w:numFmt w:val="decimal"/>
      <w:start w:val="9"/>
    </w:lvl>
    <w:lvl w:ilvl="1">
      <w:lvlJc w:val="left"/>
      <w:lvlText w:val="%2"/>
      <w:numFmt w:val="decimal"/>
      <w:start w:val="1"/>
    </w:lvl>
  </w:abstractNum>
  <w:abstractNum w:abstractNumId="9">
    <w:nsid w:val="8138641"/>
    <w:multiLevelType w:val="hybridMultilevel"/>
    <w:lvl w:ilvl="0">
      <w:lvlJc w:val="left"/>
      <w:lvlText w:val="%1."/>
      <w:numFmt w:val="decimal"/>
      <w:start w:val="11"/>
    </w:lvl>
  </w:abstractNum>
  <w:abstractNum w:abstractNumId="10">
    <w:nsid w:val="1E7FF521"/>
    <w:multiLevelType w:val="hybridMultilevel"/>
    <w:lvl w:ilvl="0">
      <w:lvlJc w:val="left"/>
      <w:lvlText w:val="%1."/>
      <w:numFmt w:val="decimal"/>
      <w:start w:val="2"/>
    </w:lvl>
  </w:abstractNum>
  <w:abstractNum w:abstractNumId="11">
    <w:nsid w:val="7C3DBD3D"/>
    <w:multiLevelType w:val="hybridMultilevel"/>
    <w:lvl w:ilvl="0">
      <w:lvlJc w:val="left"/>
      <w:lvlText w:val="%1"/>
      <w:numFmt w:val="decimal"/>
      <w:start w:val="1"/>
    </w:lvl>
    <w:lvl w:ilvl="1">
      <w:lvlJc w:val="left"/>
      <w:lvlText w:val="%2."/>
      <w:numFmt w:val="decimal"/>
      <w:start w:val="7"/>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2"/>
    </w:lvl>
  </w:abstractNum>
  <w:abstractNum w:abstractNumId="16">
    <w:nsid w:val="3006C83E"/>
    <w:multiLevelType w:val="hybridMultilevel"/>
    <w:lvl w:ilvl="0">
      <w:lvlJc w:val="left"/>
      <w:lvlText w:val="%1"/>
      <w:numFmt w:val="decimal"/>
      <w:start w:val="1"/>
    </w:lvl>
    <w:lvl w:ilvl="1">
      <w:lvlJc w:val="left"/>
      <w:lvlText w:val="%2."/>
      <w:numFmt w:val="decimal"/>
      <w:start w:val="7"/>
    </w:lvl>
  </w:abstractNum>
  <w:abstractNum w:abstractNumId="17">
    <w:nsid w:val="614FD4A1"/>
    <w:multiLevelType w:val="hybridMultilevel"/>
    <w:lvl w:ilvl="0">
      <w:lvlJc w:val="left"/>
      <w:lvlText w:val="%1."/>
      <w:numFmt w:val="decimal"/>
      <w:start w:val="9"/>
    </w:lvl>
    <w:lvl w:ilvl="1">
      <w:lvlJc w:val="left"/>
      <w:lvlText w:val="%2"/>
      <w:numFmt w:val="decimal"/>
      <w:start w:val="1"/>
    </w:lvl>
  </w:abstractNum>
  <w:abstractNum w:abstractNumId="18">
    <w:nsid w:val="419AC241"/>
    <w:multiLevelType w:val="hybridMultilevel"/>
    <w:lvl w:ilvl="0">
      <w:lvlJc w:val="left"/>
      <w:lvlText w:val="%1."/>
      <w:numFmt w:val="decimal"/>
      <w:start w:val="1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2"/>
    </w:lvl>
  </w:abstractNum>
  <w:abstractNum w:abstractNumId="21">
    <w:nsid w:val="5072367"/>
    <w:multiLevelType w:val="hybridMultilevel"/>
    <w:lvl w:ilvl="0">
      <w:lvlJc w:val="left"/>
      <w:lvlText w:val="%1"/>
      <w:numFmt w:val="decimal"/>
      <w:start w:val="1"/>
    </w:lvl>
    <w:lvl w:ilvl="1">
      <w:lvlJc w:val="left"/>
      <w:lvlText w:val="%2."/>
      <w:numFmt w:val="decimal"/>
      <w:start w:val="7"/>
    </w:lvl>
  </w:abstractNum>
  <w:abstractNum w:abstractNumId="22">
    <w:nsid w:val="3804823E"/>
    <w:multiLevelType w:val="hybridMultilevel"/>
    <w:lvl w:ilvl="0">
      <w:lvlJc w:val="left"/>
      <w:lvlText w:val="%1."/>
      <w:numFmt w:val="decimal"/>
      <w:start w:val="9"/>
    </w:lvl>
    <w:lvl w:ilvl="1">
      <w:lvlJc w:val="left"/>
      <w:lvlText w:val="%2"/>
      <w:numFmt w:val="decimal"/>
      <w:start w:val="1"/>
    </w:lvl>
  </w:abstractNum>
  <w:abstractNum w:abstractNumId="23">
    <w:nsid w:val="77465F01"/>
    <w:multiLevelType w:val="hybridMultilevel"/>
    <w:lvl w:ilvl="0">
      <w:lvlJc w:val="left"/>
      <w:lvlText w:val="%1."/>
      <w:numFmt w:val="decimal"/>
      <w:start w:val="1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1"/>
    </w:lvl>
    <w:lvl w:ilvl="1">
      <w:lvlJc w:val="left"/>
      <w:lvlText w:val="%2."/>
      <w:numFmt w:val="decimal"/>
      <w:start w:val="7"/>
    </w:lvl>
  </w:abstractNum>
  <w:abstractNum w:abstractNumId="27">
    <w:nsid w:val="5E884ADC"/>
    <w:multiLevelType w:val="hybridMultilevel"/>
    <w:lvl w:ilvl="0">
      <w:lvlJc w:val="left"/>
      <w:lvlText w:val="%1."/>
      <w:numFmt w:val="decimal"/>
      <w:start w:val="9"/>
    </w:lvl>
    <w:lvl w:ilvl="1">
      <w:lvlJc w:val="left"/>
      <w:lvlText w:val="%2"/>
      <w:numFmt w:val="decimal"/>
      <w:start w:val="1"/>
    </w:lvl>
  </w:abstractNum>
  <w:abstractNum w:abstractNumId="28">
    <w:nsid w:val="51EAD36B"/>
    <w:multiLevelType w:val="hybridMultilevel"/>
    <w:lvl w:ilvl="0">
      <w:lvlJc w:val="left"/>
      <w:lvlText w:val="%1."/>
      <w:numFmt w:val="decimal"/>
      <w:start w:val="11"/>
    </w:lvl>
  </w:abstractNum>
  <w:abstractNum w:abstractNumId="29">
    <w:nsid w:val="2D517796"/>
    <w:multiLevelType w:val="hybridMultilevel"/>
    <w:lvl w:ilvl="0">
      <w:lvlJc w:val="left"/>
      <w:lvlText w:val="%1."/>
      <w:numFmt w:val="decimal"/>
      <w:start w:val="2"/>
    </w:lvl>
    <w:lvl w:ilvl="1">
      <w:lvlJc w:val="left"/>
      <w:lvlText w:val="%2."/>
      <w:numFmt w:val="decimal"/>
      <w:start w:val="4"/>
    </w:lvl>
  </w:abstractNum>
  <w:abstractNum w:abstractNumId="30">
    <w:nsid w:val="580BD78F"/>
    <w:multiLevelType w:val="hybridMultilevel"/>
    <w:lvl w:ilvl="0">
      <w:lvlJc w:val="left"/>
      <w:lvlText w:val="%1"/>
      <w:numFmt w:val="decimal"/>
      <w:start w:val="1"/>
    </w:lvl>
    <w:lvl w:ilvl="1">
      <w:lvlJc w:val="left"/>
      <w:lvlText w:val="%2."/>
      <w:numFmt w:val="decimal"/>
      <w:start w:val="7"/>
    </w:lvl>
  </w:abstractNum>
  <w:abstractNum w:abstractNumId="31">
    <w:nsid w:val="153EA438"/>
    <w:multiLevelType w:val="hybridMultilevel"/>
    <w:lvl w:ilvl="0">
      <w:lvlJc w:val="left"/>
      <w:lvlText w:val="%1."/>
      <w:numFmt w:val="decimal"/>
      <w:start w:val="9"/>
    </w:lvl>
    <w:lvl w:ilvl="1">
      <w:lvlJc w:val="left"/>
      <w:lvlText w:val="%2"/>
      <w:numFmt w:val="decimal"/>
      <w:start w:val="1"/>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decimal"/>
      <w:start w:val="1"/>
    </w:lvl>
    <w:lvl w:ilvl="1">
      <w:lvlJc w:val="left"/>
      <w:lvlText w:val="%2."/>
      <w:numFmt w:val="decimal"/>
      <w:start w:val="7"/>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7"/>
    </w:lvl>
  </w:abstractNum>
  <w:abstractNum w:abstractNumId="42">
    <w:nsid w:val="542289EC"/>
    <w:multiLevelType w:val="hybridMultilevel"/>
    <w:lvl w:ilvl="0">
      <w:lvlJc w:val="left"/>
      <w:lvlText w:val="(%1)"/>
      <w:numFmt w:val="lowerLetter"/>
      <w:start w:val="1"/>
    </w:lvl>
    <w:lvl w:ilvl="1">
      <w:lvlJc w:val="left"/>
      <w:lvlText w:val="(%2)"/>
      <w:numFmt w:val="lowerRoman"/>
      <w:start w:val="1"/>
    </w:lvl>
  </w:abstractNum>
  <w:abstractNum w:abstractNumId="43">
    <w:nsid w:val="6DE91B18"/>
    <w:multiLevelType w:val="hybridMultilevel"/>
    <w:lvl w:ilvl="0">
      <w:lvlJc w:val="left"/>
      <w:lvlText w:val="(%1)"/>
      <w:numFmt w:val="lowerLetter"/>
      <w:start w:val="1"/>
    </w:lvl>
    <w:lvl w:ilvl="1">
      <w:lvlJc w:val="left"/>
      <w:lvlText w:val="(%2)"/>
      <w:numFmt w:val="lowerRoman"/>
      <w:start w:val="1"/>
    </w:lvl>
  </w:abstractNum>
  <w:abstractNum w:abstractNumId="44">
    <w:nsid w:val="38437FDB"/>
    <w:multiLevelType w:val="hybridMultilevel"/>
    <w:lvl w:ilvl="0">
      <w:lvlJc w:val="left"/>
      <w:lvlText w:val="(%1)"/>
      <w:numFmt w:val="lowerLetter"/>
      <w:start w:val="1"/>
    </w:lvl>
    <w:lvl w:ilvl="1">
      <w:lvlJc w:val="left"/>
      <w:lvlText w:val="(%2)"/>
      <w:numFmt w:val="lowerRoman"/>
      <w:start w:val="1"/>
    </w:lvl>
  </w:abstractNum>
  <w:abstractNum w:abstractNumId="45">
    <w:nsid w:val="7644A45C"/>
    <w:multiLevelType w:val="hybridMultilevel"/>
    <w:lvl w:ilvl="0">
      <w:lvlJc w:val="left"/>
      <w:lvlText w:val="(%1)"/>
      <w:numFmt w:val="lowerLetter"/>
      <w:start w:val="1"/>
    </w:lvl>
    <w:lvl w:ilvl="1">
      <w:lvlJc w:val="left"/>
      <w:lvlText w:val="(%2)"/>
      <w:numFmt w:val="lowerRoman"/>
      <w:start w:val="1"/>
    </w:lvl>
  </w:abstractNum>
  <w:abstractNum w:abstractNumId="46">
    <w:nsid w:val="32FFF902"/>
    <w:multiLevelType w:val="hybridMultilevel"/>
    <w:lvl w:ilvl="0">
      <w:lvlJc w:val="left"/>
      <w:lvlText w:val="(%1)"/>
      <w:numFmt w:val="lowerLetter"/>
      <w:start w:val="1"/>
    </w:lvl>
    <w:lvl w:ilvl="1">
      <w:lvlJc w:val="left"/>
      <w:lvlText w:val="(%2)"/>
      <w:numFmt w:val="lowerRoman"/>
      <w:start w:val="1"/>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Letter"/>
      <w:start w:val="1"/>
    </w:lvl>
    <w:lvl w:ilvl="1">
      <w:lvlJc w:val="left"/>
      <w:lvlText w:val="(%2)"/>
      <w:numFmt w:val="lowerRoman"/>
      <w:start w:val="1"/>
    </w:lvl>
  </w:abstractNum>
  <w:abstractNum w:abstractNumId="49">
    <w:nsid w:val="749ABB4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2021-02-16T11:40:02Z</dcterms:created>
  <dcterms:modified xsi:type="dcterms:W3CDTF">2021-02-16T11:40:02Z</dcterms:modified>
</cp:coreProperties>
</file>