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634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34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Khadder Nicholas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Gen. Counsel &amp; Secretary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60" w:space="5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101,454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14,161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97,139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9,846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-2717165</wp:posOffset>
            </wp:positionV>
            <wp:extent cx="29210" cy="2722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22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23, 2020, the Reporting Person was granted 65,000 Restricted Stock Units vesting as to 1/4th of the total number of shares on May 20, 2021, and as to 1/16th of the total number of shares each quarter thereafter.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23, 2020, the Reporting Person was granted 60,000 Restricted Stock Units vesting as to 1/2 of the total number of shares on May 20, 2021, and as to 1/4th of the total number of shares on each of May 20, 2022 and May 20, 2023.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20, 2021, the Reporting Person was granted 39,387 Restricted Stock Units vesting as to 1/4 of the total number of shares on May 20, 2022, and as to 1/16th of the total number of shares each quarter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Nicholas Khadder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05/23/2022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891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2022-05-23T19:21:54Z</dcterms:created>
  <dcterms:modified xsi:type="dcterms:W3CDTF">2022-05-23T19:21:54Z</dcterms:modified>
</cp:coreProperties>
</file>