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7821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82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60" w:space="563"/>
            <w:col w:w="3357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221,904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16,666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238,570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240,808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243,199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246,329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28,707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2.03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217,622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16,666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183,334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9,563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28,176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-3422650</wp:posOffset>
            </wp:positionV>
            <wp:extent cx="29210" cy="342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42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full on February 20, 2023 or the date the Reporting Person's employment with the Company is terminated involuntarily without "cause."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20, 2022, the Reporting Person was granted 200,000 Restricted Stock Units vesting in quarterly installments over the course of three years commencing February 20, 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2020, the Reporting Person was granted 38,250 Restricted Stock Units vesting as to 1/4th of the underlying shares on February 20, 2021, and as to 1/16th of the total number of shares each quarter thereafter.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20, 2021, the Reporting Person was granted 50,089 Restricted Stock Units vesting as to 1/4 of the total number of shares on May 20, 2022,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Vikram Jog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02/23/2023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2023-02-23T19:47:36Z</dcterms:created>
  <dcterms:modified xsi:type="dcterms:W3CDTF">2023-02-23T19:47:36Z</dcterms:modified>
</cp:coreProperties>
</file>