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Fluidigm Corporation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2820" w:space="720"/>
            <w:col w:w="3140"/>
          </w:cols>
          <w:pgMar w:left="240" w:top="697" w:right="2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332"/>
        <w:spacing w:after="0" w:line="509"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28"/>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427"/>
        </w:trPr>
        <w:tc>
          <w:tcPr>
            <w:tcW w:w="4480" w:type="dxa"/>
            <w:vAlign w:val="bottom"/>
            <w:tcBorders>
              <w:left w:val="single" w:sz="8" w:color="auto"/>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2"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On March 4, 2020, Fluidigm Corporation (the “Company”) entered into an Open Market Sale Agreement</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(the “Sale Agreement”) with Jefferies LLC (“Jefferies”) to sell shares of the Company’s common stock, par value $0.001 per share, having aggregate sales proceeds of up to $50,000,000, from time to time, through an “at the market” equity offering program under which Jefferies will act as sales agent.</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Sale Agreement, the Company will set the parameters for the sale of shares, including the number of shares to be issued, the time period during which sales are requested to be made, limitation on the number of shares that may be sold in any one trading day, and any minimum price below which sales may not be made. Subject to the terms and conditions of the Sale Agreement, Jefferies may sell the shares by methods deemed to be an “at-the-market” offering as defined in Rule 415(a)(4) promulgated under the Securities Act of 1933, as amended, including sales made directly on The Nasdaq Global Select Market or on any other existing trading market for the common stock. Jefferies will use commercially reasonable efforts in conducting such sales activities consistent with its normal trading and sales practices, applicable state and federal laws, rules and regulations and the rules of The Nasdaq Stock Market LLC. The Company and Jefferies may each terminate the Sale Agreement upon prior notice. Under the terms of the Sale Agreement, the Company may also sell shares to Jefferies acting as principal for Jefferies’ own account.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to Jefferies for sales of the Company’s common stock will be an amount equal to 3.0% of the gross proceeds of any shares of common stock sold under the Sale Agreement. The Company has no obligation to sell any shares under the Sale Agreement, and may at any time suspend solicitation and offers under the Sale Agreement. Further, as of the date hereof, the Company has no agreements or commitments to sell any shares under the Sale Agreement and no current intention to utilize the “at the market” equity offering program. The Company may utilize the Sale Agreement to permit it to sell shares in the future. Any sales by the Company under the Sale Agreement will be on terms and subject to conditions approved by our Board of Directors or an authorized committee thereof.</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will be issued pursuant to the Company’s effective shelf registration statement on Form S-3 (File No. 333-230383), as amended. On the date hereof, the Company will file a prospectus supplement with the Securities and Exchange Commission in connection with the offer and sale of the shares pursuant to the Sale Agreement.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Sale Agreement is not complete and is qualified in its entirety by reference to the full text of such agreement, a copy of which is filed herewith as Exhibit 1.1 to this Current Report on Form 8-K and is incorporated herein by reference.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legal opinion of Wilson Sonsini Goodrich &amp; Rosati, Professional Corporation relating to the shares of common stock being offered is filed as Exhibit 5.1 to this Current Report on Form 8-K.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Current Report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420"/>
          </w:cols>
          <w:pgMar w:left="240" w:top="904"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Exhibits</w:t>
      </w:r>
      <w:r>
        <w:rPr>
          <w:rFonts w:ascii="Arial" w:cs="Arial" w:eastAsia="Arial" w:hAnsi="Arial"/>
          <w:sz w:val="17"/>
          <w:szCs w:val="17"/>
          <w:color w:val="auto"/>
        </w:rPr>
        <w:t>.</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Exhibit No.</w:t>
      </w:r>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17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0"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5.1</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23.1</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423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Open Market Sale Agreement</w:t>
        </w:r>
        <w:r>
          <w:rPr>
            <w:rFonts w:ascii="Arial" w:cs="Arial" w:eastAsia="Arial" w:hAnsi="Arial"/>
            <w:sz w:val="26"/>
            <w:szCs w:val="26"/>
            <w:u w:val="single" w:color="auto"/>
            <w:color w:val="0000EE"/>
            <w:vertAlign w:val="superscript"/>
          </w:rPr>
          <w:t>SM</w:t>
        </w:r>
        <w:r>
          <w:rPr>
            <w:rFonts w:ascii="Arial" w:cs="Arial" w:eastAsia="Arial" w:hAnsi="Arial"/>
            <w:sz w:val="16"/>
            <w:szCs w:val="16"/>
            <w:u w:val="single" w:color="auto"/>
            <w:color w:val="0000EE"/>
          </w:rPr>
          <w:t>, dated as of March 4, 2020, between Fluidigm Corporation and Jefferies LLC.</w:t>
        </w:r>
      </w:hyperlink>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Opinion of Wilson Sonsini Goodrich &amp; Rosati, Professional Corporation.</w:t>
        </w:r>
      </w:hyperlink>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Consent of Wilson Sonsini Goodrich &amp; Rosati, Professional Corporation (included in Exhibit 5.1).</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451485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940" w:space="360"/>
            <w:col w:w="10120"/>
          </w:cols>
          <w:pgMar w:left="240" w:top="904"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March 4, 2020</w:t>
            </w:r>
          </w:p>
        </w:tc>
        <w:tc>
          <w:tcPr>
            <w:tcW w:w="7840" w:type="dxa"/>
            <w:vAlign w:val="bottom"/>
            <w:gridSpan w:val="2"/>
          </w:tcPr>
          <w:p>
            <w:pPr>
              <w:ind w:left="2020"/>
              <w:spacing w:after="0"/>
              <w:rPr>
                <w:sz w:val="20"/>
                <w:szCs w:val="20"/>
                <w:color w:val="auto"/>
              </w:rPr>
            </w:pPr>
            <w:r>
              <w:rPr>
                <w:rFonts w:ascii="Arial" w:cs="Arial" w:eastAsia="Arial" w:hAnsi="Arial"/>
                <w:sz w:val="18"/>
                <w:szCs w:val="18"/>
                <w:color w:val="auto"/>
              </w:rPr>
              <w:t>By: /s/ Nicholas Khadder</w:t>
            </w:r>
          </w:p>
        </w:tc>
      </w:tr>
      <w:tr>
        <w:trPr>
          <w:trHeight w:val="195"/>
        </w:trPr>
        <w:tc>
          <w:tcPr>
            <w:tcW w:w="3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Nicholas Khadder</w:t>
            </w:r>
          </w:p>
        </w:tc>
      </w:tr>
      <w:tr>
        <w:trPr>
          <w:trHeight w:val="230"/>
        </w:trPr>
        <w:tc>
          <w:tcPr>
            <w:tcW w:w="3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675"/>
        </w:trPr>
        <w:tc>
          <w:tcPr>
            <w:tcW w:w="3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30"/>
          <w:szCs w:val="30"/>
          <w:b w:val="1"/>
          <w:bCs w:val="1"/>
          <w:color w:val="auto"/>
          <w:vertAlign w:val="superscript"/>
        </w:rPr>
        <w:t>SM</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Fluidigm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subject to the terms and conditions stated herein, to issue and sell from time to time through Jefferies LLC, as sales agent and/or principal (the “</w:t>
      </w:r>
      <w:r>
        <w:rPr>
          <w:rFonts w:ascii="Arial" w:cs="Arial" w:eastAsia="Arial" w:hAnsi="Arial"/>
          <w:sz w:val="17"/>
          <w:szCs w:val="17"/>
          <w:b w:val="1"/>
          <w:bCs w:val="1"/>
          <w:color w:val="auto"/>
        </w:rPr>
        <w:t>Agent</w:t>
      </w:r>
      <w:r>
        <w:rPr>
          <w:rFonts w:ascii="Arial" w:cs="Arial" w:eastAsia="Arial" w:hAnsi="Arial"/>
          <w:sz w:val="17"/>
          <w:szCs w:val="17"/>
          <w:color w:val="auto"/>
        </w:rPr>
        <w:t>”), shares of the Company’s common stock, par value $0.001 per share (the “</w:t>
      </w:r>
      <w:r>
        <w:rPr>
          <w:rFonts w:ascii="Arial" w:cs="Arial" w:eastAsia="Arial" w:hAnsi="Arial"/>
          <w:sz w:val="17"/>
          <w:szCs w:val="17"/>
          <w:b w:val="1"/>
          <w:bCs w:val="1"/>
          <w:color w:val="auto"/>
        </w:rPr>
        <w:t>Common Shares</w:t>
      </w:r>
      <w:r>
        <w:rPr>
          <w:rFonts w:ascii="Arial" w:cs="Arial" w:eastAsia="Arial" w:hAnsi="Arial"/>
          <w:sz w:val="17"/>
          <w:szCs w:val="17"/>
          <w:color w:val="auto"/>
        </w:rPr>
        <w:t>”), having an aggregate offering price of up to $50,000,000 on the terms set forth in 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229" w:lineRule="exact"/>
        <w:rPr>
          <w:sz w:val="20"/>
          <w:szCs w:val="20"/>
          <w:color w:val="auto"/>
        </w:rPr>
      </w:pPr>
    </w:p>
    <w:p>
      <w:pPr>
        <w:ind w:left="1540" w:hanging="884"/>
        <w:spacing w:after="0"/>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capitalized terms used herein and not otherwise defined shall have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respective meanings: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SM</w:t>
      </w:r>
      <w:r>
        <w:rPr>
          <w:rFonts w:ascii="Arial" w:cs="Arial" w:eastAsia="Arial" w:hAnsi="Arial"/>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 per Share.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the sale of which is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 or such other national securities exchange on which the Common Shares, including any Shares, are then listed.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Company’s Common Shares issued or issuable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represents and warrants to, and agrees with, the Agent that, unless such representation, warranty or agreement specifies otherwise, as of (1) the date of this Agreement, (2) each Issuance Notice Date, (3) each Settlement Date, (4) each Triggering Event Date (as defined below) with respect to which the Company is required to deliver a certificate pursuant to Section 4(o) and (5) as of each Time of Sale (each of the times referenced above is referred to herein as a “</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Prospectus (including any documents incorporated by reference therein and any supplements thereto) on or before a Representation Date:</w:t>
      </w:r>
    </w:p>
    <w:p>
      <w:pPr>
        <w:spacing w:after="0" w:line="188" w:lineRule="exact"/>
        <w:rPr>
          <w:sz w:val="20"/>
          <w:szCs w:val="20"/>
          <w:color w:val="auto"/>
        </w:rPr>
      </w:pPr>
    </w:p>
    <w:p>
      <w:pPr>
        <w:jc w:val="both"/>
        <w:ind w:firstLine="656"/>
        <w:spacing w:after="0" w:line="286" w:lineRule="auto"/>
        <w:tabs>
          <w:tab w:leader="none" w:pos="140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prepared and filed with the Commission a shelf registration statement on Form S-3 (File No. 333-230383)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or deliver or make available (and all other similar references) copies of any report or statement shall be deemed satisfied if the same is filed with the Commission through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ind w:firstLine="648"/>
        <w:spacing w:after="0" w:line="259" w:lineRule="auto"/>
        <w:rPr>
          <w:sz w:val="20"/>
          <w:szCs w:val="20"/>
          <w:color w:val="auto"/>
        </w:rPr>
      </w:pPr>
      <w:r>
        <w:rPr>
          <w:rFonts w:ascii="Arial" w:cs="Arial" w:eastAsia="Arial" w:hAnsi="Arial"/>
          <w:sz w:val="18"/>
          <w:szCs w:val="18"/>
          <w:color w:val="auto"/>
        </w:rPr>
        <w:t>At the time the Registration Statement was or will be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87" w:lineRule="exact"/>
        <w:rPr>
          <w:sz w:val="20"/>
          <w:szCs w:val="20"/>
          <w:color w:val="auto"/>
        </w:rPr>
      </w:pPr>
    </w:p>
    <w:p>
      <w:pPr>
        <w:jc w:val="both"/>
        <w:ind w:firstLine="656"/>
        <w:spacing w:after="0" w:line="276" w:lineRule="auto"/>
        <w:tabs>
          <w:tab w:leader="none" w:pos="158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Original Registration Statement and any Rule 462(b) Registration Statement have been deemed automatically effective or been declared effective by the Commission, as applicable, under the Securities Act. The Company has complied to the Commission’s satisfaction with all requests of the Commission for additional or supplemental information, if any. No stop order suspending the effectiveness of the Registration Statement, or any post-effective amendment thereto, or any Rule 462(b) Registration Statement is in effect and no proceedings for such purpose have been instituted or are pending or, to the knowledge of the Company, are contemplated or threatened by the Commission.</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Prospectus when filed complied, and as amended or supplemented, if applicable, will comply,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or supplement thereto, at the time it became effective, at each Time of Sale (as defined below), if any, and as of each Settlement Date, if any,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at each Time of Sale (as defined below), if any, and as of each Settlement Date, if any,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 The Company has delivered to the Agent conformed copies of the Prospectus, as amended or supplemented, in such quantities and at such places as the Agent has reasonably requested.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left="-20" w:firstLine="656"/>
        <w:spacing w:after="0" w:line="270" w:lineRule="auto"/>
        <w:tabs>
          <w:tab w:leader="none" w:pos="147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at each Time of Sale (as defined below), if any, and as of each Settlement Date, if any, did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w:t>
      </w:r>
    </w:p>
    <w:p>
      <w:pPr>
        <w:spacing w:after="0" w:line="177" w:lineRule="exact"/>
        <w:rPr>
          <w:rFonts w:ascii="Arial" w:cs="Arial" w:eastAsia="Arial" w:hAnsi="Arial"/>
          <w:sz w:val="17"/>
          <w:szCs w:val="17"/>
          <w:color w:val="auto"/>
        </w:rPr>
      </w:pPr>
    </w:p>
    <w:p>
      <w:pPr>
        <w:jc w:val="both"/>
        <w:ind w:left="-20" w:firstLine="656"/>
        <w:spacing w:after="0" w:line="286"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 corporation in good standing under the laws of the State of Delaware, with corporate power and authority to own or lease its properties and conduct its business as described in the Registration Statement and the Prospectus. The Company has no subsidiaries other than InstruNor AS and the subsidiaries listed in Exhibit 21.1 to Item 15 of its most recent Annual Report on Form 10-K filed with the Commission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Each of the Subsidiaries has been duly organized and is validly existing as a corporation, limited liability company or similar entity in good standing (to the extent that the concept of “good standing” exists in a specified jurisdiction) under the laws of its jurisdiction of organization, with requisite power and authority to own or lease its properties and conduct its business as described in the Registration Statement and the Prospectus. The Company and each of the Subsidiaries are duly qualified to transact business in all jurisdictions in which the conduct of their business requires such qualification, except where the failure to be so qualified would not either (i) have, individually or in the aggregate, a material adverse effect on the earnings, business, management, properties, assets, rights, operations, condition (financial or otherwise), or prospects of the Company and the Subsidiaries, taken as a whole, or (ii) prevent the consummation of the transactions contemplated hereby (the occurrence of any such effect or any such prevention described in the foregoing clauses (i) and (ii) being referred to as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The outstanding shares of capital stock of each of the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w:t>
      </w:r>
    </w:p>
    <w:p>
      <w:pPr>
        <w:spacing w:after="0" w:line="171" w:lineRule="exact"/>
        <w:rPr>
          <w:rFonts w:ascii="Arial" w:cs="Arial" w:eastAsia="Arial" w:hAnsi="Arial"/>
          <w:sz w:val="16"/>
          <w:szCs w:val="16"/>
          <w:color w:val="auto"/>
        </w:rPr>
      </w:pPr>
    </w:p>
    <w:p>
      <w:pPr>
        <w:jc w:val="both"/>
        <w:ind w:left="-20" w:firstLine="656"/>
        <w:spacing w:after="0" w:line="273" w:lineRule="auto"/>
        <w:tabs>
          <w:tab w:leader="none" w:pos="145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outstanding Common Shares have been duly authorized and validly issued and are fully paid and non-assessable; the Shares to be issued and sold by the Company have been duly authorized and when issued and paid for as contemplated herein will be validly issued, fully paid and non-assessable, will be issued in compliance with all United States federal and state securities laws; and except as waived or terminated prior to the date hereof, no preemptive rights, rights of first refusal or similar rights exist with respect to any of the Shares or the issue and sale thereof. Neither the filing of the Registration Statement nor the offering or sale of the Shares as contemplated by this Agreement gives rise to any rights, other than those which have been waived or satisfied, for or relating to the registration of any Common Shares.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8" w:name="page9"/>
    <w:bookmarkEnd w:id="8"/>
    <w:p>
      <w:pPr>
        <w:jc w:val="both"/>
        <w:ind w:left="-20" w:firstLine="656"/>
        <w:spacing w:after="0" w:line="272" w:lineRule="auto"/>
        <w:tabs>
          <w:tab w:leader="none" w:pos="131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set forth under the caption “Description of Our Capital Stock” in the Prospectus is true and correct in all material respects. All of the Shares conform in all material respects to the description thereof contained in the Registration Statement and the Prospectus. The form of certificates for the Common Shares conforms to the corporate law of the jurisdiction of the Company’s incorporation and to any requirements of the Company’s organizational documents. Subsequent to the respective dates as of which information is given in the Registration Statement and the Prospectus, except as otherwise specifically stated therein or in this Agreement, the Company has not: (i) issued any securities (other than pursuant to the equity incentive plan of the Company or pursuant to the conversion of outstanding convertible notes); (ii) incurred any material liability or obligation, direct or contingent, for borrowed money; or (iii) declared or paid any dividend or made any other distribution on or in respect to its capital stock.</w:t>
      </w:r>
    </w:p>
    <w:p>
      <w:pPr>
        <w:spacing w:after="0" w:line="177" w:lineRule="exact"/>
        <w:rPr>
          <w:rFonts w:ascii="Arial" w:cs="Arial" w:eastAsia="Arial" w:hAnsi="Arial"/>
          <w:sz w:val="17"/>
          <w:szCs w:val="17"/>
          <w:color w:val="auto"/>
        </w:rPr>
      </w:pPr>
    </w:p>
    <w:p>
      <w:pPr>
        <w:jc w:val="both"/>
        <w:ind w:left="-20" w:firstLine="656"/>
        <w:spacing w:after="0" w:line="268" w:lineRule="auto"/>
        <w:tabs>
          <w:tab w:leader="none" w:pos="1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Commission has not issued an order preventing or suspending the use of any Free Writing Prospectus or the Prospectus relating to the proposed offering of the Shares, and no proceeding for that purpose or pursuant to Section 8A of the Securities Act has been instituted or, to the Company’s knowledge, threatened by the Commission. The Registration Statement and the Prospectus contain, and any amendments or supplements thereto will contain, all statements which are required to be stated therein by, and will conform to, the requirements of the Securities Act. The Registration Statement and any amendments thereto do not contain, and will not contain, any untrue statement of a material fact and do not omit, and will not omit, to state a material fact required to be stated therein or necessary to make the statements therein not misleading. The documents incorporated or deemed incorporated by reference in the Registration Statement and the Prospectus, when they became effective or at the time they were or hereafter are filed with the Commission, complied and will comply in all material respects with the requirements of the Exchange Act,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makes no representations or warranties as to information contained in or omitted from the Registration Statement or the Prospectus, or any such amendment or supplement, in reliance upon, and in conformity with, written information furnished to the Company by or on behalf of the Agent, specifically for use therein (which the parties agree is limited to the Agent Information (as defined below).</w:t>
      </w:r>
    </w:p>
    <w:p>
      <w:pPr>
        <w:spacing w:after="0" w:line="187" w:lineRule="exact"/>
        <w:rPr>
          <w:rFonts w:ascii="Arial" w:cs="Arial" w:eastAsia="Arial" w:hAnsi="Arial"/>
          <w:sz w:val="17"/>
          <w:szCs w:val="17"/>
          <w:color w:val="auto"/>
        </w:rPr>
      </w:pPr>
    </w:p>
    <w:p>
      <w:pPr>
        <w:jc w:val="both"/>
        <w:ind w:left="-20" w:firstLine="656"/>
        <w:spacing w:after="0" w:line="286" w:lineRule="auto"/>
        <w:tabs>
          <w:tab w:leader="none" w:pos="153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the Subsidiaries, together with related notes and schedules as set forth or incorporated by reference in the Registration Statement and the Prospectus, present fairly in all material respects the financial position and the results of operations and cash flows of the Company and the consolidated Subsidiaries, at the indicated dates and for the indicated periods. Such financial statements and related schedules have been prepared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throughout the periods involved, except as disclosed therein, and all adjustments necessary for a fair presentation of results for such periods have been made. The summary and selected consolidated financial and statistical data included or incorporated by reference in the Registration Statement and the Prospectus present fairly the information shown therein and such data has been compiled on a basis consistent with the financial statements presented therein and the books and records of the Company. The Company and the Subsidiaries do not have any material liabilities or obligations, direct or contingent (including any off-balance sheet obligations or any “variable interest entities” within the meaning of Financial Accounting Standards Board Interpretation No. 46), not disclosed in the Registration Statement and the Prospectus. The interactive data in eXtensible Business Reporting Language included or incorporated by reference in the Registration Statement fairly presents in all material respects the information called for and has been prepared in accordance with the Commission’s rules and guidelines applicable thereto in all material respects. There are no financial statements (historical or pro forma) that are required to be included in the Registration Statement or the Prospectus that are not included as required.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 w:name="page10"/>
    <w:bookmarkEnd w:id="9"/>
    <w:p>
      <w:pPr>
        <w:jc w:val="both"/>
        <w:ind w:left="-8" w:firstLine="656"/>
        <w:spacing w:after="0" w:line="286" w:lineRule="auto"/>
        <w:tabs>
          <w:tab w:leader="none" w:pos="1404" w:val="left"/>
        </w:tabs>
        <w:numPr>
          <w:ilvl w:val="1"/>
          <w:numId w:val="8"/>
        </w:numPr>
        <w:rPr>
          <w:rFonts w:ascii="Arial" w:cs="Arial" w:eastAsia="Arial" w:hAnsi="Arial"/>
          <w:sz w:val="17"/>
          <w:szCs w:val="17"/>
          <w:color w:val="auto"/>
        </w:rPr>
      </w:pPr>
      <w:r>
        <w:rPr>
          <w:rFonts w:ascii="Arial" w:cs="Arial" w:eastAsia="Arial" w:hAnsi="Arial"/>
          <w:sz w:val="17"/>
          <w:szCs w:val="17"/>
          <w:color w:val="auto"/>
        </w:rPr>
        <w:t>PricewaterhouseCoopers LLP, who have certified certain of the financial statements filed with the Commission as part of, or incorporated by reference in, the Registration Statement and the Prospectus, is an independent registered public accounting firm with respect to the Company and the Subsidiaries within the meaning of the Securities Act and the Public Company Accounting Oversight Board (United States).</w:t>
      </w:r>
    </w:p>
    <w:p>
      <w:pPr>
        <w:spacing w:after="0" w:line="165" w:lineRule="exact"/>
        <w:rPr>
          <w:rFonts w:ascii="Arial" w:cs="Arial" w:eastAsia="Arial" w:hAnsi="Arial"/>
          <w:sz w:val="17"/>
          <w:szCs w:val="17"/>
          <w:color w:val="auto"/>
        </w:rPr>
      </w:pPr>
    </w:p>
    <w:p>
      <w:pPr>
        <w:ind w:left="1492" w:hanging="844"/>
        <w:spacing w:after="0"/>
        <w:tabs>
          <w:tab w:leader="none" w:pos="1492" w:val="left"/>
        </w:tabs>
        <w:numPr>
          <w:ilvl w:val="1"/>
          <w:numId w:val="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and the Prospectus, neither the Company nor any of the Subsidiaries is aware of any</w:t>
      </w:r>
    </w:p>
    <w:p>
      <w:pPr>
        <w:spacing w:after="0" w:line="46" w:lineRule="exact"/>
        <w:rPr>
          <w:rFonts w:ascii="Arial" w:cs="Arial" w:eastAsia="Arial" w:hAnsi="Arial"/>
          <w:sz w:val="16"/>
          <w:szCs w:val="16"/>
          <w:color w:val="auto"/>
        </w:rPr>
      </w:pPr>
    </w:p>
    <w:p>
      <w:pPr>
        <w:ind w:left="-8" w:firstLine="8"/>
        <w:spacing w:after="0" w:line="261"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weakness in its internal control over financial reporting or (ii) change in internal control over financial reporting that has materially affected, or is reasonably likely to materially affect, the Company’s internal control over financial reporting.</w:t>
      </w:r>
    </w:p>
    <w:p>
      <w:pPr>
        <w:spacing w:after="0" w:line="183" w:lineRule="exact"/>
        <w:rPr>
          <w:rFonts w:ascii="Arial" w:cs="Arial" w:eastAsia="Arial" w:hAnsi="Arial"/>
          <w:sz w:val="18"/>
          <w:szCs w:val="18"/>
          <w:color w:val="auto"/>
        </w:rPr>
      </w:pPr>
    </w:p>
    <w:p>
      <w:pPr>
        <w:ind w:left="-8" w:firstLine="656"/>
        <w:spacing w:after="0" w:line="308" w:lineRule="auto"/>
        <w:tabs>
          <w:tab w:leader="none" w:pos="1385"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Company is in compliance in all material respects with all applicable provisions of the Sarbanes-Oxley Act of 2002, as amended, and all rules and regulations promulgated thereunder or supplementing the provisions thereof (the “</w:t>
      </w:r>
      <w:r>
        <w:rPr>
          <w:rFonts w:ascii="Arial" w:cs="Arial" w:eastAsia="Arial" w:hAnsi="Arial"/>
          <w:sz w:val="17"/>
          <w:szCs w:val="17"/>
          <w:b w:val="1"/>
          <w:bCs w:val="1"/>
          <w:color w:val="auto"/>
        </w:rPr>
        <w:t>Sarbanes-Oxley Act</w:t>
      </w:r>
      <w:r>
        <w:rPr>
          <w:rFonts w:ascii="Arial" w:cs="Arial" w:eastAsia="Arial" w:hAnsi="Arial"/>
          <w:sz w:val="17"/>
          <w:szCs w:val="17"/>
          <w:color w:val="auto"/>
        </w:rPr>
        <w:t>”) that are in effect.</w:t>
      </w:r>
    </w:p>
    <w:p>
      <w:pPr>
        <w:spacing w:after="0" w:line="146" w:lineRule="exact"/>
        <w:rPr>
          <w:rFonts w:ascii="Arial" w:cs="Arial" w:eastAsia="Arial" w:hAnsi="Arial"/>
          <w:sz w:val="17"/>
          <w:szCs w:val="17"/>
          <w:color w:val="auto"/>
        </w:rPr>
      </w:pPr>
    </w:p>
    <w:p>
      <w:pPr>
        <w:jc w:val="both"/>
        <w:ind w:left="-8" w:firstLine="656"/>
        <w:spacing w:after="0" w:line="264" w:lineRule="auto"/>
        <w:tabs>
          <w:tab w:leader="none" w:pos="140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There is no action, suit, claim or proceeding pending or, to the knowledge of the Company, threatened against the Company or any of the Subsidiaries before any court or administrative agency or otherwise which if determined adversely to the Company or any of the Subsidiaries would have a Material Adverse Effect, except as set forth in the Registration Statement and the Prospectus.</w:t>
      </w:r>
    </w:p>
    <w:p>
      <w:pPr>
        <w:spacing w:after="0" w:line="181" w:lineRule="exact"/>
        <w:rPr>
          <w:rFonts w:ascii="Arial" w:cs="Arial" w:eastAsia="Arial" w:hAnsi="Arial"/>
          <w:sz w:val="18"/>
          <w:szCs w:val="18"/>
          <w:color w:val="auto"/>
        </w:rPr>
      </w:pPr>
    </w:p>
    <w:p>
      <w:pPr>
        <w:jc w:val="both"/>
        <w:ind w:left="-8" w:firstLine="656"/>
        <w:spacing w:after="0" w:line="297" w:lineRule="auto"/>
        <w:tabs>
          <w:tab w:leader="none" w:pos="1444" w:val="left"/>
        </w:tabs>
        <w:numPr>
          <w:ilvl w:val="1"/>
          <w:numId w:val="9"/>
        </w:numPr>
        <w:rPr>
          <w:rFonts w:ascii="Arial" w:cs="Arial" w:eastAsia="Arial" w:hAnsi="Arial"/>
          <w:sz w:val="16"/>
          <w:szCs w:val="16"/>
          <w:color w:val="auto"/>
        </w:rPr>
      </w:pPr>
      <w:r>
        <w:rPr>
          <w:rFonts w:ascii="Arial" w:cs="Arial" w:eastAsia="Arial" w:hAnsi="Arial"/>
          <w:sz w:val="16"/>
          <w:szCs w:val="16"/>
          <w:color w:val="auto"/>
        </w:rPr>
        <w:t>Neither the Company nor any of the Subsidiaries own any real property. The Company and the Subsidiaries have good title to all of the material properties and assets reflected in the consolidated financial statements hereinabove described or described in the Registration Statement and the Prospectus, subject to no lien, mortgage, pledge, charge or encumbrance of any kind except those reflected in such financial statements or described in the Registration Statement and the Prospectus or which are not material in amount. The Company and the Subsidiaries occupy their leased properties under valid and binding leases conforming in all material respects to the description thereof set forth in the Registration Statement and the Prospectus.</w:t>
      </w:r>
    </w:p>
    <w:p>
      <w:pPr>
        <w:spacing w:after="0" w:line="158" w:lineRule="exact"/>
        <w:rPr>
          <w:rFonts w:ascii="Arial" w:cs="Arial" w:eastAsia="Arial" w:hAnsi="Arial"/>
          <w:sz w:val="16"/>
          <w:szCs w:val="16"/>
          <w:color w:val="auto"/>
        </w:rPr>
      </w:pPr>
    </w:p>
    <w:p>
      <w:pPr>
        <w:jc w:val="both"/>
        <w:ind w:left="-8" w:firstLine="656"/>
        <w:spacing w:after="0" w:line="291" w:lineRule="auto"/>
        <w:tabs>
          <w:tab w:leader="none" w:pos="1327"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and the Subsidiaries have filed all federal, state, local and foreign tax returns (or timely filed applicable extensions therefor) which have been required to be filed and have paid all taxes indicated by such returns and all assessments received by them to the extent that such taxes have become due, except for such taxes as are being contested in good faith and for which an adequate reserve or accrual has been established in accordance with GAAP or which would not, singularly or in the aggregate, have a Material Adverse Effect. The accruals and reserves on the books and records of the Company and the Subsidiaries in respect of tax liabilities for any taxable period are adequate to meet any assessments and related liabilities for any such period, and neither the Company has no knowledge of any actual or proposed additional material tax assessments for any such period. Except as disclosed in the Prospectus, the Company and the Subsidiaries have not incurred any liability for taxes other than in the ordinary course of business.</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0" w:name="page11"/>
    <w:bookmarkEnd w:id="10"/>
    <w:p>
      <w:pPr>
        <w:jc w:val="both"/>
        <w:ind w:left="-20" w:firstLine="656"/>
        <w:spacing w:after="0" w:line="254"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and the Prospectus, as each may be amended or supplemented, there has not been any material adverse change or any development involving a prospective material adverse change in or affecting the earnings, business, management, properties, assets, rights, operations, condition (financial or otherwise), or prospects of the Company and the Subsidiaries taken as a whole, whether or not occurring in the ordinary course of business, and there has not been any material transaction entered into or any material transaction that is probable of being entered into by the Company or the Subsidiaries, other than transactions in the ordinary course of business and changes and transactions described in the Registration Statement and the Prospectus, as each may be amended or supplemented. The Company and the Subsidiaries have no material contingent obligations which are not disclosed in the Company’s financial statements which are included in the Registration Statement and the Prospectus.</w:t>
      </w:r>
    </w:p>
    <w:p>
      <w:pPr>
        <w:spacing w:after="0" w:line="192" w:lineRule="exact"/>
        <w:rPr>
          <w:rFonts w:ascii="Arial" w:cs="Arial" w:eastAsia="Arial" w:hAnsi="Arial"/>
          <w:sz w:val="18"/>
          <w:szCs w:val="18"/>
          <w:color w:val="auto"/>
        </w:rPr>
      </w:pPr>
    </w:p>
    <w:p>
      <w:pPr>
        <w:jc w:val="both"/>
        <w:ind w:left="-20" w:firstLine="656"/>
        <w:spacing w:after="0" w:line="287" w:lineRule="auto"/>
        <w:tabs>
          <w:tab w:leader="none" w:pos="13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or, with the giving of notice or lapse of time or both, would currently be (i) in violation of its certificate or articles of incorporation, by-laws, certificate of formation, limited liability agreement, partnership agreement or other organizational documents, as applicable, or (ii) in violation of or in default under any agreement, lease, contract, indenture or other instrument or obligation to which it is a party or by which it, or any of its properties, is bound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other than as disclosed in the Registration Statement and the Prospectus, including documents incorporated by reference therein, and, solely with respect to this clause (ii), which violation or default would have a Material Adverse Effect. The execution and delivery of this Agreement and the consummation of the transactions contemplated hereby and the fulfillment of the terms hereof do not and will not conflict with or result in a breach of any of the terms or provisions of, or constitute a default under, any indenture, mortgage, deed of trust or other agreement or instrument to which the Company or any Subsidiary is a party or by which the Company or any Subsidiary or any of their respective properties is bound except as would not, individually or in the aggregate, have a Material Adverse Effect, or of the certificate or articles of incorporation or by-laws of the Company or any law, order, rule or regulation judgment, order, writ or decree applicable to the Company or any Subsidiary of any court or of any government, regulatory body or administrative agency or other governmental body having jurisdiction.</w:t>
      </w:r>
    </w:p>
    <w:p>
      <w:pPr>
        <w:spacing w:after="0" w:line="172" w:lineRule="exact"/>
        <w:rPr>
          <w:rFonts w:ascii="Arial" w:cs="Arial" w:eastAsia="Arial" w:hAnsi="Arial"/>
          <w:sz w:val="16"/>
          <w:szCs w:val="16"/>
          <w:color w:val="auto"/>
        </w:rPr>
      </w:pPr>
    </w:p>
    <w:p>
      <w:pPr>
        <w:ind w:left="-20" w:right="20" w:firstLine="656"/>
        <w:spacing w:after="0" w:line="342" w:lineRule="auto"/>
        <w:tabs>
          <w:tab w:leader="none" w:pos="1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execution and delivery of, and the performance by the Company of its obligations under, this Agreement have been duly and validly authorized by all necessary corporate action on the part of the Company, and this Agreement has been duly executed and delivered by the Company.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 w:name="page12"/>
    <w:bookmarkEnd w:id="11"/>
    <w:p>
      <w:pPr>
        <w:jc w:val="both"/>
        <w:ind w:left="-20" w:firstLine="656"/>
        <w:spacing w:after="0" w:line="257" w:lineRule="auto"/>
        <w:tabs>
          <w:tab w:leader="none" w:pos="16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approval, consent, order, authorization, designation, declaration or filing by or with any regulatory, administrative or other governmental body necessary in connection with the execution and delivery by the Company of this Agreement and the consummation of the transactions contemplated hereby (except such additional steps as may be required by the Commission or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or such additional steps as may be necessary to qualify the Shares for public offering under state securities or Blue Sky laws) has been obtained or made and is in full force and effect.</w:t>
      </w:r>
    </w:p>
    <w:p>
      <w:pPr>
        <w:spacing w:after="0" w:line="184" w:lineRule="exact"/>
        <w:rPr>
          <w:rFonts w:ascii="Arial" w:cs="Arial" w:eastAsia="Arial" w:hAnsi="Arial"/>
          <w:sz w:val="18"/>
          <w:szCs w:val="18"/>
          <w:color w:val="auto"/>
        </w:rPr>
      </w:pPr>
    </w:p>
    <w:p>
      <w:pPr>
        <w:jc w:val="both"/>
        <w:ind w:left="-20" w:firstLine="656"/>
        <w:spacing w:after="0" w:line="256" w:lineRule="auto"/>
        <w:tabs>
          <w:tab w:leader="none" w:pos="15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each of the Subsidiaries hold all licenses, certificates and permits (collectively, “</w:t>
      </w:r>
      <w:r>
        <w:rPr>
          <w:rFonts w:ascii="Arial" w:cs="Arial" w:eastAsia="Arial" w:hAnsi="Arial"/>
          <w:sz w:val="18"/>
          <w:szCs w:val="18"/>
          <w:b w:val="1"/>
          <w:bCs w:val="1"/>
          <w:color w:val="auto"/>
        </w:rPr>
        <w:t>Governmental Licenses</w:t>
      </w:r>
      <w:r>
        <w:rPr>
          <w:rFonts w:ascii="Arial" w:cs="Arial" w:eastAsia="Arial" w:hAnsi="Arial"/>
          <w:sz w:val="18"/>
          <w:szCs w:val="18"/>
          <w:color w:val="auto"/>
        </w:rPr>
        <w:t>”) from governmental authorities which are necessary to the conduct of their respective businesses, except where the failure to hold such licenses, certificates and permits would not have a Material Adverse Effect. The Company and the Subsidiaries are in compliance with the terms and conditions of all Governmental Licenses, and all of the Governmental Licenses are valid and in full force and effect, except where the failure to be in such compliance would not have a Material Adverse Effect. Neither the Company nor any of the Subsidiaries has received any written notice of proceedings relating to the revocation or modification of any Governmental License.</w:t>
      </w:r>
    </w:p>
    <w:p>
      <w:pPr>
        <w:spacing w:after="0" w:line="191" w:lineRule="exact"/>
        <w:rPr>
          <w:rFonts w:ascii="Arial" w:cs="Arial" w:eastAsia="Arial" w:hAnsi="Arial"/>
          <w:sz w:val="18"/>
          <w:szCs w:val="18"/>
          <w:color w:val="auto"/>
        </w:rPr>
      </w:pPr>
    </w:p>
    <w:p>
      <w:pPr>
        <w:jc w:val="both"/>
        <w:ind w:left="-20" w:firstLine="656"/>
        <w:spacing w:after="0" w:line="285" w:lineRule="auto"/>
        <w:tabs>
          <w:tab w:leader="none" w:pos="13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and the Prospectus, the Company and the Subsidiaries each own, possess, have rights to, or can acquire on reasonable terms all material patents, patent rights, trademarks, trade names, service marks, service names, copyrights, license rights, know-how (including trade secrets and other unpatented and unpatentable proprietary or confidential information, systems or procedures) and other intellectual property rights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carry on their respective business, except where the failure to own or possess or inability to acquire on reasonable terms any such Intellectual Property would not have a Material Adverse Effect. There are no outstanding options, licenses or agreements of any kind relating to the Intellectual Property of the Company that are required to be described in the Registration Statement and the Prospectus and that are not described in all material respects. None of the technology employed by the Company or any of the Subsidiaries has been obtained or is being used by the Company in violation of any contractual obligation binding on the Company, any of the Subsidiaries or, to the knowledge of the Company, any of the officers, directors or employees of the Company or any of the Subsidiaries, other than such violations as would not individually or in the aggregate if the subject of an unfavorable decision, ruling or finding, have a Material Adverse Effect. To the Company’s knowledge, neither the Company nor the Subsidiaries has infringed or violated the valid and enforceable Intellectual Property of any other person that would, individually or in the aggregate, have a Material Adverse Effect. Except as described in the Registration Statement and the Prospectus, neither the Company nor any of the Subsidiaries has received any written or oral notice or communications alleging that the Company or any of the Subsidiaries has violated, infringed or conflicted with, or by conducting its business as set forth in the Registration Statement and the Prospectus, would violate, infringe or conflict with, any of the Intellectual Property of any other person or entity, other than such violations, infringements or conflicts which, individually or in the aggregate if the subject of an unfavorable decision, ruling or finding, would not have a Material Adverse Effect. The Company knows of no infringement by others of Intellectual Property owned by or licensed to the Company or any of the Subsidiaries, which would have a Material Adverse Effect.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 w:name="page13"/>
    <w:bookmarkEnd w:id="12"/>
    <w:p>
      <w:pPr>
        <w:jc w:val="both"/>
        <w:ind w:left="-8" w:firstLine="656"/>
        <w:spacing w:after="0" w:line="279" w:lineRule="auto"/>
        <w:tabs>
          <w:tab w:leader="none" w:pos="1507" w:val="left"/>
        </w:tabs>
        <w:numPr>
          <w:ilvl w:val="1"/>
          <w:numId w:val="12"/>
        </w:numPr>
        <w:rPr>
          <w:rFonts w:ascii="Arial" w:cs="Arial" w:eastAsia="Arial" w:hAnsi="Arial"/>
          <w:sz w:val="17"/>
          <w:szCs w:val="17"/>
          <w:color w:val="auto"/>
        </w:rPr>
      </w:pPr>
      <w:r>
        <w:rPr>
          <w:rFonts w:ascii="Arial" w:cs="Arial" w:eastAsia="Arial" w:hAnsi="Arial"/>
          <w:sz w:val="17"/>
          <w:szCs w:val="17"/>
          <w:color w:val="auto"/>
        </w:rPr>
        <w:t>Neither the Company, nor to the Company’s knowledge, any of its Affiliates, has taken or may take, directly or indirectly, any action designed to cause or result in, or which has constituted or which might reasonably be expected to constitute, the stabilization or manipulation of the price of the Common Shares to facilitate the sale or resale of the Shares. The Company acknowledges that the Agent may engage in passive market making transactions in the Common Shares on the Principal Market in accordance with Regulation M under the Exchange Act.</w:t>
      </w:r>
    </w:p>
    <w:p>
      <w:pPr>
        <w:spacing w:after="0" w:line="171" w:lineRule="exact"/>
        <w:rPr>
          <w:rFonts w:ascii="Arial" w:cs="Arial" w:eastAsia="Arial" w:hAnsi="Arial"/>
          <w:sz w:val="17"/>
          <w:szCs w:val="17"/>
          <w:color w:val="auto"/>
        </w:rPr>
      </w:pPr>
    </w:p>
    <w:p>
      <w:pPr>
        <w:jc w:val="both"/>
        <w:ind w:left="-8" w:firstLine="656"/>
        <w:spacing w:after="0" w:line="259" w:lineRule="auto"/>
        <w:tabs>
          <w:tab w:leader="none" w:pos="14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Neither the Company nor any Subsidiary is or, after giving effect to the offering and sale of the Shares contemplated hereunder and the application of the net proceeds from such sale as described in the Registration Statement and the Prospectus, will be required to register as an “investment company” within the meaning of such term under the Investment Company Act of 1940, as amended (the “</w:t>
      </w:r>
      <w:r>
        <w:rPr>
          <w:rFonts w:ascii="Arial" w:cs="Arial" w:eastAsia="Arial" w:hAnsi="Arial"/>
          <w:sz w:val="18"/>
          <w:szCs w:val="18"/>
          <w:b w:val="1"/>
          <w:bCs w:val="1"/>
          <w:color w:val="auto"/>
        </w:rPr>
        <w:t>1940 Act</w:t>
      </w:r>
      <w:r>
        <w:rPr>
          <w:rFonts w:ascii="Arial" w:cs="Arial" w:eastAsia="Arial" w:hAnsi="Arial"/>
          <w:sz w:val="18"/>
          <w:szCs w:val="18"/>
          <w:color w:val="auto"/>
        </w:rPr>
        <w:t>”), and the rules and regulations of the Commission thereunder.</w:t>
      </w:r>
    </w:p>
    <w:p>
      <w:pPr>
        <w:spacing w:after="0" w:line="186" w:lineRule="exact"/>
        <w:rPr>
          <w:rFonts w:ascii="Arial" w:cs="Arial" w:eastAsia="Arial" w:hAnsi="Arial"/>
          <w:sz w:val="18"/>
          <w:szCs w:val="18"/>
          <w:color w:val="auto"/>
        </w:rPr>
      </w:pPr>
    </w:p>
    <w:p>
      <w:pPr>
        <w:ind w:left="1512" w:hanging="864"/>
        <w:spacing w:after="0"/>
        <w:tabs>
          <w:tab w:leader="none" w:pos="1512"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and the Subsidiaries maintain a system of internal accounting controls sufficient to provide reasonable assurances that:</w:t>
      </w:r>
    </w:p>
    <w:p>
      <w:pPr>
        <w:spacing w:after="0" w:line="46" w:lineRule="exact"/>
        <w:rPr>
          <w:rFonts w:ascii="Arial" w:cs="Arial" w:eastAsia="Arial" w:hAnsi="Arial"/>
          <w:sz w:val="16"/>
          <w:szCs w:val="16"/>
          <w:color w:val="auto"/>
        </w:rPr>
      </w:pPr>
    </w:p>
    <w:p>
      <w:pPr>
        <w:jc w:val="both"/>
        <w:ind w:left="-8" w:firstLine="8"/>
        <w:spacing w:after="0" w:line="254"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9" w:lineRule="exact"/>
        <w:rPr>
          <w:rFonts w:ascii="Arial" w:cs="Arial" w:eastAsia="Arial" w:hAnsi="Arial"/>
          <w:sz w:val="18"/>
          <w:szCs w:val="18"/>
          <w:color w:val="auto"/>
        </w:rPr>
      </w:pPr>
    </w:p>
    <w:p>
      <w:pPr>
        <w:jc w:val="both"/>
        <w:ind w:left="-8" w:firstLine="656"/>
        <w:spacing w:after="0" w:line="273" w:lineRule="auto"/>
        <w:tabs>
          <w:tab w:leader="none" w:pos="1399"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Company has established and maintains “disclosure controls and procedures” (as defined in Rules 13a-14(c) and 15d-14(c) under the Exchange Act); the Company’s “disclosure controls and procedures”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regulations of the Exchange Act,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178" w:lineRule="exact"/>
        <w:rPr>
          <w:rFonts w:ascii="Arial" w:cs="Arial" w:eastAsia="Arial" w:hAnsi="Arial"/>
          <w:sz w:val="17"/>
          <w:szCs w:val="17"/>
          <w:color w:val="auto"/>
        </w:rPr>
      </w:pPr>
    </w:p>
    <w:p>
      <w:pPr>
        <w:jc w:val="both"/>
        <w:ind w:left="-8" w:firstLine="656"/>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statistical, industry-related and market-related data included in the Registration Statement and the Prospectus are based on or derived from sources which the Company reasonably and in good faith believes are reliable and accurate, and such data agree with the sources from which they are derived.</w:t>
      </w:r>
    </w:p>
    <w:p>
      <w:pPr>
        <w:spacing w:after="0" w:line="181" w:lineRule="exact"/>
        <w:rPr>
          <w:rFonts w:ascii="Arial" w:cs="Arial" w:eastAsia="Arial" w:hAnsi="Arial"/>
          <w:sz w:val="18"/>
          <w:szCs w:val="18"/>
          <w:color w:val="auto"/>
        </w:rPr>
      </w:pPr>
    </w:p>
    <w:p>
      <w:pPr>
        <w:jc w:val="both"/>
        <w:ind w:left="-8" w:firstLine="656"/>
        <w:spacing w:after="0" w:line="264" w:lineRule="auto"/>
        <w:tabs>
          <w:tab w:leader="none" w:pos="15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and each of the Subsidiaries carry, or are covered by, insurance in such amounts and covering such risks as is in the Company’s reasonable judgement adequate for the conduct of their respective businesses and the value of their respective properties and as is customary for companies engaged in similar businesses.</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3" w:name="page14"/>
    <w:bookmarkEnd w:id="13"/>
    <w:p>
      <w:pPr>
        <w:jc w:val="both"/>
        <w:ind w:left="-20" w:firstLine="656"/>
        <w:spacing w:after="0" w:line="271" w:lineRule="auto"/>
        <w:tabs>
          <w:tab w:leader="none" w:pos="1502"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as otherwise disclosed in the Prospectus, the Company and each Subsidiary is in compliance in all material respects with all presently applicable provisions of the Employee Retirement Income Security Act of 1974, as amended, including the regulations and published interpretations thereunder (“</w:t>
      </w:r>
      <w:r>
        <w:rPr>
          <w:rFonts w:ascii="Arial" w:cs="Arial" w:eastAsia="Arial" w:hAnsi="Arial"/>
          <w:sz w:val="17"/>
          <w:szCs w:val="17"/>
          <w:b w:val="1"/>
          <w:bCs w:val="1"/>
          <w:color w:val="auto"/>
        </w:rPr>
        <w:t>ERISA</w:t>
      </w:r>
      <w:r>
        <w:rPr>
          <w:rFonts w:ascii="Arial" w:cs="Arial" w:eastAsia="Arial" w:hAnsi="Arial"/>
          <w:sz w:val="17"/>
          <w:szCs w:val="17"/>
          <w:color w:val="auto"/>
        </w:rPr>
        <w:t>”); no “reportable event” (as defined in ERISA) has occurred with respect to any “pension plan” (as defined in ERISA) for which the Company and each Subsidiary would have any material liability; the Company and each Subsidiary has not incurred and does not expect to incur liability under (i) Title IV of ERISA with respect to termination of, or withdrawal from, any “pension plan” or (ii) Sections 412 or 4971 of the Internal Revenue Code of 1986, as amended, including the regulations and published interpretations thereunder (the “</w:t>
      </w:r>
      <w:r>
        <w:rPr>
          <w:rFonts w:ascii="Arial" w:cs="Arial" w:eastAsia="Arial" w:hAnsi="Arial"/>
          <w:sz w:val="17"/>
          <w:szCs w:val="17"/>
          <w:b w:val="1"/>
          <w:bCs w:val="1"/>
          <w:color w:val="auto"/>
        </w:rPr>
        <w:t>Code</w:t>
      </w:r>
      <w:r>
        <w:rPr>
          <w:rFonts w:ascii="Arial" w:cs="Arial" w:eastAsia="Arial" w:hAnsi="Arial"/>
          <w:sz w:val="17"/>
          <w:szCs w:val="17"/>
          <w:color w:val="auto"/>
        </w:rPr>
        <w:t>”); and each “pension plan” for which the Company or any Subsidiary would have any liability that is intended to be qualified under Section 401(a) of the Code is so qualified in all material respects and nothing has occurred, whether by action or by failure to act, which would cause the loss of such qualification.</w:t>
      </w:r>
    </w:p>
    <w:p>
      <w:pPr>
        <w:spacing w:after="0" w:line="178" w:lineRule="exact"/>
        <w:rPr>
          <w:rFonts w:ascii="Arial" w:cs="Arial" w:eastAsia="Arial" w:hAnsi="Arial"/>
          <w:sz w:val="17"/>
          <w:szCs w:val="17"/>
          <w:color w:val="auto"/>
        </w:rPr>
      </w:pPr>
    </w:p>
    <w:p>
      <w:pPr>
        <w:ind w:left="-20" w:right="20" w:firstLine="656"/>
        <w:spacing w:after="0" w:line="277" w:lineRule="auto"/>
        <w:tabs>
          <w:tab w:leader="none" w:pos="13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5% or greater securityholders, except as set forth in the Registration Statement.</w:t>
      </w:r>
    </w:p>
    <w:p>
      <w:pPr>
        <w:spacing w:after="0" w:line="170" w:lineRule="exact"/>
        <w:rPr>
          <w:rFonts w:ascii="Arial" w:cs="Arial" w:eastAsia="Arial" w:hAnsi="Arial"/>
          <w:sz w:val="18"/>
          <w:szCs w:val="18"/>
          <w:color w:val="auto"/>
        </w:rPr>
      </w:pPr>
    </w:p>
    <w:p>
      <w:pPr>
        <w:jc w:val="both"/>
        <w:ind w:left="-20" w:firstLine="656"/>
        <w:spacing w:after="0" w:line="255" w:lineRule="auto"/>
        <w:tabs>
          <w:tab w:leader="none" w:pos="14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Prospectus, neither the Company nor any of the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color w:val="auto"/>
        </w:rPr>
        <w:t>environmental</w:t>
      </w:r>
      <w:r>
        <w:rPr>
          <w:rFonts w:ascii="Arial" w:cs="Arial" w:eastAsia="Arial" w:hAnsi="Arial"/>
          <w:sz w:val="18"/>
          <w:szCs w:val="18"/>
          <w:color w:val="auto"/>
        </w:rPr>
        <w:t xml:space="preserve"> </w:t>
      </w:r>
      <w:r>
        <w:rPr>
          <w:rFonts w:ascii="Arial" w:cs="Arial" w:eastAsia="Arial" w:hAnsi="Arial"/>
          <w:sz w:val="18"/>
          <w:szCs w:val="18"/>
          <w:b w:val="1"/>
          <w:bCs w:val="1"/>
          <w:color w:val="auto"/>
        </w:rPr>
        <w:t>laws</w:t>
      </w:r>
      <w:r>
        <w:rPr>
          <w:rFonts w:ascii="Arial" w:cs="Arial" w:eastAsia="Arial" w:hAnsi="Arial"/>
          <w:sz w:val="18"/>
          <w:szCs w:val="18"/>
          <w:color w:val="auto"/>
        </w:rPr>
        <w:t>”), owns or operates any real property that is, to the knowledge of the Company, contaminated with any substance that is subject to environmental laws,</w:t>
      </w:r>
      <w:r>
        <w:rPr>
          <w:rFonts w:ascii="Arial" w:cs="Arial" w:eastAsia="Arial" w:hAnsi="Arial"/>
          <w:sz w:val="18"/>
          <w:szCs w:val="18"/>
          <w:b w:val="1"/>
          <w:bCs w:val="1"/>
          <w:color w:val="auto"/>
        </w:rPr>
        <w:t xml:space="preserve"> </w:t>
      </w:r>
      <w:r>
        <w:rPr>
          <w:rFonts w:ascii="Arial" w:cs="Arial" w:eastAsia="Arial" w:hAnsi="Arial"/>
          <w:sz w:val="18"/>
          <w:szCs w:val="18"/>
          <w:color w:val="auto"/>
        </w:rPr>
        <w:t>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89" w:lineRule="exact"/>
        <w:rPr>
          <w:rFonts w:ascii="Arial" w:cs="Arial" w:eastAsia="Arial" w:hAnsi="Arial"/>
          <w:sz w:val="18"/>
          <w:szCs w:val="18"/>
          <w:color w:val="auto"/>
        </w:rPr>
      </w:pPr>
    </w:p>
    <w:p>
      <w:pPr>
        <w:jc w:val="both"/>
        <w:ind w:left="-20" w:firstLine="656"/>
        <w:spacing w:after="0" w:line="257" w:lineRule="auto"/>
        <w:tabs>
          <w:tab w:leader="none" w:pos="13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written notification that the Commission or the Principal Market is contemplating terminating such registration or listing. To the Company’s knowledge, it is in compliance in all material respects with all applicable listing requirements of the Principal Market.</w:t>
      </w:r>
    </w:p>
    <w:p>
      <w:pPr>
        <w:spacing w:after="0" w:line="188" w:lineRule="exact"/>
        <w:rPr>
          <w:rFonts w:ascii="Arial" w:cs="Arial" w:eastAsia="Arial" w:hAnsi="Arial"/>
          <w:sz w:val="18"/>
          <w:szCs w:val="18"/>
          <w:color w:val="auto"/>
        </w:rPr>
      </w:pPr>
    </w:p>
    <w:p>
      <w:pPr>
        <w:ind w:left="-20" w:firstLine="656"/>
        <w:spacing w:after="0" w:line="277" w:lineRule="auto"/>
        <w:tabs>
          <w:tab w:leader="none" w:pos="13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no relationships or related-party transactions involving the Company or any of the Subsidiaries or any other person required to be described in the Prospectus which have not been described as required.</w:t>
      </w:r>
    </w:p>
    <w:p>
      <w:pPr>
        <w:spacing w:after="0" w:line="170" w:lineRule="exact"/>
        <w:rPr>
          <w:rFonts w:ascii="Arial" w:cs="Arial" w:eastAsia="Arial" w:hAnsi="Arial"/>
          <w:sz w:val="18"/>
          <w:szCs w:val="18"/>
          <w:color w:val="auto"/>
        </w:rPr>
      </w:pPr>
    </w:p>
    <w:p>
      <w:pPr>
        <w:jc w:val="both"/>
        <w:ind w:left="-20" w:firstLine="656"/>
        <w:spacing w:after="0" w:line="264" w:lineRule="auto"/>
        <w:tabs>
          <w:tab w:leader="none" w:pos="15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disclosed in the Prospectus, neither the Company nor any of the Subsidiaries has made any contribution or other payment to any official of, or candidate for, any federal, state or foreign office in violation of any law which violation is required to be disclosed in the Prospectus.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 w:name="page15"/>
    <w:bookmarkEnd w:id="14"/>
    <w:p>
      <w:pPr>
        <w:ind w:left="-20" w:firstLine="656"/>
        <w:spacing w:after="0" w:line="308" w:lineRule="auto"/>
        <w:tabs>
          <w:tab w:leader="none" w:pos="132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46" w:lineRule="exact"/>
        <w:rPr>
          <w:rFonts w:ascii="Arial" w:cs="Arial" w:eastAsia="Arial" w:hAnsi="Arial"/>
          <w:sz w:val="17"/>
          <w:szCs w:val="17"/>
          <w:color w:val="auto"/>
        </w:rPr>
      </w:pPr>
    </w:p>
    <w:p>
      <w:pPr>
        <w:jc w:val="both"/>
        <w:ind w:left="-20" w:firstLine="656"/>
        <w:spacing w:after="0" w:line="264" w:lineRule="auto"/>
        <w:tabs>
          <w:tab w:leader="none" w:pos="15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information on (or hyperlinked from) the Company’s websites at www.fluidigm.com or www.fluidigm.co.jp includes or constitutes a “free writing prospectus” as defined in Rule 405 under the Securities Act and the Company does not maintain or support any websites other than www.fluidigm.com, go.fluidigm.com, fluidigm.com.cn, fluidigm-japan.com, dvssciences.com and cytof.com.</w:t>
      </w:r>
    </w:p>
    <w:p>
      <w:pPr>
        <w:spacing w:after="0" w:line="181" w:lineRule="exact"/>
        <w:rPr>
          <w:rFonts w:ascii="Arial" w:cs="Arial" w:eastAsia="Arial" w:hAnsi="Arial"/>
          <w:sz w:val="18"/>
          <w:szCs w:val="18"/>
          <w:color w:val="auto"/>
        </w:rPr>
      </w:pPr>
    </w:p>
    <w:p>
      <w:pPr>
        <w:jc w:val="both"/>
        <w:ind w:left="-20" w:firstLine="656"/>
        <w:spacing w:after="0" w:line="273" w:lineRule="auto"/>
        <w:tabs>
          <w:tab w:leader="none" w:pos="137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and the Prospectus or as described in the Company’s Loan and Security Agreement with Silicon Valley Bank effective August 2, 2018, as amended (the “</w:t>
      </w:r>
      <w:r>
        <w:rPr>
          <w:rFonts w:ascii="Arial" w:cs="Arial" w:eastAsia="Arial" w:hAnsi="Arial"/>
          <w:sz w:val="17"/>
          <w:szCs w:val="17"/>
          <w:b w:val="1"/>
          <w:bCs w:val="1"/>
          <w:color w:val="auto"/>
        </w:rPr>
        <w:t>Loan and Security Agreement</w:t>
      </w:r>
      <w:r>
        <w:rPr>
          <w:rFonts w:ascii="Arial" w:cs="Arial" w:eastAsia="Arial" w:hAnsi="Arial"/>
          <w:sz w:val="17"/>
          <w:szCs w:val="17"/>
          <w:color w:val="auto"/>
        </w:rPr>
        <w:t>”), which Loan and Security Agreement has been filed as an exhibit to the Company’s most recent Annual Report on Form 10-K filed with the Commission, which is incorporated by reference in the Registration Statement,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78" w:lineRule="exact"/>
        <w:rPr>
          <w:rFonts w:ascii="Arial" w:cs="Arial" w:eastAsia="Arial" w:hAnsi="Arial"/>
          <w:sz w:val="17"/>
          <w:szCs w:val="17"/>
          <w:color w:val="auto"/>
        </w:rPr>
      </w:pPr>
    </w:p>
    <w:p>
      <w:pPr>
        <w:jc w:val="both"/>
        <w:ind w:left="-20" w:firstLine="656"/>
        <w:spacing w:after="0" w:line="269" w:lineRule="auto"/>
        <w:tabs>
          <w:tab w:leader="none" w:pos="1492"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any director, officer, employee or controlled Affiliate of the Company nor, to the knowledge of the Company, any agent of the Company of any of its Subsidiaries, in each case,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controlled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 w:name="page16"/>
    <w:bookmarkEnd w:id="15"/>
    <w:p>
      <w:pPr>
        <w:jc w:val="both"/>
        <w:ind w:left="-20" w:firstLine="656"/>
        <w:spacing w:after="0" w:line="284" w:lineRule="auto"/>
        <w:tabs>
          <w:tab w:leader="none" w:pos="1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and the Prospectus, and except as would not, singly or in the aggregate, have a Material Adverse Effect: (i) neither the Company nor any of the Subsidiaries has received any unresolved FDA Form 483, notice of adverse filing, warning letter, untitled letter or other correspondence or notice from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or any other court or arbitrator or federal, state, local or foreign governmental or regulatory authority, alleging or asserting noncompliance with the Federal Food, Drug and Cosmetic Act (21 U.S.C. § 301 et seq.) (the “</w:t>
      </w:r>
      <w:r>
        <w:rPr>
          <w:rFonts w:ascii="Arial" w:cs="Arial" w:eastAsia="Arial" w:hAnsi="Arial"/>
          <w:sz w:val="16"/>
          <w:szCs w:val="16"/>
          <w:b w:val="1"/>
          <w:bCs w:val="1"/>
          <w:color w:val="auto"/>
        </w:rPr>
        <w:t>FFDCA</w:t>
      </w:r>
      <w:r>
        <w:rPr>
          <w:rFonts w:ascii="Arial" w:cs="Arial" w:eastAsia="Arial" w:hAnsi="Arial"/>
          <w:sz w:val="16"/>
          <w:szCs w:val="16"/>
          <w:color w:val="auto"/>
        </w:rPr>
        <w:t>”); (ii) the Company and each of the Subsidiaries is and has been in compliance with applicable health care laws, including without limitation, the FFDCA, the federal Anti-Kickback Statute (42 U.S.C. § 1320a-7b(b)), the civil False Claims Act (31 U.S.C. §§ 3729 et seq.), the administrative False Claims Law (42 U.S.C. § 1320a-7b(a)), the Stark law (42 U.S.C. Section 1395nn), the Health Insurance Portability and Accountability Act of 1996 (42 U.S.C. Section 1320d et seq.) as amended by the Health Information Technology for Economic and Clinical Health Act (42 U.S.C. Section 17921 et seq.), the exclusion laws (42 U.S.C. Section 1320a-7), the Anti-Inducement Law (42 U.S.C. § 1320a-7a(a)(5)), the exclusion laws, Social Security Act § 1128 (42 U.S.C. § 1320a-7), Medicare (Title XVIII of the Social Security Act), Medicaid (Title XIX of the Social Security Act), and the Patient Protection and Affordable Care Act of 2010 (Public Law 111-148), as amended by the Health Care and Education Affordability Reconciliation Act of 2010 (Public Law 111-152), and the regulations promulgated pursuant to such laws, and comparable state laws, and all other local, state, federal, national, supranational and foreign laws, manual provisions, policies and administrative guidance relating to the regulation of the Company (collectively, “</w:t>
      </w:r>
      <w:r>
        <w:rPr>
          <w:rFonts w:ascii="Arial" w:cs="Arial" w:eastAsia="Arial" w:hAnsi="Arial"/>
          <w:sz w:val="16"/>
          <w:szCs w:val="16"/>
          <w:b w:val="1"/>
          <w:bCs w:val="1"/>
          <w:color w:val="auto"/>
        </w:rPr>
        <w:t>Health Care Laws</w:t>
      </w:r>
      <w:r>
        <w:rPr>
          <w:rFonts w:ascii="Arial" w:cs="Arial" w:eastAsia="Arial" w:hAnsi="Arial"/>
          <w:sz w:val="16"/>
          <w:szCs w:val="16"/>
          <w:color w:val="auto"/>
        </w:rPr>
        <w:t>”); (iii) the Company and each of the Subsidiaries possesses all licenses, certificates, approvals, clearances, authorizations, permits and supplements or amendments thereto required by any such Health Care Laws and/or to carry on its businesses as now or proposed to be conducted (“</w:t>
      </w:r>
      <w:r>
        <w:rPr>
          <w:rFonts w:ascii="Arial" w:cs="Arial" w:eastAsia="Arial" w:hAnsi="Arial"/>
          <w:sz w:val="16"/>
          <w:szCs w:val="16"/>
          <w:b w:val="1"/>
          <w:bCs w:val="1"/>
          <w:color w:val="auto"/>
        </w:rPr>
        <w:t>Authorizations</w:t>
      </w:r>
      <w:r>
        <w:rPr>
          <w:rFonts w:ascii="Arial" w:cs="Arial" w:eastAsia="Arial" w:hAnsi="Arial"/>
          <w:sz w:val="16"/>
          <w:szCs w:val="16"/>
          <w:color w:val="auto"/>
        </w:rPr>
        <w:t>”) and such Authorizations are valid and in full force and effect and the Company is not in violation of any term of any such Authorizations; (iv) neither the Company nor any of the Subsidiaries has received notice of any ongoing claim, action, suit, proceeding, hearing, enforcement, investigation, arbitration or other action from any U.S. or non-U.S. federal, state, local or other governmental or regulatory authority, governmental or regulatory agency or body, court, arbitrator or self-regulatory organization (each, a “</w:t>
      </w:r>
      <w:r>
        <w:rPr>
          <w:rFonts w:ascii="Arial" w:cs="Arial" w:eastAsia="Arial" w:hAnsi="Arial"/>
          <w:sz w:val="16"/>
          <w:szCs w:val="16"/>
          <w:b w:val="1"/>
          <w:bCs w:val="1"/>
          <w:color w:val="auto"/>
        </w:rPr>
        <w:t>Governmental Authority</w:t>
      </w:r>
      <w:r>
        <w:rPr>
          <w:rFonts w:ascii="Arial" w:cs="Arial" w:eastAsia="Arial" w:hAnsi="Arial"/>
          <w:sz w:val="16"/>
          <w:szCs w:val="16"/>
          <w:color w:val="auto"/>
        </w:rPr>
        <w:t>”) or third party alleging that any product operation or activity is in violation of any Health Care Laws or Authorizations or has any knowledge that any such Governmental Authority or third party is considering any such claim, litigation, arbitration, action, suit, investigation or proceeding; (v) neither the Company nor any of the Subsidiaries has received notice that any Governmental Authority has taken, is taking or intends to take action to limit, suspend, modify or revoke any Authorizations or has any knowledge that any such Governmental Authority is considering such action; (vi) the Company and each of the Subsidiaries has filed, obtained, maintained or submitted all reports, documents, forms, notices, applications, records, claims, submissions and supplements or amendments as required by any Health Care Laws or Authorizations and that all such reports, documents, forms, notices, applications, records, claims, submissions and supplements or amendments were complete, correct and not misleading on the date filed (or were corrected or supplemented by a subsequent submission); and (vii) neither the Company nor any of the Subsidiaries has, either voluntarily or involuntarily, initiated, conducted, or issued or caused to be initiated, conducted or issued, any recall, market withdrawal or replacement, safety alert, post sale warning, “dear doctor” letter, or other notice or action relating to the alleged lack of safety or efficacy of any product or any alleged product defect or violation and, to the Company’s knowledge, no third party has initiated or conducted any such notice or action.</w:t>
      </w:r>
    </w:p>
    <w:p>
      <w:pPr>
        <w:spacing w:after="0" w:line="386" w:lineRule="exact"/>
        <w:rPr>
          <w:rFonts w:ascii="Arial" w:cs="Arial" w:eastAsia="Arial" w:hAnsi="Arial"/>
          <w:sz w:val="16"/>
          <w:szCs w:val="16"/>
          <w:color w:val="auto"/>
        </w:rPr>
      </w:pPr>
    </w:p>
    <w:p>
      <w:pPr>
        <w:jc w:val="both"/>
        <w:ind w:left="-20" w:firstLine="656"/>
        <w:spacing w:after="0" w:line="270" w:lineRule="auto"/>
        <w:tabs>
          <w:tab w:leader="none" w:pos="145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knowledge of the Company, the research, studies and tests conducted by or on behalf of the Company and the Subsidiaries have been and, if still pending, are being conducted with reasonable care and in accordance with experimental protocols, procedures and controls pursuant to all Health Care Laws and Authorizations; the descriptions of the results of such research, studies and tests contained in the Registration Statement and the Prospectus are accurate and complete and fairly present the data derived from such research, studies and tests; except to the extent disclosed in the Registration Statement and the Prospectus, the Company is not aware of any research, studies or tests, the results of which the Company believes reasonably call into question the research, study or test results described or referred to in the Registration Statement and the Prospectus when viewed in the context in which such results are described; and neither the Company nor any of the Subsidiaries has received any notices or correspondence from any Governmental Authority requiring the termination, suspension or material modification of any research, study or test conducted by or on behalf of the Company or the Subsidiaries, as applicable. To the knowledge of the Company, there have been no adverse episodes or complications resulting from any research, study or test conducted by or on behalf of the Company or the Subsidiaries.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6" w:name="page17"/>
    <w:bookmarkEnd w:id="16"/>
    <w:p>
      <w:pPr>
        <w:jc w:val="both"/>
        <w:ind w:left="-20" w:firstLine="656"/>
        <w:spacing w:after="0" w:line="312" w:lineRule="auto"/>
        <w:tabs>
          <w:tab w:leader="none" w:pos="1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material labor dispute with the employees of the Company or any of the Subsidiaries exists, except as described in the Registration Statement and the Prospectus, or, to the knowledge of the Company, is imminent; and the Company is not aware of any existing, threatened or imminent labor disturbance by the employees of any of its principal suppliers, manufacturers or contractors that would be reasonably likely to have a Material Adverse Effect.</w:t>
      </w:r>
    </w:p>
    <w:p>
      <w:pPr>
        <w:spacing w:after="0" w:line="146" w:lineRule="exact"/>
        <w:rPr>
          <w:rFonts w:ascii="Arial" w:cs="Arial" w:eastAsia="Arial" w:hAnsi="Arial"/>
          <w:sz w:val="16"/>
          <w:szCs w:val="16"/>
          <w:color w:val="auto"/>
        </w:rPr>
      </w:pPr>
    </w:p>
    <w:p>
      <w:pPr>
        <w:jc w:val="both"/>
        <w:ind w:left="-20" w:firstLine="656"/>
        <w:spacing w:after="0" w:line="264" w:lineRule="auto"/>
        <w:tabs>
          <w:tab w:leader="none" w:pos="15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and the Prospectus, the Company (i) does not have any material lending or other relationship with any bank or lending affiliate of the Agent and (ii) does not intend to use any of the proceeds from the sale of the Shares to repay any outstanding debt owed to any affiliate of the Agent.</w:t>
      </w:r>
    </w:p>
    <w:p>
      <w:pPr>
        <w:spacing w:after="0" w:line="181" w:lineRule="exact"/>
        <w:rPr>
          <w:rFonts w:ascii="Arial" w:cs="Arial" w:eastAsia="Arial" w:hAnsi="Arial"/>
          <w:sz w:val="18"/>
          <w:szCs w:val="18"/>
          <w:color w:val="auto"/>
        </w:rPr>
      </w:pPr>
    </w:p>
    <w:p>
      <w:pPr>
        <w:jc w:val="both"/>
        <w:ind w:left="-20" w:firstLine="656"/>
        <w:spacing w:after="0" w:line="259" w:lineRule="auto"/>
        <w:tabs>
          <w:tab w:leader="none" w:pos="14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and the Prospectus, the Company has not sold, issued or distributed Common Shares during the six-month period preceding the date hereof, including any sales pursuant to Rule 144A, Regulation D or Regulation S under the Securities Act, other than Common Shares issued pursuant to employee benefit plans, qualified stock option plans or other employee compensation plans or pursuant to outstanding options, rights or warrants.</w:t>
      </w:r>
    </w:p>
    <w:p>
      <w:pPr>
        <w:spacing w:after="0" w:line="186" w:lineRule="exact"/>
        <w:rPr>
          <w:rFonts w:ascii="Arial" w:cs="Arial" w:eastAsia="Arial" w:hAnsi="Arial"/>
          <w:sz w:val="18"/>
          <w:szCs w:val="18"/>
          <w:color w:val="auto"/>
        </w:rPr>
      </w:pPr>
    </w:p>
    <w:p>
      <w:pPr>
        <w:jc w:val="both"/>
        <w:ind w:left="-20" w:firstLine="656"/>
        <w:spacing w:after="0" w:line="267" w:lineRule="auto"/>
        <w:tabs>
          <w:tab w:leader="none" w:pos="14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as would not reasonably be expected, individually or in the aggregate, to result in a Material Adverse Effect, (i) the information technology assets and equipment, computers, systems, networks, hardware, software, websites, applications, and databases of the Company and its Subsidiaries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are adequate for, and operate and perform in all respects as required in connection with the operation of the business of the Company and its Subsidiaries as currently conducted, free and clear of all bugs, errors, defects, Trojan horses, time bombs, malware and other corruptants; and (ii) the Company and its Subsidiaries have in all respects implemented and maintained commercially reasonable physical, technical and administrative controls, policies, procedures, and safeguards to maintain and protect their confidential information and the integrity, continuous operation, redundancy and security of all IT Systems and data, including “Personal Data,” used in connection with their businesses. “Personal Data”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GDPR (as defined below); (D)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7"/>
          <w:szCs w:val="17"/>
          <w:b w:val="1"/>
          <w:bCs w:val="1"/>
          <w:color w:val="auto"/>
        </w:rPr>
        <w:t>HIPAA</w:t>
      </w:r>
      <w:r>
        <w:rPr>
          <w:rFonts w:ascii="Arial" w:cs="Arial" w:eastAsia="Arial" w:hAnsi="Arial"/>
          <w:sz w:val="17"/>
          <w:szCs w:val="17"/>
          <w:color w:val="auto"/>
        </w:rPr>
        <w:t>”); and (E) any other piece of information that allows the identification of such natural person, or his or her family, or permits the collection or analysis of any data related to an identified person’s health or sexual orientation. Except as otherwise disclosed in the Registration Statement of the Prospectus or as could not reasonably be expected, individually or in the aggregate, to result in a Material Adverse Effect, in the past five years,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 w:name="page18"/>
    <w:bookmarkEnd w:id="17"/>
    <w:p>
      <w:pPr>
        <w:ind w:left="-20" w:firstLine="656"/>
        <w:spacing w:after="0" w:line="308" w:lineRule="auto"/>
        <w:tabs>
          <w:tab w:leader="none" w:pos="14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person has the right to require the Company or any of the Subsidiaries to register any securities for sale under the Securities Act by reason of the filing of the Registration Statement with the Commission or the issuance and sale of the Shares by the Company.</w:t>
      </w:r>
    </w:p>
    <w:p>
      <w:pPr>
        <w:spacing w:after="0" w:line="146" w:lineRule="exact"/>
        <w:rPr>
          <w:rFonts w:ascii="Arial" w:cs="Arial" w:eastAsia="Arial" w:hAnsi="Arial"/>
          <w:sz w:val="17"/>
          <w:szCs w:val="17"/>
          <w:color w:val="auto"/>
        </w:rPr>
      </w:pPr>
    </w:p>
    <w:p>
      <w:pPr>
        <w:jc w:val="both"/>
        <w:ind w:left="-20" w:firstLine="656"/>
        <w:spacing w:after="0" w:line="264" w:lineRule="auto"/>
        <w:tabs>
          <w:tab w:leader="none" w:pos="14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disclosed in the Prospectus, neither the Company nor any of the Subsidiaries is a party to any contract, agreement or understanding with any person (other than this Agreement) that would give rise to a valid claim against any of them or the Agent for a brokerage commission, finder’s fee or like payment in connection with the offering and sale of the Shares.</w:t>
      </w:r>
    </w:p>
    <w:p>
      <w:pPr>
        <w:spacing w:after="0" w:line="181" w:lineRule="exact"/>
        <w:rPr>
          <w:rFonts w:ascii="Arial" w:cs="Arial" w:eastAsia="Arial" w:hAnsi="Arial"/>
          <w:sz w:val="18"/>
          <w:szCs w:val="18"/>
          <w:color w:val="auto"/>
        </w:rPr>
      </w:pPr>
    </w:p>
    <w:p>
      <w:pPr>
        <w:jc w:val="both"/>
        <w:ind w:left="-20" w:firstLine="656"/>
        <w:spacing w:after="0" w:line="264"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Securities Act and Section 21E of the Exchange Act) included or incorporated by reference in any of the Registration Statement or the Prospectus has been made or reaffirmed without a reasonable basis or has been disclosed other than in good faith.</w:t>
      </w:r>
    </w:p>
    <w:p>
      <w:pPr>
        <w:spacing w:after="0" w:line="181" w:lineRule="exact"/>
        <w:rPr>
          <w:rFonts w:ascii="Arial" w:cs="Arial" w:eastAsia="Arial" w:hAnsi="Arial"/>
          <w:sz w:val="18"/>
          <w:szCs w:val="18"/>
          <w:color w:val="auto"/>
        </w:rPr>
      </w:pPr>
    </w:p>
    <w:p>
      <w:pPr>
        <w:jc w:val="both"/>
        <w:ind w:left="-20" w:firstLine="656"/>
        <w:spacing w:after="0" w:line="25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in all material respects with FINRA’s rules and any letters, filings or other supplemental information provided to FINRA pursuant to FINRA Rules or NASD Conduct Rules is true, complete and correct in all material respects. The Company meets the requirements for use of Form S-3 under the Securities Act specified in FINRA Rule 5110(b)(7)(C)(i).</w:t>
      </w:r>
    </w:p>
    <w:p>
      <w:pPr>
        <w:spacing w:after="0" w:line="188" w:lineRule="exact"/>
        <w:rPr>
          <w:rFonts w:ascii="Arial" w:cs="Arial" w:eastAsia="Arial" w:hAnsi="Arial"/>
          <w:sz w:val="18"/>
          <w:szCs w:val="18"/>
          <w:color w:val="auto"/>
        </w:rPr>
      </w:pPr>
    </w:p>
    <w:p>
      <w:pPr>
        <w:ind w:left="-20" w:firstLine="656"/>
        <w:spacing w:after="0" w:line="277" w:lineRule="auto"/>
        <w:tabs>
          <w:tab w:leader="none" w:pos="13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and its Subsidiaries have been and are in compliance with all applicable laws, rules and regulations, except where failure to be so in compliance could not be expected, individually or in the aggregate, to have a Material Adverse Effect.</w:t>
      </w:r>
    </w:p>
    <w:p>
      <w:pPr>
        <w:spacing w:after="0" w:line="170" w:lineRule="exact"/>
        <w:rPr>
          <w:rFonts w:ascii="Arial" w:cs="Arial" w:eastAsia="Arial" w:hAnsi="Arial"/>
          <w:sz w:val="18"/>
          <w:szCs w:val="18"/>
          <w:color w:val="auto"/>
        </w:rPr>
      </w:pPr>
    </w:p>
    <w:p>
      <w:pPr>
        <w:jc w:val="both"/>
        <w:ind w:left="-20" w:firstLine="656"/>
        <w:spacing w:after="0" w:line="255" w:lineRule="auto"/>
        <w:tabs>
          <w:tab w:leader="none" w:pos="14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8" w:name="page19"/>
    <w:bookmarkEnd w:id="18"/>
    <w:p>
      <w:pPr>
        <w:jc w:val="both"/>
        <w:ind w:left="-20" w:firstLine="656"/>
        <w:spacing w:after="0" w:line="269" w:lineRule="auto"/>
        <w:tabs>
          <w:tab w:leader="none" w:pos="1323"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Neither the Company nor any of its Subsidiaries, directors, officers, or employees, nor, to the knowledge of the Company, after due inquiry, any agent, controlled Affiliate or other person acting on behalf of the Company or any of its Subsidiaries is currently the subject or the target of any U.S. sanctions administered by the Office of Foreign Assets Control of the U.S. Department of the Treasury or the U.S. Department of State, the United Nations Security Council, the European Union, Her Majesty’s Treasury of the United Kingdom,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79" w:lineRule="exact"/>
        <w:rPr>
          <w:rFonts w:ascii="Arial" w:cs="Arial" w:eastAsia="Arial" w:hAnsi="Arial"/>
          <w:sz w:val="17"/>
          <w:szCs w:val="17"/>
          <w:color w:val="auto"/>
        </w:rPr>
      </w:pPr>
    </w:p>
    <w:p>
      <w:pPr>
        <w:jc w:val="both"/>
        <w:ind w:left="-20" w:firstLine="656"/>
        <w:spacing w:after="0" w:line="264" w:lineRule="auto"/>
        <w:tabs>
          <w:tab w:leader="none" w:pos="13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81" w:lineRule="exact"/>
        <w:rPr>
          <w:rFonts w:ascii="Arial" w:cs="Arial" w:eastAsia="Arial" w:hAnsi="Arial"/>
          <w:sz w:val="18"/>
          <w:szCs w:val="18"/>
          <w:color w:val="auto"/>
        </w:rPr>
      </w:pPr>
    </w:p>
    <w:p>
      <w:pPr>
        <w:jc w:val="both"/>
        <w:ind w:left="-20" w:firstLine="656"/>
        <w:spacing w:after="0" w:line="268" w:lineRule="auto"/>
        <w:tabs>
          <w:tab w:leader="none" w:pos="130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and its Subsidiaries are, and at all prior times in the past five years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material compliance with, the European Union General Data Protection Regulation (“</w:t>
      </w:r>
      <w:r>
        <w:rPr>
          <w:rFonts w:ascii="Arial" w:cs="Arial" w:eastAsia="Arial" w:hAnsi="Arial"/>
          <w:sz w:val="17"/>
          <w:szCs w:val="17"/>
          <w:b w:val="1"/>
          <w:bCs w:val="1"/>
          <w:color w:val="auto"/>
        </w:rPr>
        <w:t>GDPR</w:t>
      </w:r>
      <w:r>
        <w:rPr>
          <w:rFonts w:ascii="Arial" w:cs="Arial" w:eastAsia="Arial" w:hAnsi="Arial"/>
          <w:sz w:val="17"/>
          <w:szCs w:val="17"/>
          <w:color w:val="auto"/>
        </w:rPr>
        <w:t>”) (EU 2016/679) (collectively, the “</w:t>
      </w:r>
      <w:r>
        <w:rPr>
          <w:rFonts w:ascii="Arial" w:cs="Arial" w:eastAsia="Arial" w:hAnsi="Arial"/>
          <w:sz w:val="17"/>
          <w:szCs w:val="17"/>
          <w:b w:val="1"/>
          <w:bCs w:val="1"/>
          <w:color w:val="auto"/>
        </w:rPr>
        <w:t>Privacy Laws</w:t>
      </w:r>
      <w:r>
        <w:rPr>
          <w:rFonts w:ascii="Arial" w:cs="Arial" w:eastAsia="Arial" w:hAnsi="Arial"/>
          <w:sz w:val="17"/>
          <w:szCs w:val="17"/>
          <w:color w:val="auto"/>
        </w:rPr>
        <w:t>”). To ensure compliance with the Privacy Laws, the Company and its Subsidiaries have in place, comply with, and take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7"/>
          <w:szCs w:val="17"/>
          <w:b w:val="1"/>
          <w:bCs w:val="1"/>
          <w:color w:val="auto"/>
        </w:rPr>
        <w:t>Policies</w:t>
      </w:r>
      <w:r>
        <w:rPr>
          <w:rFonts w:ascii="Arial" w:cs="Arial" w:eastAsia="Arial" w:hAnsi="Arial"/>
          <w:sz w:val="17"/>
          <w:szCs w:val="17"/>
          <w:color w:val="auto"/>
        </w:rPr>
        <w:t>”). The Company and its Subsidiaries have at all times in the past five years made all disclosures to users or customers required for material compliance with the Privacy Laws, and none of such disclosures made or contained in any Policy have, to the knowledge of the Company, been inaccurate or in violation of any applicable Privacy Laws in any material respect. The Company has no knowledge of, and has not in the past five years received written, or to its knowledge, any other notice of any actual or potential liability under or relating to, or actual or potential violation of, any of the Privacy Laws, except as would not, individually or in the aggregate reasonably be expected to result in a Material Adverse Effect, and has no knowledge of any event or condition that would reasonably be expected to result in a Material Adverse Effect. Except as would not, individually or in the aggregate, reasonably be expected to result in a Material Adverse Effect, the Company is not currently conducting or paying for, in whole or in part, any investigation, remediation, or other corrective action pursuant to any Privacy Law; nor is the Company a party to any order, decree, or agreement by or with any governmental authority that imposes any obligation or liability under any Privacy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9" w:name="page20"/>
    <w:bookmarkEnd w:id="19"/>
    <w:p>
      <w:pPr>
        <w:ind w:left="1380" w:hanging="724"/>
        <w:spacing w:after="0"/>
        <w:tabs>
          <w:tab w:leader="none" w:pos="1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is not a party to any agreement with an agent or underwriter for any other “at the market” or continuous equity transaction.</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The Company acknowledges that the Agent and, for purposes of the opinions to be delivered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hereof, counsel to the Company and counsel to the Agent, will rely upon the accuracy and truthfulness of the foregoing representations and hereby consents to such reliance.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229" w:lineRule="exact"/>
        <w:rPr>
          <w:sz w:val="20"/>
          <w:szCs w:val="20"/>
          <w:color w:val="auto"/>
        </w:rPr>
      </w:pPr>
    </w:p>
    <w:p>
      <w:pPr>
        <w:jc w:val="both"/>
        <w:ind w:firstLine="656"/>
        <w:spacing w:after="0" w:line="259" w:lineRule="auto"/>
        <w:tabs>
          <w:tab w:leader="none" w:pos="138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90" w:lineRule="auto"/>
        <w:tabs>
          <w:tab w:leader="none" w:pos="137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66" w:lineRule="exact"/>
        <w:rPr>
          <w:rFonts w:ascii="Arial" w:cs="Arial" w:eastAsia="Arial" w:hAnsi="Arial"/>
          <w:sz w:val="16"/>
          <w:szCs w:val="16"/>
          <w:color w:val="auto"/>
        </w:rPr>
      </w:pPr>
    </w:p>
    <w:p>
      <w:pPr>
        <w:jc w:val="both"/>
        <w:ind w:firstLine="656"/>
        <w:spacing w:after="0" w:line="276" w:lineRule="auto"/>
        <w:tabs>
          <w:tab w:leader="none" w:pos="140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Agent Efforts</w:t>
      </w:r>
      <w:r>
        <w:rPr>
          <w:rFonts w:ascii="Arial" w:cs="Arial" w:eastAsia="Arial" w:hAnsi="Arial"/>
          <w:sz w:val="17"/>
          <w:szCs w:val="17"/>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1432" w:hanging="784"/>
        <w:spacing w:after="0"/>
        <w:tabs>
          <w:tab w:leader="none" w:pos="1432"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privately negotiated transactions with the consent of the Company;</w:t>
      </w:r>
    </w:p>
    <w:p>
      <w:pPr>
        <w:spacing w:after="0" w:line="46" w:lineRule="exact"/>
        <w:rPr>
          <w:rFonts w:ascii="Arial" w:cs="Arial" w:eastAsia="Arial" w:hAnsi="Arial"/>
          <w:sz w:val="16"/>
          <w:szCs w:val="16"/>
          <w:color w:val="auto"/>
        </w:rPr>
      </w:pPr>
    </w:p>
    <w:p>
      <w:pPr>
        <w:jc w:val="both"/>
        <w:ind w:left="-8" w:firstLine="8"/>
        <w:spacing w:after="0" w:line="273" w:lineRule="auto"/>
        <w:tabs>
          <w:tab w:leader="none" w:pos="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76" w:lineRule="exact"/>
        <w:rPr>
          <w:rFonts w:ascii="Arial" w:cs="Arial" w:eastAsia="Arial" w:hAnsi="Arial"/>
          <w:sz w:val="17"/>
          <w:szCs w:val="17"/>
          <w:color w:val="auto"/>
        </w:rPr>
      </w:pPr>
    </w:p>
    <w:p>
      <w:pPr>
        <w:jc w:val="both"/>
        <w:ind w:left="-8" w:firstLine="656"/>
        <w:spacing w:after="0" w:line="264" w:lineRule="auto"/>
        <w:tabs>
          <w:tab w:leader="none" w:pos="135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Confirmation to the Company</w:t>
      </w:r>
      <w:r>
        <w:rPr>
          <w:rFonts w:ascii="Arial" w:cs="Arial" w:eastAsia="Arial" w:hAnsi="Arial"/>
          <w:sz w:val="18"/>
          <w:szCs w:val="18"/>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81" w:lineRule="exact"/>
        <w:rPr>
          <w:rFonts w:ascii="Arial" w:cs="Arial" w:eastAsia="Arial" w:hAnsi="Arial"/>
          <w:sz w:val="18"/>
          <w:szCs w:val="18"/>
          <w:color w:val="auto"/>
        </w:rPr>
      </w:pPr>
    </w:p>
    <w:p>
      <w:pPr>
        <w:jc w:val="both"/>
        <w:ind w:left="-8" w:firstLine="656"/>
        <w:spacing w:after="0" w:line="272" w:lineRule="auto"/>
        <w:tabs>
          <w:tab w:leader="none" w:pos="1534"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Each issuance of Shares will be settled on the applicable Settlement Date for such issuance of Shares and, subject to the provisions of </w:t>
      </w:r>
      <w:r>
        <w:rPr>
          <w:rFonts w:ascii="Arial" w:cs="Arial" w:eastAsia="Arial" w:hAnsi="Arial"/>
          <w:sz w:val="17"/>
          <w:szCs w:val="17"/>
          <w:u w:val="single" w:color="auto"/>
          <w:color w:val="auto"/>
        </w:rPr>
        <w:t>Section 5</w:t>
      </w:r>
      <w:r>
        <w:rPr>
          <w:rFonts w:ascii="Arial" w:cs="Arial" w:eastAsia="Arial" w:hAnsi="Arial"/>
          <w:sz w:val="17"/>
          <w:szCs w:val="17"/>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7"/>
          <w:szCs w:val="17"/>
          <w:b w:val="1"/>
          <w:bCs w:val="1"/>
          <w:color w:val="auto"/>
        </w:rPr>
        <w:t>Time of Sale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8" w:firstLine="656"/>
        <w:spacing w:after="0" w:line="269" w:lineRule="auto"/>
        <w:tabs>
          <w:tab w:leader="none" w:pos="1390"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Suspension or Termination of Sales</w:t>
      </w:r>
      <w:r>
        <w:rPr>
          <w:rFonts w:ascii="Arial" w:cs="Arial" w:eastAsia="Arial" w:hAnsi="Arial"/>
          <w:sz w:val="17"/>
          <w:szCs w:val="17"/>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in Schedule A attached hereto.</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1" w:name="page22"/>
    <w:bookmarkEnd w:id="21"/>
    <w:p>
      <w:pPr>
        <w:jc w:val="both"/>
        <w:ind w:left="-8" w:firstLine="656"/>
        <w:spacing w:after="0" w:line="259" w:lineRule="auto"/>
        <w:tabs>
          <w:tab w:leader="none" w:pos="154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6" w:lineRule="exact"/>
        <w:rPr>
          <w:rFonts w:ascii="Arial" w:cs="Arial" w:eastAsia="Arial" w:hAnsi="Arial"/>
          <w:sz w:val="18"/>
          <w:szCs w:val="18"/>
          <w:color w:val="auto"/>
        </w:rPr>
      </w:pPr>
    </w:p>
    <w:p>
      <w:pPr>
        <w:jc w:val="both"/>
        <w:ind w:left="-8" w:firstLine="656"/>
        <w:spacing w:after="0" w:line="264" w:lineRule="auto"/>
        <w:tabs>
          <w:tab w:leader="none" w:pos="149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1" w:lineRule="exact"/>
        <w:rPr>
          <w:sz w:val="20"/>
          <w:szCs w:val="20"/>
          <w:color w:val="auto"/>
        </w:rPr>
      </w:pPr>
    </w:p>
    <w:p>
      <w:pPr>
        <w:jc w:val="both"/>
        <w:ind w:left="-8" w:firstLine="656"/>
        <w:spacing w:after="0" w:line="279" w:lineRule="auto"/>
        <w:tabs>
          <w:tab w:leader="none" w:pos="1618"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7"/>
          <w:szCs w:val="17"/>
          <w:u w:val="single" w:color="auto"/>
          <w:color w:val="auto"/>
        </w:rPr>
        <w:t>Section 3(b)(vi))</w:t>
      </w:r>
      <w:r>
        <w:rPr>
          <w:rFonts w:ascii="Arial" w:cs="Arial" w:eastAsia="Arial" w:hAnsi="Arial"/>
          <w:sz w:val="17"/>
          <w:szCs w:val="17"/>
          <w:color w:val="auto"/>
        </w:rPr>
        <w:t xml:space="preserve"> by the Agent deducting the Selling Commission from the applicable Issuance Amount. For the avoidance of doubt, the Company shall not be required to pay to the Agent any Selling Commission with respect to any Issuance Notice, except to the extent that Shares are placed pursuant thereto.</w:t>
      </w:r>
    </w:p>
    <w:p>
      <w:pPr>
        <w:spacing w:after="0" w:line="171" w:lineRule="exact"/>
        <w:rPr>
          <w:rFonts w:ascii="Arial" w:cs="Arial" w:eastAsia="Arial" w:hAnsi="Arial"/>
          <w:sz w:val="17"/>
          <w:szCs w:val="17"/>
          <w:color w:val="auto"/>
        </w:rPr>
      </w:pPr>
    </w:p>
    <w:p>
      <w:pPr>
        <w:jc w:val="both"/>
        <w:ind w:left="-8" w:firstLine="656"/>
        <w:spacing w:after="0" w:line="283" w:lineRule="auto"/>
        <w:tabs>
          <w:tab w:leader="none" w:pos="1615"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6"/>
          <w:szCs w:val="16"/>
          <w:b w:val="1"/>
          <w:bCs w:val="1"/>
          <w:color w:val="auto"/>
        </w:rPr>
        <w:t>Blue Sky Survey</w:t>
      </w:r>
      <w:r>
        <w:rPr>
          <w:rFonts w:ascii="Arial" w:cs="Arial" w:eastAsia="Arial" w:hAnsi="Arial"/>
          <w:sz w:val="16"/>
          <w:szCs w:val="16"/>
          <w:color w:val="auto"/>
        </w:rPr>
        <w:t>”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w:t>
      </w:r>
    </w:p>
    <w:p>
      <w:pPr>
        <w:spacing w:after="0" w:line="2" w:lineRule="exact"/>
        <w:rPr>
          <w:rFonts w:ascii="Arial" w:cs="Arial" w:eastAsia="Arial" w:hAnsi="Arial"/>
          <w:sz w:val="16"/>
          <w:szCs w:val="16"/>
          <w:color w:val="auto"/>
        </w:rPr>
      </w:pPr>
    </w:p>
    <w:p>
      <w:pPr>
        <w:ind w:left="352" w:hanging="352"/>
        <w:spacing w:after="0"/>
        <w:tabs>
          <w:tab w:leader="none" w:pos="3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above shall not exceed $50,000 in the aggregate.</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Section 4. ADDITIONAL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656"/>
        <w:spacing w:after="0" w:line="254" w:lineRule="auto"/>
        <w:tabs>
          <w:tab w:leader="none" w:pos="141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(taking into account any extensions available under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8"/>
          <w:szCs w:val="18"/>
          <w:b w:val="1"/>
          <w:bCs w:val="1"/>
          <w:color w:val="auto"/>
        </w:rPr>
        <w:t>Interim Prospectus Supplement</w:t>
      </w:r>
      <w:r>
        <w:rPr>
          <w:rFonts w:ascii="Arial" w:cs="Arial" w:eastAsia="Arial" w:hAnsi="Arial"/>
          <w:sz w:val="18"/>
          <w:szCs w:val="18"/>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92" w:lineRule="exact"/>
        <w:rPr>
          <w:rFonts w:ascii="Arial" w:cs="Arial" w:eastAsia="Arial" w:hAnsi="Arial"/>
          <w:sz w:val="18"/>
          <w:szCs w:val="18"/>
          <w:color w:val="auto"/>
        </w:rPr>
      </w:pPr>
    </w:p>
    <w:p>
      <w:pPr>
        <w:jc w:val="both"/>
        <w:ind w:firstLine="656"/>
        <w:spacing w:after="0" w:line="291" w:lineRule="auto"/>
        <w:tabs>
          <w:tab w:leader="none" w:pos="1393"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relating to the Registration Statement or the Prospectus;</w:t>
      </w:r>
    </w:p>
    <w:p>
      <w:pPr>
        <w:jc w:val="both"/>
        <w:ind w:firstLine="8"/>
        <w:spacing w:after="0" w:line="286" w:lineRule="auto"/>
        <w:tabs>
          <w:tab w:leader="none" w:pos="298" w:val="left"/>
        </w:tabs>
        <w:numPr>
          <w:ilvl w:val="0"/>
          <w:numId w:val="29"/>
        </w:numPr>
        <w:rPr>
          <w:rFonts w:ascii="Arial" w:cs="Arial" w:eastAsia="Arial" w:hAnsi="Arial"/>
          <w:sz w:val="16"/>
          <w:szCs w:val="16"/>
          <w:color w:val="auto"/>
        </w:rPr>
      </w:pPr>
      <w:r>
        <w:rPr>
          <w:rFonts w:ascii="Arial" w:cs="Arial" w:eastAsia="Arial" w:hAnsi="Arial"/>
          <w:sz w:val="16"/>
          <w:szCs w:val="16"/>
          <w:color w:val="auto"/>
        </w:rPr>
        <w:t>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reasonably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70" w:lineRule="exact"/>
        <w:rPr>
          <w:rFonts w:ascii="Arial" w:cs="Arial" w:eastAsia="Arial" w:hAnsi="Arial"/>
          <w:sz w:val="16"/>
          <w:szCs w:val="16"/>
          <w:color w:val="auto"/>
        </w:rPr>
      </w:pPr>
    </w:p>
    <w:p>
      <w:pPr>
        <w:jc w:val="both"/>
        <w:ind w:firstLine="656"/>
        <w:spacing w:after="0" w:line="288" w:lineRule="auto"/>
        <w:tabs>
          <w:tab w:leader="none" w:pos="1370"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(including by filing a document incorporated by reference therein)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left="-20" w:firstLine="656"/>
        <w:spacing w:after="0" w:line="255" w:lineRule="auto"/>
        <w:tabs>
          <w:tab w:leader="none" w:pos="144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Agent’s Review of Proposed Amendments and Supplements</w:t>
      </w:r>
      <w:r>
        <w:rPr>
          <w:rFonts w:ascii="Arial" w:cs="Arial" w:eastAsia="Arial" w:hAnsi="Arial"/>
          <w:sz w:val="18"/>
          <w:szCs w:val="18"/>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insofar as such proposed amendment or supplement relates to the offering of the Shares and other transactions contemplated hereby,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89" w:lineRule="exact"/>
        <w:rPr>
          <w:rFonts w:ascii="Arial" w:cs="Arial" w:eastAsia="Arial" w:hAnsi="Arial"/>
          <w:sz w:val="18"/>
          <w:szCs w:val="18"/>
          <w:color w:val="auto"/>
        </w:rPr>
      </w:pPr>
    </w:p>
    <w:p>
      <w:pPr>
        <w:jc w:val="both"/>
        <w:ind w:left="-20" w:firstLine="656"/>
        <w:spacing w:after="0" w:line="259" w:lineRule="auto"/>
        <w:tabs>
          <w:tab w:leader="none" w:pos="144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 w:firstLine="656"/>
        <w:spacing w:after="0" w:line="285" w:lineRule="auto"/>
        <w:tabs>
          <w:tab w:leader="none" w:pos="1389"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consent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consent shall not be unreasonably withheld, conditioned or delayed.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4" w:name="page25"/>
    <w:bookmarkEnd w:id="24"/>
    <w:p>
      <w:pPr>
        <w:jc w:val="both"/>
        <w:ind w:left="-20" w:firstLine="656"/>
        <w:spacing w:after="0" w:line="264" w:lineRule="auto"/>
        <w:tabs>
          <w:tab w:leader="none" w:pos="141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81" w:lineRule="exact"/>
        <w:rPr>
          <w:rFonts w:ascii="Arial" w:cs="Arial" w:eastAsia="Arial" w:hAnsi="Arial"/>
          <w:sz w:val="18"/>
          <w:szCs w:val="18"/>
          <w:color w:val="auto"/>
        </w:rPr>
      </w:pPr>
    </w:p>
    <w:p>
      <w:pPr>
        <w:jc w:val="both"/>
        <w:ind w:left="-20" w:firstLine="656"/>
        <w:spacing w:after="0" w:line="285" w:lineRule="auto"/>
        <w:tabs>
          <w:tab w:leader="none" w:pos="133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including by filing a document incorporated by reference therein; provided, however, that if during such same period the Agent is required to deliver a prospectus in respect of transactions in the Shares, the Company shall promptly prepare and file with the Commission such an amendment or supplement.</w:t>
      </w:r>
    </w:p>
    <w:p>
      <w:pPr>
        <w:spacing w:after="0" w:line="175" w:lineRule="exact"/>
        <w:rPr>
          <w:rFonts w:ascii="Arial" w:cs="Arial" w:eastAsia="Arial" w:hAnsi="Arial"/>
          <w:sz w:val="16"/>
          <w:szCs w:val="16"/>
          <w:color w:val="auto"/>
        </w:rPr>
      </w:pPr>
    </w:p>
    <w:p>
      <w:pPr>
        <w:jc w:val="both"/>
        <w:ind w:left="-20" w:firstLine="656"/>
        <w:spacing w:after="0" w:line="290" w:lineRule="auto"/>
        <w:tabs>
          <w:tab w:leader="none" w:pos="144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Blue Sky Compliance</w:t>
      </w:r>
      <w:r>
        <w:rPr>
          <w:rFonts w:ascii="Arial" w:cs="Arial" w:eastAsia="Arial" w:hAnsi="Arial"/>
          <w:sz w:val="16"/>
          <w:szCs w:val="16"/>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reasonably practicable.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 w:name="page26"/>
    <w:bookmarkEnd w:id="25"/>
    <w:p>
      <w:pPr>
        <w:jc w:val="both"/>
        <w:ind w:left="-20" w:firstLine="656"/>
        <w:spacing w:after="0" w:line="257" w:lineRule="auto"/>
        <w:tabs>
          <w:tab w:leader="none" w:pos="133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xml:space="preserve">.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will be deemed to have furnished such statement to its security holders and the Agent to the extent they are filed on EDGAR or any successor system.</w:t>
      </w:r>
    </w:p>
    <w:p>
      <w:pPr>
        <w:spacing w:after="0" w:line="188" w:lineRule="exact"/>
        <w:rPr>
          <w:rFonts w:ascii="Arial" w:cs="Arial" w:eastAsia="Arial" w:hAnsi="Arial"/>
          <w:sz w:val="18"/>
          <w:szCs w:val="18"/>
          <w:color w:val="auto"/>
        </w:rPr>
      </w:pPr>
    </w:p>
    <w:p>
      <w:pPr>
        <w:jc w:val="both"/>
        <w:ind w:left="-20" w:firstLine="656"/>
        <w:spacing w:after="0" w:line="297" w:lineRule="auto"/>
        <w:tabs>
          <w:tab w:leader="none" w:pos="133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Listing; Reservation of Shares</w:t>
      </w:r>
      <w:r>
        <w:rPr>
          <w:rFonts w:ascii="Arial" w:cs="Arial" w:eastAsia="Arial" w:hAnsi="Arial"/>
          <w:sz w:val="16"/>
          <w:szCs w:val="16"/>
          <w:color w:val="auto"/>
        </w:rPr>
        <w:t>. During the Agency Period, the Company will (i) use its commercially reasonable efforts to cause the Shares to be listed on the Principal Market and to qualify the Shares for sale under the securities laws of such jurisdictions as the Agent reasonably designates and to continue such qualifications in effect so long as required for the sale of the Shares; provided, however, that the Company shall not be required in connection therewith to qualify as a foreign corporation or dealer in securities or file a general consent to service of process in any jurisdiction; and (ii) reserve and keep available at all times, free of preemptive rights, Shares for the purpose of enabling the Company to satisfy its obligations under this Agreement.</w:t>
      </w:r>
    </w:p>
    <w:p>
      <w:pPr>
        <w:spacing w:after="0" w:line="158" w:lineRule="exact"/>
        <w:rPr>
          <w:rFonts w:ascii="Arial" w:cs="Arial" w:eastAsia="Arial" w:hAnsi="Arial"/>
          <w:sz w:val="16"/>
          <w:szCs w:val="16"/>
          <w:color w:val="auto"/>
        </w:rPr>
      </w:pPr>
    </w:p>
    <w:p>
      <w:pPr>
        <w:ind w:left="1340" w:hanging="704"/>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jc w:val="both"/>
        <w:ind w:left="-20" w:firstLine="656"/>
        <w:spacing w:after="0" w:line="259" w:lineRule="auto"/>
        <w:tabs>
          <w:tab w:leader="none" w:pos="148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jc w:val="both"/>
        <w:ind w:left="-20" w:firstLine="656"/>
        <w:spacing w:after="0" w:line="291" w:lineRule="auto"/>
        <w:tabs>
          <w:tab w:leader="none" w:pos="144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6" w:name="page27"/>
    <w:bookmarkEnd w:id="26"/>
    <w:p>
      <w:pPr>
        <w:ind w:right="20" w:firstLine="656"/>
        <w:spacing w:after="0" w:line="277" w:lineRule="auto"/>
        <w:tabs>
          <w:tab w:leader="none" w:pos="150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The Company agrees that on or prior to the date of the first Issuance Notice and, during the term of this Agreement after the date of the first Issuance Notice, upon:</w:t>
      </w:r>
    </w:p>
    <w:p>
      <w:pPr>
        <w:spacing w:after="0" w:line="170" w:lineRule="exact"/>
        <w:rPr>
          <w:rFonts w:ascii="Arial" w:cs="Arial" w:eastAsia="Arial" w:hAnsi="Arial"/>
          <w:sz w:val="18"/>
          <w:szCs w:val="18"/>
          <w:color w:val="auto"/>
        </w:rPr>
      </w:pPr>
    </w:p>
    <w:p>
      <w:pPr>
        <w:jc w:val="both"/>
        <w:ind w:firstLine="1305"/>
        <w:spacing w:after="0" w:line="312" w:lineRule="auto"/>
        <w:tabs>
          <w:tab w:leader="none" w:pos="2033"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21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28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such event, a “</w:t>
      </w:r>
      <w:r>
        <w:rPr>
          <w:rFonts w:ascii="Arial" w:cs="Arial" w:eastAsia="Arial" w:hAnsi="Arial"/>
          <w:sz w:val="16"/>
          <w:szCs w:val="16"/>
          <w:b w:val="1"/>
          <w:bCs w:val="1"/>
          <w:color w:val="auto"/>
        </w:rPr>
        <w:t>Triggering Event Date</w:t>
      </w:r>
      <w:r>
        <w:rPr>
          <w:rFonts w:ascii="Arial" w:cs="Arial" w:eastAsia="Arial" w:hAnsi="Arial"/>
          <w:sz w:val="16"/>
          <w:szCs w:val="16"/>
          <w:color w:val="auto"/>
        </w:rPr>
        <w:t xml:space="preserve">”), the Company shall furnish the Agent (but in the case of clause (iii)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on the date of such certificate as if made on such date, (B) confirming that the Company has performed all of its obligations hereunder to be performed on or prior to the date of such certificate and as to the matters set forth in </w:t>
      </w:r>
      <w:r>
        <w:rPr>
          <w:rFonts w:ascii="Arial" w:cs="Arial" w:eastAsia="Arial" w:hAnsi="Arial"/>
          <w:sz w:val="16"/>
          <w:szCs w:val="16"/>
          <w:u w:val="single" w:color="auto"/>
          <w:color w:val="auto"/>
        </w:rPr>
        <w:t>Section 5(a)(iii)</w:t>
      </w:r>
      <w:r>
        <w:rPr>
          <w:rFonts w:ascii="Arial" w:cs="Arial" w:eastAsia="Arial" w:hAnsi="Arial"/>
          <w:sz w:val="16"/>
          <w:szCs w:val="16"/>
          <w:color w:val="auto"/>
        </w:rPr>
        <w:t xml:space="preserve"> hereof, and (C) containing any other certification that the Agent shall reasonably request. The requirement to provide a certificate under this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Triggering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left="-20" w:firstLine="656"/>
        <w:spacing w:after="0" w:line="289" w:lineRule="auto"/>
        <w:tabs>
          <w:tab w:leader="none" w:pos="134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Wilson Sonsini Goodrich &amp; Rosati, P.C., counsel to the Company, Latham &amp; Watkins LLP, counsel to the Agent, and Kilpatrick Townsend &amp; Stockton LLP, intellectual property counsel to the Company, each dated the date of delivery, shall be delivered to the Agent, each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66" w:lineRule="exact"/>
        <w:rPr>
          <w:rFonts w:ascii="Arial" w:cs="Arial" w:eastAsia="Arial" w:hAnsi="Arial"/>
          <w:sz w:val="16"/>
          <w:szCs w:val="16"/>
          <w:color w:val="auto"/>
        </w:rPr>
      </w:pPr>
    </w:p>
    <w:p>
      <w:pPr>
        <w:jc w:val="both"/>
        <w:ind w:left="-20" w:firstLine="656"/>
        <w:spacing w:after="0" w:line="288" w:lineRule="auto"/>
        <w:tabs>
          <w:tab w:leader="none" w:pos="136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Comfort Letter</w:t>
      </w:r>
      <w:r>
        <w:rPr>
          <w:rFonts w:ascii="Arial" w:cs="Arial" w:eastAsia="Arial" w:hAnsi="Arial"/>
          <w:sz w:val="16"/>
          <w:szCs w:val="16"/>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169" w:lineRule="exact"/>
        <w:rPr>
          <w:rFonts w:ascii="Arial" w:cs="Arial" w:eastAsia="Arial" w:hAnsi="Arial"/>
          <w:sz w:val="16"/>
          <w:szCs w:val="16"/>
          <w:color w:val="auto"/>
        </w:rPr>
      </w:pPr>
    </w:p>
    <w:p>
      <w:pPr>
        <w:jc w:val="both"/>
        <w:ind w:left="-20" w:firstLine="656"/>
        <w:spacing w:after="0" w:line="271" w:lineRule="auto"/>
        <w:tabs>
          <w:tab w:leader="none" w:pos="145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xml:space="preserve">. On or prior to the date of the first Issuance Notice and on or prior to each Triggering Event Date (excluding the date of this Agreement) with respect to which the Company is obligated to delivered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8" w:name="page29"/>
    <w:bookmarkEnd w:id="28"/>
    <w:p>
      <w:pPr>
        <w:ind w:left="-20" w:firstLine="656"/>
        <w:spacing w:after="0" w:line="342" w:lineRule="auto"/>
        <w:tabs>
          <w:tab w:leader="none" w:pos="1354"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left="-20" w:firstLine="656"/>
        <w:spacing w:after="0" w:line="308" w:lineRule="auto"/>
        <w:tabs>
          <w:tab w:leader="none" w:pos="1392"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Investment Limitation</w:t>
      </w:r>
      <w:r>
        <w:rPr>
          <w:rFonts w:ascii="Arial" w:cs="Arial" w:eastAsia="Arial" w:hAnsi="Arial"/>
          <w:sz w:val="17"/>
          <w:szCs w:val="17"/>
          <w:color w:val="auto"/>
        </w:rPr>
        <w:t>. The Company shall not invest, or otherwise use the proceeds received by the Company from its sale of the Shares in such a manner as would require the Company or any of its Subsidiaries to register as an investment company under the 1940 Act.</w:t>
      </w:r>
    </w:p>
    <w:p>
      <w:pPr>
        <w:spacing w:after="0" w:line="146" w:lineRule="exact"/>
        <w:rPr>
          <w:rFonts w:ascii="Arial" w:cs="Arial" w:eastAsia="Arial" w:hAnsi="Arial"/>
          <w:sz w:val="17"/>
          <w:szCs w:val="17"/>
          <w:color w:val="auto"/>
        </w:rPr>
      </w:pPr>
    </w:p>
    <w:p>
      <w:pPr>
        <w:jc w:val="both"/>
        <w:ind w:left="-20" w:firstLine="656"/>
        <w:spacing w:after="0" w:line="291" w:lineRule="auto"/>
        <w:tabs>
          <w:tab w:leader="none" w:pos="137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controlled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controlled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67" w:lineRule="exact"/>
        <w:rPr>
          <w:rFonts w:ascii="Arial" w:cs="Arial" w:eastAsia="Arial" w:hAnsi="Arial"/>
          <w:sz w:val="16"/>
          <w:szCs w:val="16"/>
          <w:color w:val="auto"/>
        </w:rPr>
      </w:pPr>
    </w:p>
    <w:p>
      <w:pPr>
        <w:jc w:val="both"/>
        <w:ind w:left="-20" w:firstLine="656"/>
        <w:spacing w:after="0" w:line="267" w:lineRule="auto"/>
        <w:tabs>
          <w:tab w:leader="none" w:pos="133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Notice of Other Sale</w:t>
      </w:r>
      <w:r>
        <w:rPr>
          <w:rFonts w:ascii="Arial" w:cs="Arial" w:eastAsia="Arial" w:hAnsi="Arial"/>
          <w:sz w:val="17"/>
          <w:szCs w:val="17"/>
          <w:color w:val="auto"/>
        </w:rPr>
        <w:t>. Without the written consent of the Agent, the Company will not, directly or indirectly, (i)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earlier of the third Trading Day immediately following: (A) the Settlement Date with respect to Shares sold pursuant to such Issuance Notice, and (B) the date an Issuance Notice is cancelled if no Shares have been sold pursuant to such Issuance Notice; (ii) effect a reverse stock split, recapitalization, share consolidation, reclassification or similar transaction affecting the outstanding Common Shares; or (iii)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grant or sale of Common Shares, equity awards, options to purchase Common Shares or Common Shares issuable upon the exercise of options, settlement of restricted stock units or other equity awards pursuant to any employee or director share option, incentive or benefit plan, share purchase or ownership plan, long-term incentive plan, dividend reinvestment plan, inducement award under Principal Market rules or other compensation plan of the Company or its Subsidiaries, as in effect on the date of this Agreement or subsequently disclosed in filings by the Company available on EDGAR, (ii) issuance or sale of Common Shares issuable upon exercise, exchange, conversion or redemption of securities (including, without limitation, convertible notes) or the exercise or vesting of warrants, options or other equity awards outstanding as of the date hereof or subsequently disclosed in filings by the Company available on EDGAR or otherwise in writing to the Agent, (iii) issuance or sale of Common Shares or securities convertible into or exchangeable for Common Shares as consideration for mergers, acquisitions, other business combinations, joint ventures or strategic alliances occurring after the date of this Agreement which are not used for capital raising purposes, and (iv) modification of any outstanding options, equity awards, securities (including, without limitation, convertible notes), warrants or any rights to purchase or acquire Common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229" w:lineRule="exact"/>
        <w:rPr>
          <w:sz w:val="20"/>
          <w:szCs w:val="20"/>
          <w:color w:val="auto"/>
        </w:rPr>
      </w:pPr>
    </w:p>
    <w:p>
      <w:pPr>
        <w:jc w:val="both"/>
        <w:ind w:firstLine="656"/>
        <w:spacing w:after="0" w:line="279" w:lineRule="auto"/>
        <w:tabs>
          <w:tab w:leader="none" w:pos="138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Conditions Precedent to the Right of the Company to Deliver an Issuance Notice and the Obligation of the Agent to Sell Shares</w:t>
      </w:r>
      <w:r>
        <w:rPr>
          <w:rFonts w:ascii="Arial" w:cs="Arial" w:eastAsia="Arial" w:hAnsi="Arial"/>
          <w:sz w:val="17"/>
          <w:szCs w:val="17"/>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71" w:lineRule="exact"/>
        <w:rPr>
          <w:sz w:val="20"/>
          <w:szCs w:val="20"/>
          <w:color w:val="auto"/>
        </w:rPr>
      </w:pPr>
    </w:p>
    <w:p>
      <w:pPr>
        <w:jc w:val="both"/>
        <w:ind w:left="1300" w:hanging="644"/>
        <w:spacing w:after="0" w:line="25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8"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Material Adverse Changes</w:t>
      </w:r>
      <w:r>
        <w:rPr>
          <w:rFonts w:ascii="Arial" w:cs="Arial" w:eastAsia="Arial" w:hAnsi="Arial"/>
          <w:sz w:val="17"/>
          <w:szCs w:val="17"/>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left="1280" w:hanging="644"/>
        <w:spacing w:after="0" w:line="268"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(A) and (B) below) any of the following: (A)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(B) a general banking moratorium shall have been declared by any of federal or New York, authorities; or (C)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88" w:lineRule="exact"/>
        <w:rPr>
          <w:sz w:val="20"/>
          <w:szCs w:val="20"/>
          <w:color w:val="auto"/>
        </w:rPr>
      </w:pPr>
    </w:p>
    <w:p>
      <w:pPr>
        <w:jc w:val="both"/>
        <w:ind w:left="-20" w:firstLine="656"/>
        <w:spacing w:after="0" w:line="257" w:lineRule="auto"/>
        <w:tabs>
          <w:tab w:leader="none" w:pos="141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Documents Required to be Delivered on each Issuance Notice Date</w:t>
      </w:r>
      <w:r>
        <w:rPr>
          <w:rFonts w:ascii="Arial" w:cs="Arial" w:eastAsia="Arial" w:hAnsi="Arial"/>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8" w:lineRule="exact"/>
        <w:rPr>
          <w:rFonts w:ascii="Arial" w:cs="Arial" w:eastAsia="Arial" w:hAnsi="Arial"/>
          <w:sz w:val="18"/>
          <w:szCs w:val="18"/>
          <w:color w:val="auto"/>
        </w:rPr>
      </w:pPr>
    </w:p>
    <w:p>
      <w:pPr>
        <w:jc w:val="both"/>
        <w:ind w:left="-20" w:right="20" w:firstLine="656"/>
        <w:spacing w:after="0" w:line="259" w:lineRule="auto"/>
        <w:tabs>
          <w:tab w:leader="none" w:pos="136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The Agent shall not have advised the Company that the Registration Statement, the Prospectus or the Time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229" w:lineRule="exact"/>
        <w:rPr>
          <w:sz w:val="20"/>
          <w:szCs w:val="20"/>
          <w:color w:val="auto"/>
        </w:rPr>
      </w:pPr>
    </w:p>
    <w:p>
      <w:pPr>
        <w:jc w:val="both"/>
        <w:ind w:firstLine="656"/>
        <w:spacing w:after="0" w:line="285" w:lineRule="auto"/>
        <w:tabs>
          <w:tab w:leader="none" w:pos="134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168" w:lineRule="exact"/>
        <w:rPr>
          <w:rFonts w:ascii="Arial" w:cs="Arial" w:eastAsia="Arial" w:hAnsi="Arial"/>
          <w:sz w:val="16"/>
          <w:szCs w:val="16"/>
          <w:color w:val="auto"/>
        </w:rPr>
      </w:pPr>
    </w:p>
    <w:p>
      <w:pPr>
        <w:jc w:val="both"/>
        <w:ind w:firstLine="656"/>
        <w:spacing w:after="0" w:line="285" w:lineRule="auto"/>
        <w:tabs>
          <w:tab w:leader="none" w:pos="144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and Company Officers and Directors</w:t>
      </w:r>
      <w:r>
        <w:rPr>
          <w:rFonts w:ascii="Arial" w:cs="Arial" w:eastAsia="Arial" w:hAnsi="Arial"/>
          <w:sz w:val="16"/>
          <w:szCs w:val="16"/>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(the “</w:t>
      </w:r>
      <w:r>
        <w:rPr>
          <w:rFonts w:ascii="Arial" w:cs="Arial" w:eastAsia="Arial" w:hAnsi="Arial"/>
          <w:sz w:val="16"/>
          <w:szCs w:val="16"/>
          <w:b w:val="1"/>
          <w:bCs w:val="1"/>
          <w:color w:val="auto"/>
        </w:rPr>
        <w:t>Agent Information</w:t>
      </w:r>
      <w:r>
        <w:rPr>
          <w:rFonts w:ascii="Arial" w:cs="Arial" w:eastAsia="Arial" w:hAnsi="Arial"/>
          <w:sz w:val="16"/>
          <w:szCs w:val="16"/>
          <w:color w:val="auto"/>
        </w:rPr>
        <w:t>”) consists of the information set forth in the first sentence of the ninth paragraph under the caption “Plan of Distribution” in the Prospectus, and to reimburse the Company and each such director, officer and controlling person for any and all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ind w:left="-20" w:firstLine="656"/>
        <w:spacing w:after="0" w:line="267" w:lineRule="auto"/>
        <w:tabs>
          <w:tab w:leader="none" w:pos="1417"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Notifications and Other Indemnification Procedures</w:t>
      </w:r>
      <w:r>
        <w:rPr>
          <w:rFonts w:ascii="Arial" w:cs="Arial" w:eastAsia="Arial" w:hAnsi="Arial"/>
          <w:sz w:val="17"/>
          <w:szCs w:val="17"/>
          <w:color w:val="auto"/>
        </w:rPr>
        <w:t xml:space="preserve">. Promptly after receipt by an indemnified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notice of the commencement of any action, such indemnified party will, if a claim in respect thereof is to be made against an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notify the indemnifying party in writing of the commencement thereof, but the omission to notify the indemnifying party will not relieve it from any liability which it may have to any indemnified party for contribution or otherwise than under the indemnity agreement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to the extent it is not materially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in writing by the indemnified party (in the case of counsel for the indemnified parties referred to in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3" w:name="page34"/>
    <w:bookmarkEnd w:id="33"/>
    <w:p>
      <w:pPr>
        <w:jc w:val="both"/>
        <w:ind w:firstLine="656"/>
        <w:spacing w:after="0" w:line="269" w:lineRule="auto"/>
        <w:tabs>
          <w:tab w:leader="none" w:pos="1528"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Settlements</w:t>
      </w:r>
      <w:r>
        <w:rPr>
          <w:rFonts w:ascii="Arial" w:cs="Arial" w:eastAsia="Arial" w:hAnsi="Arial"/>
          <w:sz w:val="17"/>
          <w:szCs w:val="17"/>
          <w:color w:val="auto"/>
        </w:rPr>
        <w:t xml:space="preserve">. The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the indemnifying party agrees that it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2" w:lineRule="exact"/>
        <w:rPr>
          <w:rFonts w:ascii="Arial" w:cs="Arial" w:eastAsia="Arial" w:hAnsi="Arial"/>
          <w:sz w:val="17"/>
          <w:szCs w:val="17"/>
          <w:color w:val="auto"/>
        </w:rPr>
      </w:pPr>
    </w:p>
    <w:p>
      <w:pPr>
        <w:jc w:val="both"/>
        <w:ind w:firstLine="656"/>
        <w:spacing w:after="0" w:line="268" w:lineRule="auto"/>
        <w:tabs>
          <w:tab w:leader="none" w:pos="1437"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with respect to notice of commencement of any action shall apply if a claim for contribution is to be made under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additional notice shall be required with respect to any action for which notice has been given under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for purposes of indemnification.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648"/>
        <w:spacing w:after="0" w:line="308" w:lineRule="auto"/>
        <w:rPr>
          <w:sz w:val="20"/>
          <w:szCs w:val="20"/>
          <w:color w:val="auto"/>
        </w:rPr>
      </w:pPr>
      <w:r>
        <w:rPr>
          <w:rFonts w:ascii="Arial" w:cs="Arial" w:eastAsia="Arial" w:hAnsi="Arial"/>
          <w:sz w:val="17"/>
          <w:szCs w:val="17"/>
          <w:color w:val="auto"/>
        </w:rPr>
        <w:t xml:space="preserve">The Company and the Agent agree that it would not be just and equitable if contribution pursuant to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Section 6(e)</w:t>
      </w:r>
      <w:r>
        <w:rPr>
          <w:rFonts w:ascii="Arial" w:cs="Arial" w:eastAsia="Arial" w:hAnsi="Arial"/>
          <w:sz w:val="17"/>
          <w:szCs w:val="17"/>
          <w:color w:val="auto"/>
        </w:rPr>
        <w: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229" w:lineRule="exact"/>
        <w:rPr>
          <w:sz w:val="20"/>
          <w:szCs w:val="20"/>
          <w:color w:val="auto"/>
        </w:rPr>
      </w:pPr>
    </w:p>
    <w:p>
      <w:pPr>
        <w:ind w:firstLine="656"/>
        <w:spacing w:after="0" w:line="277" w:lineRule="auto"/>
        <w:tabs>
          <w:tab w:leader="none" w:pos="134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97"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(B)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58" w:lineRule="exact"/>
        <w:rPr>
          <w:rFonts w:ascii="Arial" w:cs="Arial" w:eastAsia="Arial" w:hAnsi="Arial"/>
          <w:sz w:val="16"/>
          <w:szCs w:val="16"/>
          <w:color w:val="auto"/>
        </w:rPr>
      </w:pPr>
    </w:p>
    <w:p>
      <w:pPr>
        <w:jc w:val="both"/>
        <w:ind w:left="1300" w:hanging="320"/>
        <w:spacing w:after="0" w:line="25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Section 8. MISCELLANEOUS</w:t>
      </w:r>
    </w:p>
    <w:p>
      <w:pPr>
        <w:spacing w:after="0" w:line="229" w:lineRule="exact"/>
        <w:rPr>
          <w:sz w:val="20"/>
          <w:szCs w:val="20"/>
          <w:color w:val="auto"/>
        </w:rPr>
      </w:pPr>
    </w:p>
    <w:p>
      <w:pPr>
        <w:jc w:val="both"/>
        <w:ind w:firstLine="656"/>
        <w:spacing w:after="0" w:line="288" w:lineRule="auto"/>
        <w:tabs>
          <w:tab w:leader="none" w:pos="149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Press Releases and Disclosure</w:t>
      </w:r>
      <w:r>
        <w:rPr>
          <w:rFonts w:ascii="Arial" w:cs="Arial" w:eastAsia="Arial" w:hAnsi="Arial"/>
          <w:sz w:val="16"/>
          <w:szCs w:val="16"/>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69" w:lineRule="exact"/>
        <w:rPr>
          <w:rFonts w:ascii="Arial" w:cs="Arial" w:eastAsia="Arial" w:hAnsi="Arial"/>
          <w:sz w:val="16"/>
          <w:szCs w:val="16"/>
          <w:color w:val="auto"/>
        </w:rPr>
      </w:pPr>
    </w:p>
    <w:p>
      <w:pPr>
        <w:jc w:val="both"/>
        <w:ind w:firstLine="656"/>
        <w:spacing w:after="0" w:line="289" w:lineRule="auto"/>
        <w:tabs>
          <w:tab w:leader="none" w:pos="139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rFonts w:ascii="Arial" w:cs="Arial" w:eastAsia="Arial" w:hAnsi="Arial"/>
          <w:sz w:val="16"/>
          <w:szCs w:val="16"/>
          <w:color w:val="auto"/>
        </w:rPr>
      </w:pPr>
    </w:p>
    <w:p>
      <w:pPr>
        <w:jc w:val="both"/>
        <w:ind w:firstLine="656"/>
        <w:spacing w:after="0" w:line="293" w:lineRule="auto"/>
        <w:tabs>
          <w:tab w:leader="none" w:pos="141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1420" w:hanging="764"/>
        <w:spacing w:after="0"/>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shall be in writing and shall be mailed, hand delivered or telecopied and confirmed to the parties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 as follows: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(858) 523-5450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Cheston J. Larson, Esq.</w:t>
      </w:r>
    </w:p>
    <w:p>
      <w:pPr>
        <w:spacing w:after="0" w:line="211" w:lineRule="exact"/>
        <w:rPr>
          <w:sz w:val="20"/>
          <w:szCs w:val="20"/>
          <w:color w:val="auto"/>
        </w:rPr>
      </w:pPr>
    </w:p>
    <w:p>
      <w:pPr>
        <w:jc w:val="center"/>
        <w:ind w:right="7840"/>
        <w:spacing w:after="0"/>
        <w:rPr>
          <w:sz w:val="20"/>
          <w:szCs w:val="20"/>
          <w:color w:val="auto"/>
        </w:rPr>
      </w:pPr>
      <w:r>
        <w:rPr>
          <w:rFonts w:ascii="Arial" w:cs="Arial" w:eastAsia="Arial" w:hAnsi="Arial"/>
          <w:sz w:val="18"/>
          <w:szCs w:val="18"/>
          <w:color w:val="auto"/>
        </w:rPr>
        <w:t>If to the Company until March 13, 2020: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jc w:val="center"/>
        <w:ind w:right="7840"/>
        <w:spacing w:after="0"/>
        <w:rPr>
          <w:sz w:val="20"/>
          <w:szCs w:val="20"/>
          <w:color w:val="auto"/>
        </w:rPr>
      </w:pPr>
      <w:r>
        <w:rPr>
          <w:rFonts w:ascii="Arial" w:cs="Arial" w:eastAsia="Arial" w:hAnsi="Arial"/>
          <w:sz w:val="18"/>
          <w:szCs w:val="18"/>
          <w:color w:val="auto"/>
        </w:rPr>
        <w:t>If to the Company after March 13, 2020: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Two Tower Place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Robert F. Kornegay and Zachary B. Myers.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left="-20" w:firstLine="656"/>
        <w:spacing w:after="0" w:line="312" w:lineRule="auto"/>
        <w:tabs>
          <w:tab w:leader="none" w:pos="132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46" w:lineRule="exact"/>
        <w:rPr>
          <w:rFonts w:ascii="Arial" w:cs="Arial" w:eastAsia="Arial" w:hAnsi="Arial"/>
          <w:sz w:val="16"/>
          <w:szCs w:val="16"/>
          <w:color w:val="auto"/>
        </w:rPr>
      </w:pPr>
    </w:p>
    <w:p>
      <w:pPr>
        <w:jc w:val="both"/>
        <w:ind w:left="-20" w:firstLine="656"/>
        <w:spacing w:after="0" w:line="259" w:lineRule="auto"/>
        <w:tabs>
          <w:tab w:leader="none" w:pos="149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jc w:val="both"/>
        <w:ind w:left="-20" w:firstLine="656"/>
        <w:spacing w:after="0" w:line="270" w:lineRule="auto"/>
        <w:tabs>
          <w:tab w:leader="none" w:pos="138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w:t>
      </w:r>
      <w:r>
        <w:rPr>
          <w:rFonts w:ascii="Arial" w:cs="Arial" w:eastAsia="Arial" w:hAnsi="Arial"/>
          <w:sz w:val="17"/>
          <w:szCs w:val="17"/>
          <w:color w:val="auto"/>
        </w:rPr>
        <w:t xml:space="preserve"> </w:t>
      </w:r>
      <w:r>
        <w:rPr>
          <w:rFonts w:ascii="Arial" w:cs="Arial" w:eastAsia="Arial" w:hAnsi="Arial"/>
          <w:sz w:val="17"/>
          <w:szCs w:val="17"/>
          <w:b w:val="1"/>
          <w:bCs w:val="1"/>
          <w:color w:val="auto"/>
        </w:rPr>
        <w:t>Courts</w:t>
      </w:r>
      <w:r>
        <w:rPr>
          <w:rFonts w:ascii="Arial" w:cs="Arial" w:eastAsia="Arial" w:hAnsi="Arial"/>
          <w:sz w:val="17"/>
          <w:szCs w:val="17"/>
          <w:color w:val="auto"/>
        </w:rPr>
        <w:t>”), and each party irrevocably submits to the exclusive jurisdiction (except for proceedings instituted in regard to the enforcement of a judgment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7" w:lineRule="exact"/>
        <w:rPr>
          <w:rFonts w:ascii="Arial" w:cs="Arial" w:eastAsia="Arial" w:hAnsi="Arial"/>
          <w:sz w:val="17"/>
          <w:szCs w:val="17"/>
          <w:color w:val="auto"/>
        </w:rPr>
      </w:pPr>
    </w:p>
    <w:p>
      <w:pPr>
        <w:jc w:val="both"/>
        <w:ind w:left="-20" w:firstLine="656"/>
        <w:spacing w:after="0" w:line="255" w:lineRule="auto"/>
        <w:tabs>
          <w:tab w:leader="none" w:pos="142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Immediately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8" w:name="page39"/>
    <w:bookmarkEnd w:id="38"/>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Vikram Jog</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Agreement is hereby confirmed and accepted by the Agent in New York, New York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Donald Lynaugh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Reference is made to the Open Market Sale Agreement between Fluidigm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Jefferies LLC (the “</w:t>
      </w:r>
      <w:r>
        <w:rPr>
          <w:rFonts w:ascii="Arial" w:cs="Arial" w:eastAsia="Arial" w:hAnsi="Arial"/>
          <w:sz w:val="18"/>
          <w:szCs w:val="18"/>
          <w:b w:val="1"/>
          <w:bCs w:val="1"/>
          <w:color w:val="auto"/>
        </w:rPr>
        <w:t>Agent</w:t>
      </w:r>
      <w:r>
        <w:rPr>
          <w:rFonts w:ascii="Arial" w:cs="Arial" w:eastAsia="Arial" w:hAnsi="Arial"/>
          <w:sz w:val="18"/>
          <w:szCs w:val="18"/>
          <w:color w:val="auto"/>
        </w:rPr>
        <w:t>”) dated as of March 4, 2020. The Company confirms that all conditions to the delivery of this Issuance Notice are satisfied as of the date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 of Delivery of Issuance Notice (determined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1780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14605</wp:posOffset>
            </wp:positionV>
            <wp:extent cx="2752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306705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297815</wp:posOffset>
            </wp:positionV>
            <wp:extent cx="22123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4645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center"/>
        <w:ind w:right="-122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Vikram Jog (vikram.jog@fluidigm.com)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Stephen Christopher Linthwaite (christopher.linthwaite@fluidigm.com)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Real Leclerc (rleclerk@jefferies.com)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 (mmagarro@jefferies.com)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Donald Lynaugh (dlynaugh@jefferies.com)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acted as counsel to Fluidigm Corporation, a Delaware corporation (the “Company”), in connection with the registration of the offer and sale of up to $50,000,000 of shares (the “Shares”) of the Company’s common stock, $0.001 par value per share, pursuant to the Company’s shelf Registration Statement on Form S-3 (File No. 333-2230383), as amended, filed on March 18, 2019, as amended by Post-Effective Amendment No. 1 on February 14, 2020 and, when and if declared effective, Post-Effective Amendment No. 2 on February 27, 2020 (the “Registration Statement”).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offering and sale of the Shares are being made pursuant to the Open Market Sale Agreement (the “Sales Agreement”), dated as of March 4, 2020, by and between the Company and Jefferies LLC.</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examined copies of the Sales Agreement, the Registration Statement, the base prospectus that forms a part thereof and the prospectus supplement thereto related to the offering of the Shares, which prospectus supplement is dated as of the date hereof and will be filed by the Company in accordance with Rule 424(b) promulgated under the Securities Act of 1933. We have also examined instruments, documents and records which we deemed relevant and necessary for the basis of our opinion hereinafter expressed.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such examination, we have assumed (i) the authenticity of original documents and the genuineness of all signatures, (ii) the conformity to the originals of all documents submitted to us as copies, and (iii) the truth, accuracy, and completeness of the information, representations and warranties contained in the records, documents, instruments and certificates we have reviewed.</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Based on and subject to the foregoing, we are of the opinion that the Shares have been duly authorized by the Company and, when issued and delivered by the Company against payment therefor in accordance with the terms of the Sales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express no opinion as to the laws of any other jurisdiction other than the federal laws of the United States of America and the General Corporation Law of the State of Delaware.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hereby consent to the use of this opinion as an exhibit to the Company’s Current Report on Form 8-K, filed on or about March 4, 2020, for incorporation by reference into the Registration Statement.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4"/>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2"/>
    </w:lvl>
  </w:abstractNum>
  <w:abstractNum w:abstractNumId="5">
    <w:nsid w:val="B03E0C6"/>
    <w:multiLevelType w:val="hybridMultilevel"/>
    <w:lvl w:ilvl="0">
      <w:lvlJc w:val="left"/>
      <w:lvlText w:val="(%1)"/>
      <w:numFmt w:val="lowerLetter"/>
      <w:start w:val="3"/>
    </w:lvl>
  </w:abstractNum>
  <w:abstractNum w:abstractNumId="6">
    <w:nsid w:val="189A769B"/>
    <w:multiLevelType w:val="hybridMultilevel"/>
    <w:lvl w:ilvl="0">
      <w:lvlJc w:val="left"/>
      <w:lvlText w:val="(%1)"/>
      <w:numFmt w:val="lowerLetter"/>
      <w:start w:val="6"/>
    </w:lvl>
  </w:abstractNum>
  <w:abstractNum w:abstractNumId="7">
    <w:nsid w:val="54E49EB4"/>
    <w:multiLevelType w:val="hybridMultilevel"/>
    <w:lvl w:ilvl="0">
      <w:lvlJc w:val="left"/>
      <w:lvlText w:val="%1"/>
      <w:numFmt w:val="lowerLetter"/>
      <w:start w:val="1"/>
    </w:lvl>
    <w:lvl w:ilvl="1">
      <w:lvlJc w:val="left"/>
      <w:lvlText w:val="(%2)"/>
      <w:numFmt w:val="lowerLetter"/>
      <w:start w:val="9"/>
    </w:lvl>
  </w:abstractNum>
  <w:abstractNum w:abstractNumId="8">
    <w:nsid w:val="71F32454"/>
    <w:multiLevelType w:val="hybridMultilevel"/>
    <w:lvl w:ilvl="0">
      <w:lvlJc w:val="left"/>
      <w:lvlText w:val="(%1)"/>
      <w:numFmt w:val="lowerLetter"/>
      <w:start w:val="9"/>
    </w:lvl>
    <w:lvl w:ilvl="1">
      <w:lvlJc w:val="left"/>
      <w:lvlText w:val="(%2)"/>
      <w:numFmt w:val="lowerLetter"/>
      <w:start w:val="11"/>
    </w:lvl>
  </w:abstractNum>
  <w:abstractNum w:abstractNumId="9">
    <w:nsid w:val="2CA88611"/>
    <w:multiLevelType w:val="hybridMultilevel"/>
    <w:lvl w:ilvl="0">
      <w:lvlJc w:val="left"/>
      <w:lvlText w:val="(%1)"/>
      <w:numFmt w:val="lowerLetter"/>
      <w:start w:val="15"/>
    </w:lvl>
  </w:abstractNum>
  <w:abstractNum w:abstractNumId="10">
    <w:nsid w:val="836C40E"/>
    <w:multiLevelType w:val="hybridMultilevel"/>
    <w:lvl w:ilvl="0">
      <w:lvlJc w:val="left"/>
      <w:lvlText w:val="(%1)"/>
      <w:numFmt w:val="lowerLetter"/>
      <w:start w:val="18"/>
    </w:lvl>
  </w:abstractNum>
  <w:abstractNum w:abstractNumId="11">
    <w:nsid w:val="2901D82"/>
    <w:multiLevelType w:val="hybridMultilevel"/>
    <w:lvl w:ilvl="0">
      <w:lvlJc w:val="left"/>
      <w:lvlText w:val="%1"/>
      <w:numFmt w:val="lowerLetter"/>
      <w:start w:val="1"/>
    </w:lvl>
    <w:lvl w:ilvl="1">
      <w:lvlJc w:val="left"/>
      <w:lvlText w:val="(%2)"/>
      <w:numFmt w:val="lowerLetter"/>
      <w:start w:val="21"/>
    </w:lvl>
  </w:abstractNum>
  <w:abstractNum w:abstractNumId="12">
    <w:nsid w:val="3A95F874"/>
    <w:multiLevelType w:val="hybridMultilevel"/>
    <w:lvl w:ilvl="0">
      <w:lvlJc w:val="left"/>
      <w:lvlText w:val="(%1)"/>
      <w:numFmt w:val="lowerLetter"/>
      <w:start w:val="9"/>
    </w:lvl>
    <w:lvl w:ilvl="1">
      <w:lvlJc w:val="left"/>
      <w:lvlText w:val="(%2)"/>
      <w:numFmt w:val="lowerLetter"/>
      <w:start w:val="24"/>
    </w:lvl>
  </w:abstractNum>
  <w:abstractNum w:abstractNumId="13">
    <w:nsid w:val="8138641"/>
    <w:multiLevelType w:val="hybridMultilevel"/>
    <w:lvl w:ilvl="0">
      <w:lvlJc w:val="left"/>
      <w:lvlText w:val="(%1)"/>
      <w:numFmt w:val="lowerLetter"/>
      <w:start w:val="27"/>
    </w:lvl>
  </w:abstractNum>
  <w:abstractNum w:abstractNumId="14">
    <w:nsid w:val="1E7FF521"/>
    <w:multiLevelType w:val="hybridMultilevel"/>
    <w:lvl w:ilvl="0">
      <w:lvlJc w:val="left"/>
      <w:lvlText w:val="(%1)"/>
      <w:numFmt w:val="lowerLetter"/>
      <w:start w:val="33"/>
    </w:lvl>
  </w:abstractNum>
  <w:abstractNum w:abstractNumId="15">
    <w:nsid w:val="7C3DBD3D"/>
    <w:multiLevelType w:val="hybridMultilevel"/>
    <w:lvl w:ilvl="0">
      <w:lvlJc w:val="left"/>
      <w:lvlText w:val="(%1)"/>
      <w:numFmt w:val="lowerLetter"/>
      <w:start w:val="37"/>
    </w:lvl>
  </w:abstractNum>
  <w:abstractNum w:abstractNumId="16">
    <w:nsid w:val="737B8DDC"/>
    <w:multiLevelType w:val="hybridMultilevel"/>
    <w:lvl w:ilvl="0">
      <w:lvlJc w:val="left"/>
      <w:lvlText w:val="(%1)"/>
      <w:numFmt w:val="lowerLetter"/>
      <w:start w:val="39"/>
    </w:lvl>
  </w:abstractNum>
  <w:abstractNum w:abstractNumId="17">
    <w:nsid w:val="6CEAF087"/>
    <w:multiLevelType w:val="hybridMultilevel"/>
    <w:lvl w:ilvl="0">
      <w:lvlJc w:val="left"/>
      <w:lvlText w:val="(%1)"/>
      <w:numFmt w:val="lowerLetter"/>
      <w:start w:val="43"/>
    </w:lvl>
  </w:abstractNum>
  <w:abstractNum w:abstractNumId="18">
    <w:nsid w:val="22221A70"/>
    <w:multiLevelType w:val="hybridMultilevel"/>
    <w:lvl w:ilvl="0">
      <w:lvlJc w:val="left"/>
      <w:lvlText w:val="(%1)"/>
      <w:numFmt w:val="lowerLetter"/>
      <w:start w:val="49"/>
    </w:lvl>
  </w:abstractNum>
  <w:abstractNum w:abstractNumId="19">
    <w:nsid w:val="4516DDE9"/>
    <w:multiLevelType w:val="hybridMultilevel"/>
    <w:lvl w:ilvl="0">
      <w:lvlJc w:val="left"/>
      <w:lvlText w:val="(%1)"/>
      <w:numFmt w:val="lowerLetter"/>
      <w:start w:val="52"/>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Roman"/>
      <w:start w:val="1"/>
    </w:lvl>
  </w:abstractNum>
  <w:abstractNum w:abstractNumId="22">
    <w:nsid w:val="419AC241"/>
    <w:multiLevelType w:val="hybridMultilevel"/>
    <w:lvl w:ilvl="0">
      <w:lvlJc w:val="left"/>
      <w:lvlText w:val="%1"/>
      <w:numFmt w:val="upperLetter"/>
      <w:start w:val="1"/>
    </w:lvl>
    <w:lvl w:ilvl="1">
      <w:lvlJc w:val="left"/>
      <w:lvlText w:val="(%2)"/>
      <w:numFmt w:val="lowerRoman"/>
      <w:start w:val="3"/>
    </w:lvl>
  </w:abstractNum>
  <w:abstractNum w:abstractNumId="23">
    <w:nsid w:val="5577F8E1"/>
    <w:multiLevelType w:val="hybridMultilevel"/>
    <w:lvl w:ilvl="0">
      <w:lvlJc w:val="left"/>
      <w:lvlText w:val="(%1)"/>
      <w:numFmt w:val="upperLetter"/>
      <w:start w:val="2"/>
    </w:lvl>
    <w:lvl w:ilvl="1">
      <w:lvlJc w:val="left"/>
      <w:lvlText w:val="(%2)"/>
      <w:numFmt w:val="lowerRoman"/>
      <w:start w:val="4"/>
    </w:lvl>
  </w:abstractNum>
  <w:abstractNum w:abstractNumId="24">
    <w:nsid w:val="440BADFC"/>
    <w:multiLevelType w:val="hybridMultilevel"/>
    <w:lvl w:ilvl="0">
      <w:lvlJc w:val="left"/>
      <w:lvlText w:val="(%1)"/>
      <w:numFmt w:val="lowerRoman"/>
      <w:start w:val="7"/>
    </w:lvl>
  </w:abstractNum>
  <w:abstractNum w:abstractNumId="25">
    <w:nsid w:val="5072367"/>
    <w:multiLevelType w:val="hybridMultilevel"/>
    <w:lvl w:ilvl="0">
      <w:lvlJc w:val="left"/>
      <w:lvlText w:val="%1"/>
      <w:numFmt w:val="lowerRoman"/>
      <w:start w:val="1"/>
    </w:lvl>
    <w:lvl w:ilvl="1">
      <w:lvlJc w:val="left"/>
      <w:lvlText w:val="(%2)"/>
      <w:numFmt w:val="lowerLetter"/>
      <w:start w:val="3"/>
    </w:lvl>
  </w:abstractNum>
  <w:abstractNum w:abstractNumId="26">
    <w:nsid w:val="3804823E"/>
    <w:multiLevelType w:val="hybridMultilevel"/>
    <w:lvl w:ilvl="0">
      <w:lvlJc w:val="left"/>
      <w:lvlText w:val="(%1)"/>
      <w:numFmt w:val="lowerRoman"/>
      <w:start w:val="7"/>
    </w:lvl>
    <w:lvl w:ilvl="1">
      <w:lvlJc w:val="left"/>
      <w:lvlText w:val="%2"/>
      <w:numFmt w:val="lowerLetter"/>
      <w:start w:val="1"/>
    </w:lvl>
  </w:abstractNum>
  <w:abstractNum w:abstractNumId="27">
    <w:nsid w:val="77465F01"/>
    <w:multiLevelType w:val="hybridMultilevel"/>
    <w:lvl w:ilvl="0">
      <w:lvlJc w:val="left"/>
      <w:lvlText w:val="%1"/>
      <w:numFmt w:val="lowerLetter"/>
      <w:start w:val="1"/>
    </w:lvl>
    <w:lvl w:ilvl="1">
      <w:lvlJc w:val="left"/>
      <w:lvlText w:val="(%2)"/>
      <w:numFmt w:val="lowerLetter"/>
      <w:start w:val="1"/>
    </w:lvl>
  </w:abstractNum>
  <w:abstractNum w:abstractNumId="28">
    <w:nsid w:val="7724C67E"/>
    <w:multiLevelType w:val="hybridMultilevel"/>
    <w:lvl w:ilvl="0">
      <w:lvlJc w:val="left"/>
      <w:lvlText w:val="(%1)"/>
      <w:numFmt w:val="lowerLetter"/>
      <w:start w:val="35"/>
    </w:lvl>
    <w:lvl w:ilvl="1">
      <w:lvlJc w:val="left"/>
      <w:lvlText w:val="(%2)"/>
      <w:numFmt w:val="lowerLetter"/>
      <w:start w:val="3"/>
    </w:lvl>
  </w:abstractNum>
  <w:abstractNum w:abstractNumId="29">
    <w:nsid w:val="5C482A97"/>
    <w:multiLevelType w:val="hybridMultilevel"/>
    <w:lvl w:ilvl="0">
      <w:lvlJc w:val="left"/>
      <w:lvlText w:val="(%1)"/>
      <w:numFmt w:val="lowerLetter"/>
      <w:start w:val="4"/>
    </w:lvl>
  </w:abstractNum>
  <w:abstractNum w:abstractNumId="30">
    <w:nsid w:val="2463B9EA"/>
    <w:multiLevelType w:val="hybridMultilevel"/>
    <w:lvl w:ilvl="0">
      <w:lvlJc w:val="left"/>
      <w:lvlText w:val="(%1)"/>
      <w:numFmt w:val="lowerLetter"/>
      <w:start w:val="7"/>
    </w:lvl>
  </w:abstractNum>
  <w:abstractNum w:abstractNumId="31">
    <w:nsid w:val="5E884ADC"/>
    <w:multiLevelType w:val="hybridMultilevel"/>
    <w:lvl w:ilvl="0">
      <w:lvlJc w:val="left"/>
      <w:lvlText w:val="(%1)"/>
      <w:numFmt w:val="lowerLetter"/>
      <w:start w:val="10"/>
    </w:lvl>
  </w:abstractNum>
  <w:abstractNum w:abstractNumId="32">
    <w:nsid w:val="51EAD36B"/>
    <w:multiLevelType w:val="hybridMultilevel"/>
    <w:lvl w:ilvl="0">
      <w:lvlJc w:val="left"/>
      <w:lvlText w:val="(%1)"/>
      <w:numFmt w:val="lowerLetter"/>
      <w:start w:val="15"/>
    </w:lvl>
    <w:lvl w:ilvl="1">
      <w:lvlJc w:val="left"/>
      <w:lvlText w:val="(%2)"/>
      <w:numFmt w:val="lowerRoman"/>
      <w:start w:val="1"/>
    </w:lvl>
  </w:abstractNum>
  <w:abstractNum w:abstractNumId="33">
    <w:nsid w:val="2D517796"/>
    <w:multiLevelType w:val="hybridMultilevel"/>
    <w:lvl w:ilvl="0">
      <w:lvlJc w:val="left"/>
      <w:lvlText w:val="(%1)"/>
      <w:numFmt w:val="lowerLetter"/>
      <w:start w:val="16"/>
    </w:lvl>
  </w:abstractNum>
  <w:abstractNum w:abstractNumId="34">
    <w:nsid w:val="580BD78F"/>
    <w:multiLevelType w:val="hybridMultilevel"/>
    <w:lvl w:ilvl="0">
      <w:lvlJc w:val="left"/>
      <w:lvlText w:val="(%1)"/>
      <w:numFmt w:val="lowerLetter"/>
      <w:start w:val="19"/>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Roman"/>
      <w:start w:val="1"/>
    </w:lvl>
  </w:abstractNum>
  <w:abstractNum w:abstractNumId="37">
    <w:nsid w:val="70A64E2A"/>
    <w:multiLevelType w:val="hybridMultilevel"/>
    <w:lvl w:ilvl="0">
      <w:lvlJc w:val="left"/>
      <w:lvlText w:val="(%1)"/>
      <w:numFmt w:val="lowerRoman"/>
      <w:start w:val="4"/>
    </w:lvl>
  </w:abstractNum>
  <w:abstractNum w:abstractNumId="38">
    <w:nsid w:val="6A2342EC"/>
    <w:multiLevelType w:val="hybridMultilevel"/>
    <w:lvl w:ilvl="0">
      <w:lvlJc w:val="left"/>
      <w:lvlText w:val="(%1)"/>
      <w:numFmt w:val="lowerLetter"/>
      <w:start w:val="2"/>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Letter"/>
      <w:start w:val="3"/>
    </w:lvl>
  </w:abstractNum>
  <w:abstractNum w:abstractNumId="41">
    <w:nsid w:val="725A06FB"/>
    <w:multiLevelType w:val="hybridMultilevel"/>
    <w:lvl w:ilvl="0">
      <w:lvlJc w:val="left"/>
      <w:lvlText w:val="(%1)"/>
      <w:numFmt w:val="lowerLetter"/>
      <w:start w:val="4"/>
    </w:lvl>
  </w:abstractNum>
  <w:abstractNum w:abstractNumId="42">
    <w:nsid w:val="2CD89A32"/>
    <w:multiLevelType w:val="hybridMultilevel"/>
    <w:lvl w:ilvl="0">
      <w:lvlJc w:val="left"/>
      <w:lvlText w:val="(%1)"/>
      <w:numFmt w:val="lowerLetter"/>
      <w:start w:val="1"/>
    </w:lvl>
    <w:lvl w:ilvl="1">
      <w:lvlJc w:val="left"/>
      <w:lvlText w:val="(%2)"/>
      <w:numFmt w:val="lowerRoman"/>
      <w:start w:val="1"/>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Letter"/>
      <w:start w:val="4"/>
    </w:lvl>
  </w:abstractNum>
  <w:abstractNum w:abstractNumId="45">
    <w:nsid w:val="4B588F54"/>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2020-03-05T05:10:57Z</dcterms:created>
  <dcterms:modified xsi:type="dcterms:W3CDTF">2020-03-05T05:10:57Z</dcterms:modified>
</cp:coreProperties>
</file>