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45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4554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20" w:type="dxa"/>
            <w:vAlign w:val="bottom"/>
            <w:gridSpan w:val="2"/>
            <w:vMerge w:val="restart"/>
          </w:tcPr>
          <w:p>
            <w:pPr>
              <w:ind w:left="2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Khadder Nicholas</w:t>
              </w:r>
            </w:hyperlink>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Arial" w:cs="Arial" w:eastAsia="Arial" w:hAnsi="Arial"/>
                <w:sz w:val="13"/>
                <w:szCs w:val="13"/>
                <w:color w:val="0000FF"/>
              </w:rPr>
              <w:t>05/05/2020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0"/>
                <w:szCs w:val="10"/>
                <w:color w:val="auto"/>
              </w:rPr>
              <w:t>(Last)</w:t>
            </w:r>
          </w:p>
        </w:tc>
        <w:tc>
          <w:tcPr>
            <w:tcW w:w="1360" w:type="dxa"/>
            <w:vAlign w:val="bottom"/>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7" w:lineRule="exact"/>
        <w:rPr>
          <w:sz w:val="24"/>
          <w:szCs w:val="24"/>
          <w:color w:val="auto"/>
        </w:rPr>
      </w:pPr>
    </w:p>
    <w:p>
      <w:pPr>
        <w:spacing w:after="0"/>
        <w:rPr>
          <w:rFonts w:ascii="Arial" w:cs="Arial" w:eastAsia="Arial" w:hAnsi="Arial"/>
          <w:sz w:val="16"/>
          <w:szCs w:val="16"/>
          <w:color w:val="0000EE"/>
        </w:rPr>
      </w:pPr>
      <w:hyperlink r:id="rId13">
        <w:r>
          <w:rPr>
            <w:rFonts w:ascii="Arial" w:cs="Arial" w:eastAsia="Arial" w:hAnsi="Arial"/>
            <w:sz w:val="16"/>
            <w:szCs w:val="16"/>
            <w:u w:val="single" w:color="auto"/>
            <w:color w:val="0000EE"/>
          </w:rPr>
          <w:t>FLUIDIGM CORP</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FLDM</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399"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6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2000" w:type="dxa"/>
            <w:vAlign w:val="bottom"/>
            <w:gridSpan w:val="2"/>
          </w:tcPr>
          <w:p>
            <w:pPr>
              <w:ind w:left="40"/>
              <w:spacing w:after="0"/>
              <w:rPr>
                <w:sz w:val="20"/>
                <w:szCs w:val="20"/>
                <w:color w:val="auto"/>
              </w:rPr>
            </w:pPr>
            <w:r>
              <w:rPr>
                <w:rFonts w:ascii="Arial" w:cs="Arial" w:eastAsia="Arial" w:hAnsi="Arial"/>
                <w:sz w:val="13"/>
                <w:szCs w:val="13"/>
                <w:color w:val="0000FF"/>
              </w:rPr>
              <w:t>C/O FLUIDIGM CORPORATION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00" w:type="dxa"/>
            <w:vAlign w:val="bottom"/>
            <w:gridSpan w:val="2"/>
          </w:tcPr>
          <w:p>
            <w:pPr>
              <w:ind w:left="40"/>
              <w:spacing w:after="0"/>
              <w:rPr>
                <w:sz w:val="20"/>
                <w:szCs w:val="20"/>
                <w:color w:val="auto"/>
              </w:rPr>
            </w:pPr>
            <w:r>
              <w:rPr>
                <w:rFonts w:ascii="Arial" w:cs="Arial" w:eastAsia="Arial" w:hAnsi="Arial"/>
                <w:sz w:val="13"/>
                <w:szCs w:val="13"/>
                <w:color w:val="0000FF"/>
              </w:rPr>
              <w:t>2 TOWER PLACE, STE 2000</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920" w:type="dxa"/>
            <w:vAlign w:val="bottom"/>
          </w:tcPr>
          <w:p>
            <w:pPr>
              <w:spacing w:after="0"/>
              <w:rPr>
                <w:sz w:val="20"/>
                <w:szCs w:val="20"/>
                <w:color w:val="auto"/>
              </w:rPr>
            </w:pPr>
            <w:r>
              <w:rPr>
                <w:rFonts w:ascii="Arial" w:cs="Arial" w:eastAsia="Arial" w:hAnsi="Arial"/>
                <w:sz w:val="10"/>
                <w:szCs w:val="10"/>
                <w:color w:val="auto"/>
              </w:rPr>
              <w:t>(Street)</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ind w:left="40"/>
              <w:spacing w:after="0"/>
              <w:rPr>
                <w:sz w:val="20"/>
                <w:szCs w:val="20"/>
                <w:color w:val="auto"/>
              </w:rPr>
            </w:pPr>
            <w:r>
              <w:rPr>
                <w:rFonts w:ascii="Arial" w:cs="Arial" w:eastAsia="Arial" w:hAnsi="Arial"/>
                <w:sz w:val="13"/>
                <w:szCs w:val="13"/>
                <w:color w:val="0000FF"/>
              </w:rPr>
              <w:t>SOUTH SAN</w:t>
            </w:r>
          </w:p>
        </w:tc>
        <w:tc>
          <w:tcPr>
            <w:tcW w:w="1080" w:type="dxa"/>
            <w:vAlign w:val="bottom"/>
            <w:vMerge w:val="restart"/>
          </w:tcPr>
          <w:p>
            <w:pPr>
              <w:ind w:left="160"/>
              <w:spacing w:after="0"/>
              <w:rPr>
                <w:sz w:val="20"/>
                <w:szCs w:val="20"/>
                <w:color w:val="auto"/>
              </w:rPr>
            </w:pPr>
            <w:r>
              <w:rPr>
                <w:rFonts w:ascii="Arial" w:cs="Arial" w:eastAsia="Arial" w:hAnsi="Arial"/>
                <w:sz w:val="13"/>
                <w:szCs w:val="13"/>
                <w:color w:val="0000FF"/>
              </w:rPr>
              <w:t>CA</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0000FF"/>
              </w:rPr>
              <w:t>94080</w:t>
            </w:r>
          </w:p>
        </w:tc>
        <w:tc>
          <w:tcPr>
            <w:tcW w:w="0" w:type="dxa"/>
            <w:vAlign w:val="bottom"/>
          </w:tcPr>
          <w:p>
            <w:pPr>
              <w:spacing w:after="0"/>
              <w:rPr>
                <w:sz w:val="1"/>
                <w:szCs w:val="1"/>
                <w:color w:val="auto"/>
              </w:rPr>
            </w:pPr>
          </w:p>
        </w:tc>
      </w:tr>
      <w:tr>
        <w:trPr>
          <w:trHeight w:val="84"/>
        </w:trPr>
        <w:tc>
          <w:tcPr>
            <w:tcW w:w="920" w:type="dxa"/>
            <w:vAlign w:val="bottom"/>
            <w:vMerge w:val="restart"/>
          </w:tcPr>
          <w:p>
            <w:pPr>
              <w:ind w:left="40"/>
              <w:spacing w:after="0"/>
              <w:rPr>
                <w:sz w:val="20"/>
                <w:szCs w:val="20"/>
                <w:color w:val="auto"/>
              </w:rPr>
            </w:pPr>
            <w:r>
              <w:rPr>
                <w:rFonts w:ascii="Arial" w:cs="Arial" w:eastAsia="Arial" w:hAnsi="Arial"/>
                <w:sz w:val="13"/>
                <w:szCs w:val="13"/>
                <w:color w:val="0000FF"/>
              </w:rPr>
              <w:t>FRANCISCO</w:t>
            </w:r>
          </w:p>
        </w:tc>
        <w:tc>
          <w:tcPr>
            <w:tcW w:w="108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765"/>
        <w:spacing w:after="0"/>
        <w:rPr>
          <w:sz w:val="20"/>
          <w:szCs w:val="20"/>
          <w:color w:val="auto"/>
        </w:rPr>
      </w:pPr>
      <w:r>
        <w:rPr>
          <w:rFonts w:ascii="Arial" w:cs="Arial" w:eastAsia="Arial" w:hAnsi="Arial"/>
          <w:sz w:val="13"/>
          <w:szCs w:val="13"/>
          <w:color w:val="0000FF"/>
        </w:rPr>
        <w:t>SVP, Gen. Counsel &amp; Secretary</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8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44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610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6102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40" w:type="dxa"/>
            <w:vAlign w:val="bottom"/>
          </w:tcPr>
          <w:p>
            <w:pPr>
              <w:ind w:left="740"/>
              <w:spacing w:after="0"/>
              <w:rPr>
                <w:sz w:val="20"/>
                <w:szCs w:val="20"/>
                <w:color w:val="auto"/>
              </w:rPr>
            </w:pPr>
            <w:r>
              <w:rPr>
                <w:rFonts w:ascii="Arial" w:cs="Arial" w:eastAsia="Arial" w:hAnsi="Arial"/>
                <w:sz w:val="13"/>
                <w:szCs w:val="13"/>
                <w:color w:val="0000FF"/>
              </w:rPr>
              <w:t>50,668</w:t>
            </w:r>
          </w:p>
        </w:tc>
        <w:tc>
          <w:tcPr>
            <w:tcW w:w="1140" w:type="dxa"/>
            <w:vAlign w:val="bottom"/>
            <w:gridSpan w:val="2"/>
          </w:tcPr>
          <w:p>
            <w:pPr>
              <w:ind w:left="88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3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0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3600" w:type="dxa"/>
            <w:vAlign w:val="bottom"/>
            <w:tcBorders>
              <w:top w:val="single" w:sz="8" w:color="2C2C2C"/>
            </w:tcBorders>
          </w:tcPr>
          <w:p>
            <w:pPr>
              <w:spacing w:after="0"/>
              <w:rPr>
                <w:sz w:val="13"/>
                <w:szCs w:val="13"/>
                <w:color w:val="auto"/>
              </w:rPr>
            </w:pPr>
          </w:p>
        </w:tc>
        <w:tc>
          <w:tcPr>
            <w:tcW w:w="100" w:type="dxa"/>
            <w:vAlign w:val="bottom"/>
            <w:tcBorders>
              <w:top w:val="single" w:sz="8" w:color="2C2C2C"/>
            </w:tcBorders>
          </w:tcPr>
          <w:p>
            <w:pPr>
              <w:spacing w:after="0"/>
              <w:rPr>
                <w:sz w:val="13"/>
                <w:szCs w:val="13"/>
                <w:color w:val="auto"/>
              </w:rPr>
            </w:pPr>
          </w:p>
        </w:tc>
        <w:tc>
          <w:tcPr>
            <w:tcW w:w="4040" w:type="dxa"/>
            <w:vAlign w:val="bottom"/>
            <w:tcBorders>
              <w:top w:val="single" w:sz="8" w:color="2C2C2C"/>
            </w:tcBorders>
            <w:gridSpan w:val="5"/>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720" w:type="dxa"/>
            <w:vAlign w:val="bottom"/>
            <w:tcBorders>
              <w:top w:val="single" w:sz="8" w:color="2C2C2C"/>
            </w:tcBorders>
          </w:tcPr>
          <w:p>
            <w:pPr>
              <w:spacing w:after="0"/>
              <w:rPr>
                <w:sz w:val="13"/>
                <w:szCs w:val="13"/>
                <w:color w:val="auto"/>
              </w:rPr>
            </w:pPr>
          </w:p>
        </w:tc>
        <w:tc>
          <w:tcPr>
            <w:tcW w:w="3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20" w:type="dxa"/>
            <w:vAlign w:val="bottom"/>
            <w:tcBorders>
              <w:top w:val="single" w:sz="8" w:color="2C2C2C"/>
            </w:tcBorders>
          </w:tcPr>
          <w:p>
            <w:pPr>
              <w:spacing w:after="0"/>
              <w:rPr>
                <w:sz w:val="13"/>
                <w:szCs w:val="13"/>
                <w:color w:val="auto"/>
              </w:rPr>
            </w:pPr>
          </w:p>
        </w:tc>
        <w:tc>
          <w:tcPr>
            <w:tcW w:w="156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140" w:type="dxa"/>
            <w:vAlign w:val="bottom"/>
            <w:gridSpan w:val="6"/>
          </w:tcPr>
          <w:p>
            <w:pPr>
              <w:ind w:left="10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6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7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0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3"/>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960" w:type="dxa"/>
            <w:vAlign w:val="bottom"/>
            <w:gridSpan w:val="3"/>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gridSpan w:val="2"/>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5"/>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3"/>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15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w w:val="98"/>
              </w:rPr>
              <w:t>Expiration</w:t>
            </w:r>
          </w:p>
        </w:tc>
        <w:tc>
          <w:tcPr>
            <w:tcW w:w="1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1140" w:type="dxa"/>
            <w:vAlign w:val="bottom"/>
            <w:gridSpan w:val="2"/>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gridSpan w:val="2"/>
          </w:tcPr>
          <w:p>
            <w:pPr>
              <w:ind w:left="5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0000FF"/>
              </w:rPr>
              <w:t>Employee Stock Option (Right to Buy)</w:t>
            </w:r>
          </w:p>
        </w:tc>
        <w:tc>
          <w:tcPr>
            <w:tcW w:w="760" w:type="dxa"/>
            <w:vAlign w:val="bottom"/>
            <w:gridSpan w:val="2"/>
          </w:tcPr>
          <w:p>
            <w:pPr>
              <w:jc w:val="right"/>
              <w:ind w:right="227"/>
              <w:spacing w:after="0"/>
              <w:rPr>
                <w:sz w:val="20"/>
                <w:szCs w:val="20"/>
                <w:color w:val="auto"/>
              </w:rPr>
            </w:pPr>
            <w:r>
              <w:rPr>
                <w:rFonts w:ascii="Arial" w:cs="Arial" w:eastAsia="Arial" w:hAnsi="Arial"/>
                <w:sz w:val="8"/>
                <w:szCs w:val="8"/>
                <w:color w:val="008000"/>
              </w:rPr>
              <w:t>(1)</w:t>
            </w:r>
          </w:p>
        </w:tc>
        <w:tc>
          <w:tcPr>
            <w:tcW w:w="600" w:type="dxa"/>
            <w:vAlign w:val="bottom"/>
          </w:tcPr>
          <w:p>
            <w:pPr>
              <w:jc w:val="center"/>
              <w:spacing w:after="0"/>
              <w:rPr>
                <w:sz w:val="20"/>
                <w:szCs w:val="20"/>
                <w:color w:val="auto"/>
              </w:rPr>
            </w:pPr>
            <w:r>
              <w:rPr>
                <w:rFonts w:ascii="Arial" w:cs="Arial" w:eastAsia="Arial" w:hAnsi="Arial"/>
                <w:sz w:val="10"/>
                <w:szCs w:val="10"/>
                <w:color w:val="0000FF"/>
                <w:w w:val="87"/>
              </w:rPr>
              <w:t>06/11/2020</w:t>
            </w:r>
          </w:p>
        </w:tc>
        <w:tc>
          <w:tcPr>
            <w:tcW w:w="1640" w:type="dxa"/>
            <w:vAlign w:val="bottom"/>
          </w:tcPr>
          <w:p>
            <w:pPr>
              <w:ind w:left="660"/>
              <w:spacing w:after="0"/>
              <w:rPr>
                <w:sz w:val="20"/>
                <w:szCs w:val="20"/>
                <w:color w:val="auto"/>
              </w:rPr>
            </w:pPr>
            <w:r>
              <w:rPr>
                <w:rFonts w:ascii="Arial" w:cs="Arial" w:eastAsia="Arial" w:hAnsi="Arial"/>
                <w:sz w:val="13"/>
                <w:szCs w:val="13"/>
                <w:color w:val="0000FF"/>
              </w:rPr>
              <w:t>Common Stock</w:t>
            </w:r>
          </w:p>
        </w:tc>
        <w:tc>
          <w:tcPr>
            <w:tcW w:w="1100" w:type="dxa"/>
            <w:vAlign w:val="bottom"/>
          </w:tcPr>
          <w:p>
            <w:pPr>
              <w:jc w:val="right"/>
              <w:ind w:right="42"/>
              <w:spacing w:after="0"/>
              <w:rPr>
                <w:sz w:val="20"/>
                <w:szCs w:val="20"/>
                <w:color w:val="auto"/>
              </w:rPr>
            </w:pPr>
            <w:r>
              <w:rPr>
                <w:rFonts w:ascii="Arial" w:cs="Arial" w:eastAsia="Arial" w:hAnsi="Arial"/>
                <w:sz w:val="13"/>
                <w:szCs w:val="13"/>
                <w:color w:val="0000FF"/>
              </w:rPr>
              <w:t>13,179</w:t>
            </w:r>
          </w:p>
        </w:tc>
        <w:tc>
          <w:tcPr>
            <w:tcW w:w="40" w:type="dxa"/>
            <w:vAlign w:val="bottom"/>
          </w:tcPr>
          <w:p>
            <w:pPr>
              <w:spacing w:after="0"/>
              <w:rPr>
                <w:sz w:val="17"/>
                <w:szCs w:val="17"/>
                <w:color w:val="auto"/>
              </w:rPr>
            </w:pPr>
          </w:p>
        </w:tc>
        <w:tc>
          <w:tcPr>
            <w:tcW w:w="720" w:type="dxa"/>
            <w:vAlign w:val="bottom"/>
          </w:tcPr>
          <w:p>
            <w:pPr>
              <w:ind w:left="280"/>
              <w:spacing w:after="0"/>
              <w:rPr>
                <w:sz w:val="20"/>
                <w:szCs w:val="20"/>
                <w:color w:val="auto"/>
              </w:rPr>
            </w:pPr>
            <w:r>
              <w:rPr>
                <w:rFonts w:ascii="Arial" w:cs="Arial" w:eastAsia="Arial" w:hAnsi="Arial"/>
                <w:sz w:val="13"/>
                <w:szCs w:val="13"/>
                <w:color w:val="0000FF"/>
              </w:rPr>
              <w:t>6.33</w:t>
            </w:r>
          </w:p>
        </w:tc>
        <w:tc>
          <w:tcPr>
            <w:tcW w:w="340" w:type="dxa"/>
            <w:vAlign w:val="bottom"/>
          </w:tcPr>
          <w:p>
            <w:pPr>
              <w:spacing w:after="0"/>
              <w:rPr>
                <w:sz w:val="17"/>
                <w:szCs w:val="17"/>
                <w:color w:val="auto"/>
              </w:rPr>
            </w:pPr>
          </w:p>
        </w:tc>
        <w:tc>
          <w:tcPr>
            <w:tcW w:w="620" w:type="dxa"/>
            <w:vAlign w:val="bottom"/>
            <w:gridSpan w:val="2"/>
          </w:tcPr>
          <w:p>
            <w:pPr>
              <w:ind w:left="100"/>
              <w:spacing w:after="0"/>
              <w:rPr>
                <w:sz w:val="20"/>
                <w:szCs w:val="20"/>
                <w:color w:val="auto"/>
              </w:rPr>
            </w:pPr>
            <w:r>
              <w:rPr>
                <w:rFonts w:ascii="Arial" w:cs="Arial" w:eastAsia="Arial" w:hAnsi="Arial"/>
                <w:sz w:val="13"/>
                <w:szCs w:val="13"/>
                <w:color w:val="0000FF"/>
              </w:rPr>
              <w:t>D</w:t>
            </w: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tcPr>
          <w:p>
            <w:pPr>
              <w:ind w:left="40"/>
              <w:spacing w:after="0"/>
              <w:rPr>
                <w:sz w:val="20"/>
                <w:szCs w:val="20"/>
                <w:color w:val="auto"/>
              </w:rPr>
            </w:pPr>
            <w:r>
              <w:rPr>
                <w:rFonts w:ascii="Arial" w:cs="Arial" w:eastAsia="Arial" w:hAnsi="Arial"/>
                <w:sz w:val="13"/>
                <w:szCs w:val="13"/>
                <w:color w:val="0000FF"/>
              </w:rPr>
              <w:t>Employee Stock Option (Right to Buy)</w:t>
            </w:r>
          </w:p>
        </w:tc>
        <w:tc>
          <w:tcPr>
            <w:tcW w:w="760" w:type="dxa"/>
            <w:vAlign w:val="bottom"/>
            <w:gridSpan w:val="2"/>
          </w:tcPr>
          <w:p>
            <w:pPr>
              <w:jc w:val="right"/>
              <w:ind w:right="227"/>
              <w:spacing w:after="0"/>
              <w:rPr>
                <w:sz w:val="20"/>
                <w:szCs w:val="20"/>
                <w:color w:val="auto"/>
              </w:rPr>
            </w:pPr>
            <w:r>
              <w:rPr>
                <w:rFonts w:ascii="Arial" w:cs="Arial" w:eastAsia="Arial" w:hAnsi="Arial"/>
                <w:sz w:val="8"/>
                <w:szCs w:val="8"/>
                <w:color w:val="008000"/>
              </w:rPr>
              <w:t>(2)</w:t>
            </w:r>
          </w:p>
        </w:tc>
        <w:tc>
          <w:tcPr>
            <w:tcW w:w="600" w:type="dxa"/>
            <w:vAlign w:val="bottom"/>
          </w:tcPr>
          <w:p>
            <w:pPr>
              <w:jc w:val="center"/>
              <w:spacing w:after="0"/>
              <w:rPr>
                <w:sz w:val="20"/>
                <w:szCs w:val="20"/>
                <w:color w:val="auto"/>
              </w:rPr>
            </w:pPr>
            <w:r>
              <w:rPr>
                <w:rFonts w:ascii="Arial" w:cs="Arial" w:eastAsia="Arial" w:hAnsi="Arial"/>
                <w:sz w:val="10"/>
                <w:szCs w:val="10"/>
                <w:color w:val="0000FF"/>
                <w:w w:val="87"/>
              </w:rPr>
              <w:t>06/11/2020</w:t>
            </w:r>
          </w:p>
        </w:tc>
        <w:tc>
          <w:tcPr>
            <w:tcW w:w="1640" w:type="dxa"/>
            <w:vAlign w:val="bottom"/>
          </w:tcPr>
          <w:p>
            <w:pPr>
              <w:ind w:left="660"/>
              <w:spacing w:after="0"/>
              <w:rPr>
                <w:sz w:val="20"/>
                <w:szCs w:val="20"/>
                <w:color w:val="auto"/>
              </w:rPr>
            </w:pPr>
            <w:r>
              <w:rPr>
                <w:rFonts w:ascii="Arial" w:cs="Arial" w:eastAsia="Arial" w:hAnsi="Arial"/>
                <w:sz w:val="13"/>
                <w:szCs w:val="13"/>
                <w:color w:val="0000FF"/>
              </w:rPr>
              <w:t>Common Stock</w:t>
            </w:r>
          </w:p>
        </w:tc>
        <w:tc>
          <w:tcPr>
            <w:tcW w:w="1100" w:type="dxa"/>
            <w:vAlign w:val="bottom"/>
          </w:tcPr>
          <w:p>
            <w:pPr>
              <w:jc w:val="right"/>
              <w:ind w:right="42"/>
              <w:spacing w:after="0"/>
              <w:rPr>
                <w:sz w:val="20"/>
                <w:szCs w:val="20"/>
                <w:color w:val="auto"/>
              </w:rPr>
            </w:pPr>
            <w:r>
              <w:rPr>
                <w:rFonts w:ascii="Arial" w:cs="Arial" w:eastAsia="Arial" w:hAnsi="Arial"/>
                <w:sz w:val="13"/>
                <w:szCs w:val="13"/>
                <w:color w:val="0000FF"/>
              </w:rPr>
              <w:t>52,607</w:t>
            </w:r>
          </w:p>
        </w:tc>
        <w:tc>
          <w:tcPr>
            <w:tcW w:w="40" w:type="dxa"/>
            <w:vAlign w:val="bottom"/>
          </w:tcPr>
          <w:p>
            <w:pPr>
              <w:spacing w:after="0"/>
              <w:rPr>
                <w:sz w:val="17"/>
                <w:szCs w:val="17"/>
                <w:color w:val="auto"/>
              </w:rPr>
            </w:pPr>
          </w:p>
        </w:tc>
        <w:tc>
          <w:tcPr>
            <w:tcW w:w="720" w:type="dxa"/>
            <w:vAlign w:val="bottom"/>
          </w:tcPr>
          <w:p>
            <w:pPr>
              <w:ind w:left="280"/>
              <w:spacing w:after="0"/>
              <w:rPr>
                <w:sz w:val="20"/>
                <w:szCs w:val="20"/>
                <w:color w:val="auto"/>
              </w:rPr>
            </w:pPr>
            <w:r>
              <w:rPr>
                <w:rFonts w:ascii="Arial" w:cs="Arial" w:eastAsia="Arial" w:hAnsi="Arial"/>
                <w:sz w:val="13"/>
                <w:szCs w:val="13"/>
                <w:color w:val="0000FF"/>
              </w:rPr>
              <w:t>5.13</w:t>
            </w:r>
          </w:p>
        </w:tc>
        <w:tc>
          <w:tcPr>
            <w:tcW w:w="340" w:type="dxa"/>
            <w:vAlign w:val="bottom"/>
          </w:tcPr>
          <w:p>
            <w:pPr>
              <w:spacing w:after="0"/>
              <w:rPr>
                <w:sz w:val="17"/>
                <w:szCs w:val="17"/>
                <w:color w:val="auto"/>
              </w:rPr>
            </w:pPr>
          </w:p>
        </w:tc>
        <w:tc>
          <w:tcPr>
            <w:tcW w:w="620" w:type="dxa"/>
            <w:vAlign w:val="bottom"/>
            <w:gridSpan w:val="2"/>
          </w:tcPr>
          <w:p>
            <w:pPr>
              <w:ind w:left="100"/>
              <w:spacing w:after="0"/>
              <w:rPr>
                <w:sz w:val="20"/>
                <w:szCs w:val="20"/>
                <w:color w:val="auto"/>
              </w:rPr>
            </w:pPr>
            <w:r>
              <w:rPr>
                <w:rFonts w:ascii="Arial" w:cs="Arial" w:eastAsia="Arial" w:hAnsi="Arial"/>
                <w:sz w:val="13"/>
                <w:szCs w:val="13"/>
                <w:color w:val="0000FF"/>
              </w:rPr>
              <w:t>D</w:t>
            </w: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3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60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0" w:type="dxa"/>
            <w:vAlign w:val="bottom"/>
            <w:gridSpan w:val="5"/>
          </w:tcPr>
          <w:p>
            <w:pPr>
              <w:ind w:left="20"/>
              <w:spacing w:after="0"/>
              <w:rPr>
                <w:sz w:val="20"/>
                <w:szCs w:val="20"/>
                <w:color w:val="auto"/>
              </w:rPr>
            </w:pPr>
            <w:r>
              <w:rPr>
                <w:rFonts w:ascii="Arial" w:cs="Arial" w:eastAsia="Arial" w:hAnsi="Arial"/>
                <w:sz w:val="10"/>
                <w:szCs w:val="10"/>
                <w:color w:val="008000"/>
              </w:rPr>
              <w:t>1. The option became exerciseable as to 6,876 shares on 3/19/2019 and as to an additional 573 shares each month thereafter through 2/19/20.</w:t>
            </w: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0" w:type="dxa"/>
            <w:vAlign w:val="bottom"/>
            <w:gridSpan w:val="5"/>
          </w:tcPr>
          <w:p>
            <w:pPr>
              <w:ind w:left="20"/>
              <w:spacing w:after="0"/>
              <w:rPr>
                <w:sz w:val="20"/>
                <w:szCs w:val="20"/>
                <w:color w:val="auto"/>
              </w:rPr>
            </w:pPr>
            <w:r>
              <w:rPr>
                <w:rFonts w:ascii="Arial" w:cs="Arial" w:eastAsia="Arial" w:hAnsi="Arial"/>
                <w:sz w:val="10"/>
                <w:szCs w:val="10"/>
                <w:color w:val="008000"/>
                <w:w w:val="94"/>
              </w:rPr>
              <w:t>2. The option became exerciseable as to 5,845 shares on 2/20/2018 and as to approximately 5,845 additional shares each quarter thereafter through 2/20/20.</w:t>
            </w: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Remarks: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600" w:type="dxa"/>
            <w:vAlign w:val="bottom"/>
          </w:tcPr>
          <w:p>
            <w:pPr>
              <w:ind w:left="20"/>
              <w:spacing w:after="0"/>
              <w:rPr>
                <w:sz w:val="20"/>
                <w:szCs w:val="20"/>
                <w:color w:val="auto"/>
              </w:rPr>
            </w:pPr>
            <w:r>
              <w:rPr>
                <w:rFonts w:ascii="Arial" w:cs="Arial" w:eastAsia="Arial" w:hAnsi="Arial"/>
                <w:sz w:val="10"/>
                <w:szCs w:val="10"/>
                <w:color w:val="008000"/>
              </w:rPr>
              <w:t>Exhibit 24 - Power of Attorney</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0000FF"/>
                <w:w w:val="90"/>
              </w:rPr>
              <w:t>/s/ Nicholas Khadder</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w w:val="92"/>
              </w:rPr>
              <w:t>05/15/2020</w:t>
            </w: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3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0"/>
                <w:szCs w:val="10"/>
                <w:color w:val="auto"/>
              </w:rPr>
              <w:t>Date</w:t>
            </w: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960" w:type="dxa"/>
            <w:vAlign w:val="bottom"/>
            <w:gridSpan w:val="4"/>
          </w:tcPr>
          <w:p>
            <w:pPr>
              <w:ind w:left="2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600" w:type="dxa"/>
            <w:vAlign w:val="bottom"/>
          </w:tcPr>
          <w:p>
            <w:pPr>
              <w:ind w:left="2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0" w:type="dxa"/>
            <w:vAlign w:val="bottom"/>
            <w:gridSpan w:val="5"/>
          </w:tcPr>
          <w:p>
            <w:pPr>
              <w:ind w:left="2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0" w:type="dxa"/>
            <w:vAlign w:val="bottom"/>
            <w:gridSpan w:val="5"/>
          </w:tcPr>
          <w:p>
            <w:pPr>
              <w:ind w:left="2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740" w:type="dxa"/>
            <w:vAlign w:val="bottom"/>
            <w:gridSpan w:val="7"/>
          </w:tcPr>
          <w:p>
            <w:pPr>
              <w:ind w:left="2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-2357120</wp:posOffset>
            </wp:positionV>
            <wp:extent cx="6997700" cy="1144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114427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Fluidigm Corporation (the "Company"), hereby constitutes and appoints the officers and in</w:t>
      </w:r>
    </w:p>
    <w:p>
      <w:pPr>
        <w:spacing w:after="0" w:line="3" w:lineRule="exact"/>
        <w:rPr>
          <w:sz w:val="20"/>
          <w:szCs w:val="20"/>
          <w:color w:val="auto"/>
        </w:rPr>
      </w:pPr>
    </w:p>
    <w:p>
      <w:pPr>
        <w:ind w:left="460" w:hanging="460"/>
        <w:spacing w:after="0"/>
        <w:tabs>
          <w:tab w:leader="none" w:pos="4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ID, 3, 4 and 5 and other forms and all amendments thereto as such attorney-in-fact shall in his or her discre</w:t>
      </w:r>
    </w:p>
    <w:p>
      <w:pPr>
        <w:spacing w:after="0" w:line="3" w:lineRule="exact"/>
        <w:rPr>
          <w:rFonts w:ascii="Courier New" w:cs="Courier New" w:eastAsia="Courier New" w:hAnsi="Courier New"/>
          <w:sz w:val="13"/>
          <w:szCs w:val="13"/>
          <w:color w:val="auto"/>
        </w:rPr>
      </w:pPr>
    </w:p>
    <w:p>
      <w:pPr>
        <w:jc w:val="both"/>
        <w:spacing w:after="0" w:line="244" w:lineRule="auto"/>
        <w:tabs>
          <w:tab w:leader="none" w:pos="468"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Securities and Exchange Commission, any securities exchange or national assoc The undersigned hereby ratifies and confirms all that said attorney-in-fact and agents shall do or cause to be done by virtue hereof. The und This Power of Attorney shall remain in full force and effect until the undersigned is no longer required to file Forms ID, 3, 4 and 5 with res IN WITNESS WHEREOF, the undersigned has caused this Power of Attorney to be executed as of this 15th day of May, 2020.</w:t>
      </w:r>
    </w:p>
    <w:p>
      <w:pPr>
        <w:spacing w:after="0" w:line="301"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/s/ Nicholas Khadder</w:t>
      </w: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Nicholas Khadder</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9891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2020-05-15T18:33:33Z</dcterms:created>
  <dcterms:modified xsi:type="dcterms:W3CDTF">2020-05-15T18:33:33Z</dcterms:modified>
</cp:coreProperties>
</file>