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149860</wp:posOffset>
            </wp:positionV>
            <wp:extent cx="23717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3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168275</wp:posOffset>
            </wp:positionV>
            <wp:extent cx="23717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173990</wp:posOffset>
            </wp:positionV>
            <wp:extent cx="23717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Standard BioTools Inc.</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171450</wp:posOffset>
            </wp:positionV>
            <wp:extent cx="2371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sectPr>
      </w:pPr>
    </w:p>
    <w:p>
      <w:pPr>
        <w:spacing w:after="0" w:line="200" w:lineRule="exact"/>
        <w:rPr>
          <w:sz w:val="24"/>
          <w:szCs w:val="24"/>
          <w:color w:val="auto"/>
        </w:rPr>
      </w:pPr>
    </w:p>
    <w:p>
      <w:pPr>
        <w:spacing w:after="0" w:line="290"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001-34180</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77-0513190</w:t>
      </w:r>
    </w:p>
    <w:p>
      <w:pPr>
        <w:spacing w:after="0" w:line="31"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0" w:lineRule="exact"/>
        <w:rPr>
          <w:sz w:val="24"/>
          <w:szCs w:val="24"/>
          <w:color w:val="auto"/>
        </w:rPr>
      </w:pPr>
    </w:p>
    <w:p>
      <w:pPr>
        <w:sectPr>
          <w:pgSz w:w="11900" w:h="16838" w:orient="portrait"/>
          <w:cols w:equalWidth="0" w:num="3">
            <w:col w:w="3920" w:space="720"/>
            <w:col w:w="2560" w:space="720"/>
            <w:col w:w="3320"/>
          </w:cols>
          <w:pgMar w:left="320" w:top="1110" w:right="339"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 Tower Place, Suite 2000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 and zip code)</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266-6000</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178435</wp:posOffset>
            </wp:positionV>
            <wp:extent cx="2371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type w:val="continuous"/>
        </w:sectPr>
      </w:pPr>
    </w:p>
    <w:p>
      <w:pPr>
        <w:spacing w:after="0" w:line="200" w:lineRule="exact"/>
        <w:rPr>
          <w:sz w:val="24"/>
          <w:szCs w:val="24"/>
          <w:color w:val="auto"/>
        </w:rPr>
      </w:pPr>
    </w:p>
    <w:p>
      <w:pPr>
        <w:spacing w:after="0" w:line="252" w:lineRule="exact"/>
        <w:rPr>
          <w:sz w:val="24"/>
          <w:szCs w:val="24"/>
          <w:color w:val="auto"/>
        </w:rPr>
      </w:pPr>
    </w:p>
    <w:p>
      <w:pPr>
        <w:ind w:right="70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6" w:lineRule="exact"/>
        <w:rPr>
          <w:sz w:val="24"/>
          <w:szCs w:val="24"/>
          <w:color w:val="auto"/>
        </w:rPr>
      </w:pPr>
    </w:p>
    <w:p>
      <w:pPr>
        <w:ind w:left="720" w:hanging="456"/>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4" w:lineRule="exact"/>
        <w:rPr>
          <w:rFonts w:ascii="MS PGothic" w:cs="MS PGothic" w:eastAsia="MS PGothic" w:hAnsi="MS PGothic"/>
          <w:sz w:val="18"/>
          <w:szCs w:val="18"/>
          <w:color w:val="auto"/>
        </w:rPr>
      </w:pPr>
    </w:p>
    <w:p>
      <w:pPr>
        <w:ind w:left="700" w:hanging="436"/>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700" w:hanging="436"/>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700" w:hanging="436"/>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77"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1"/>
                <w:szCs w:val="21"/>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100" w:type="dxa"/>
            <w:vAlign w:val="bottom"/>
          </w:tcPr>
          <w:p>
            <w:pPr>
              <w:spacing w:after="0"/>
              <w:rPr>
                <w:sz w:val="21"/>
                <w:szCs w:val="21"/>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LAB</w:t>
            </w:r>
          </w:p>
        </w:tc>
        <w:tc>
          <w:tcPr>
            <w:tcW w:w="100" w:type="dxa"/>
            <w:vAlign w:val="bottom"/>
          </w:tcPr>
          <w:p>
            <w:pPr>
              <w:spacing w:after="0"/>
              <w:rPr>
                <w:sz w:val="20"/>
                <w:szCs w:val="20"/>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2200"/>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603250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121" w:lineRule="exact"/>
        <w:rPr>
          <w:sz w:val="20"/>
          <w:szCs w:val="20"/>
          <w:color w:val="auto"/>
        </w:rPr>
      </w:pPr>
    </w:p>
    <w:p>
      <w:pPr>
        <w:ind w:right="120" w:firstLine="449"/>
        <w:spacing w:after="0" w:line="281" w:lineRule="auto"/>
        <w:rPr>
          <w:sz w:val="20"/>
          <w:szCs w:val="20"/>
          <w:color w:val="auto"/>
        </w:rPr>
      </w:pPr>
      <w:r>
        <w:rPr>
          <w:rFonts w:ascii="Times New Roman" w:cs="Times New Roman" w:eastAsia="Times New Roman" w:hAnsi="Times New Roman"/>
          <w:sz w:val="18"/>
          <w:szCs w:val="18"/>
          <w:color w:val="auto"/>
        </w:rPr>
        <w:t>On July 31, 2024, Standard BioTools Inc. issued a press release which included information with respect to certain financial results for the three and six months ended June 30, 2024. The press release is attached hereto as Exhibit 99.1.</w:t>
      </w:r>
    </w:p>
    <w:p>
      <w:pPr>
        <w:spacing w:after="0" w:line="163" w:lineRule="exact"/>
        <w:rPr>
          <w:sz w:val="20"/>
          <w:szCs w:val="20"/>
          <w:color w:val="auto"/>
        </w:rPr>
      </w:pPr>
    </w:p>
    <w:p>
      <w:pPr>
        <w:jc w:val="both"/>
        <w:ind w:right="20" w:firstLine="449"/>
        <w:spacing w:after="0" w:line="265" w:lineRule="auto"/>
        <w:rPr>
          <w:sz w:val="20"/>
          <w:szCs w:val="20"/>
          <w:color w:val="auto"/>
        </w:rPr>
      </w:pPr>
      <w:r>
        <w:rPr>
          <w:rFonts w:ascii="Times New Roman" w:cs="Times New Roman" w:eastAsia="Times New Roman" w:hAnsi="Times New Roman"/>
          <w:sz w:val="18"/>
          <w:szCs w:val="18"/>
          <w:color w:val="auto"/>
        </w:rPr>
        <w:t>The information set forth in the press release, except for the information set forth under the heading “Updated FY 2024 Revenue Outlook” and under the heading “About Standard BioTools Inc.,” together with the forward-looking statement disclaimer, is incorporated by reference into this Item 2.02 of this Current Report on Form 8-K.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96" w:lineRule="exact"/>
        <w:rPr>
          <w:sz w:val="20"/>
          <w:szCs w:val="20"/>
          <w:color w:val="auto"/>
        </w:rPr>
      </w:pPr>
    </w:p>
    <w:p>
      <w:pPr>
        <w:ind w:right="160" w:firstLine="449"/>
        <w:spacing w:after="0" w:line="281" w:lineRule="auto"/>
        <w:rPr>
          <w:sz w:val="20"/>
          <w:szCs w:val="20"/>
          <w:color w:val="auto"/>
        </w:rPr>
      </w:pPr>
      <w:r>
        <w:rPr>
          <w:rFonts w:ascii="Times New Roman" w:cs="Times New Roman" w:eastAsia="Times New Roman" w:hAnsi="Times New Roman"/>
          <w:sz w:val="18"/>
          <w:szCs w:val="18"/>
          <w:color w:val="auto"/>
        </w:rPr>
        <w:t>The information set forth under the heading “Updated FY 2024 Revenue Outlook” and under the heading “About Standard BioTools Inc.,” together with the forward-looking statement disclaimer, is incorporated by reference into this Item 7.01 of this Current Report on Form 8-K.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 Exhibits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980" w:type="dxa"/>
            <w:vAlign w:val="bottom"/>
            <w:tcBorders>
              <w:bottom w:val="single" w:sz="8" w:color="auto"/>
            </w:tcBorders>
            <w:gridSpan w:val="2"/>
          </w:tcPr>
          <w:p>
            <w:pPr>
              <w:ind w:left="4560"/>
              <w:spacing w:after="0"/>
              <w:rPr>
                <w:sz w:val="20"/>
                <w:szCs w:val="20"/>
                <w:color w:val="auto"/>
              </w:rPr>
            </w:pPr>
            <w:r>
              <w:rPr>
                <w:rFonts w:ascii="Times New Roman" w:cs="Times New Roman" w:eastAsia="Times New Roman" w:hAnsi="Times New Roman"/>
                <w:sz w:val="18"/>
                <w:szCs w:val="18"/>
                <w:color w:val="auto"/>
              </w:rPr>
              <w:t>Description</w:t>
            </w:r>
          </w:p>
        </w:tc>
      </w:tr>
      <w:tr>
        <w:trPr>
          <w:trHeight w:val="202"/>
        </w:trPr>
        <w:tc>
          <w:tcPr>
            <w:tcW w:w="1140" w:type="dxa"/>
            <w:vAlign w:val="bottom"/>
          </w:tcPr>
          <w:p>
            <w:pPr>
              <w:jc w:val="right"/>
              <w:ind w:right="69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FF"/>
              </w:rPr>
              <w:t>Press release issued by Standard BioTools Inc., dated July 31, 2024</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60" w:type="dxa"/>
            <w:vAlign w:val="bottom"/>
            <w:tcBorders>
              <w:right w:val="single" w:sz="8" w:color="0000EE"/>
            </w:tcBorders>
            <w:shd w:val="clear" w:color="auto" w:fill="0000FF"/>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277"/>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54" w:lineRule="exact"/>
        <w:rPr>
          <w:sz w:val="20"/>
          <w:szCs w:val="20"/>
          <w:color w:val="auto"/>
        </w:rPr>
      </w:pPr>
    </w:p>
    <w:p>
      <w:pPr>
        <w:ind w:right="140" w:firstLine="449"/>
        <w:spacing w:after="0" w:line="260" w:lineRule="auto"/>
        <w:rPr>
          <w:sz w:val="20"/>
          <w:szCs w:val="20"/>
          <w:color w:val="auto"/>
        </w:rPr>
      </w:pPr>
      <w:r>
        <w:rPr>
          <w:rFonts w:ascii="Times New Roman" w:cs="Times New Roman" w:eastAsia="Times New Roman" w:hAnsi="Times New Roman"/>
          <w:sz w:val="18"/>
          <w:szCs w:val="18"/>
          <w:color w:val="auto"/>
        </w:rPr>
        <w:t>The information in Item 2.02 and Item 7.01 of this Current Report on Form 8-K, including Exhibit 99.1 attached hereto, is being furnished and shall not be deemed “filed” for the purposes of Section 18 of the Securities Exchange Act of 1934, as amended (“Exchange Act”), or otherwise subject to the liabilities of that Section and shall not be incorporated by reference into any registration statement or other document pursuant to the Securities Act of 1933, as amended, or the Exchange Act, except as otherwise expressly stated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885190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6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ind w:left="6420"/>
              <w:spacing w:after="0"/>
              <w:rPr>
                <w:sz w:val="20"/>
                <w:szCs w:val="20"/>
                <w:color w:val="auto"/>
              </w:rPr>
            </w:pPr>
            <w:r>
              <w:rPr>
                <w:rFonts w:ascii="Times New Roman" w:cs="Times New Roman" w:eastAsia="Times New Roman" w:hAnsi="Times New Roman"/>
                <w:sz w:val="18"/>
                <w:szCs w:val="18"/>
                <w:color w:val="auto"/>
              </w:rPr>
              <w:t>Date:</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July 31, 2024</w:t>
            </w:r>
          </w:p>
        </w:tc>
      </w:tr>
      <w:tr>
        <w:trPr>
          <w:trHeight w:val="688"/>
        </w:trPr>
        <w:tc>
          <w:tcPr>
            <w:tcW w:w="11240" w:type="dxa"/>
            <w:vAlign w:val="bottom"/>
            <w:gridSpan w:val="2"/>
          </w:tcPr>
          <w:p>
            <w:pPr>
              <w:ind w:left="6440"/>
              <w:spacing w:after="0"/>
              <w:rPr>
                <w:sz w:val="20"/>
                <w:szCs w:val="20"/>
                <w:color w:val="auto"/>
              </w:rPr>
            </w:pPr>
            <w:r>
              <w:rPr>
                <w:rFonts w:ascii="Times New Roman" w:cs="Times New Roman" w:eastAsia="Times New Roman" w:hAnsi="Times New Roman"/>
                <w:sz w:val="18"/>
                <w:szCs w:val="18"/>
                <w:b w:val="1"/>
                <w:bCs w:val="1"/>
                <w:color w:val="auto"/>
              </w:rPr>
              <w:t>STANDARD BIOTOOLS INC.</w:t>
            </w:r>
          </w:p>
        </w:tc>
      </w:tr>
      <w:tr>
        <w:trPr>
          <w:trHeight w:val="465"/>
        </w:trPr>
        <w:tc>
          <w:tcPr>
            <w:tcW w:w="7200" w:type="dxa"/>
            <w:vAlign w:val="bottom"/>
          </w:tcPr>
          <w:p>
            <w:pPr>
              <w:ind w:left="644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Jeffrey Black</w:t>
            </w:r>
          </w:p>
        </w:tc>
      </w:tr>
      <w:tr>
        <w:trPr>
          <w:trHeight w:val="211"/>
        </w:trPr>
        <w:tc>
          <w:tcPr>
            <w:tcW w:w="7200" w:type="dxa"/>
            <w:vAlign w:val="bottom"/>
          </w:tcPr>
          <w:p>
            <w:pPr>
              <w:ind w:left="6440"/>
              <w:spacing w:after="0"/>
              <w:rPr>
                <w:sz w:val="20"/>
                <w:szCs w:val="20"/>
                <w:color w:val="auto"/>
              </w:rPr>
            </w:pPr>
            <w:r>
              <w:rPr>
                <w:rFonts w:ascii="Times New Roman" w:cs="Times New Roman" w:eastAsia="Times New Roman" w:hAnsi="Times New Roman"/>
                <w:sz w:val="18"/>
                <w:szCs w:val="18"/>
                <w:color w:val="auto"/>
              </w:rPr>
              <w:t>Name:</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Jeffrey Black</w:t>
            </w:r>
          </w:p>
        </w:tc>
      </w:tr>
      <w:tr>
        <w:trPr>
          <w:trHeight w:val="234"/>
        </w:trPr>
        <w:tc>
          <w:tcPr>
            <w:tcW w:w="7200" w:type="dxa"/>
            <w:vAlign w:val="bottom"/>
          </w:tcPr>
          <w:p>
            <w:pPr>
              <w:ind w:left="6440"/>
              <w:spacing w:after="0"/>
              <w:rPr>
                <w:sz w:val="20"/>
                <w:szCs w:val="20"/>
                <w:color w:val="auto"/>
              </w:rPr>
            </w:pPr>
            <w:r>
              <w:rPr>
                <w:rFonts w:ascii="Times New Roman" w:cs="Times New Roman" w:eastAsia="Times New Roman" w:hAnsi="Times New Roman"/>
                <w:sz w:val="18"/>
                <w:szCs w:val="18"/>
                <w:color w:val="auto"/>
              </w:rPr>
              <w:t>Title:</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92"/>
        </w:trPr>
        <w:tc>
          <w:tcPr>
            <w:tcW w:w="720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 w:name="page4"/>
    <w:bookmarkEnd w:id="3"/>
    <w:p>
      <w:pPr>
        <w:ind w:left="1004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Standard BioTools Reports Second Quarter 2024 Financial Results</w:t>
      </w:r>
    </w:p>
    <w:p>
      <w:pPr>
        <w:spacing w:after="0" w:line="2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i w:val="1"/>
          <w:iCs w:val="1"/>
          <w:color w:val="auto"/>
        </w:rPr>
        <w:t>Delivered revenue of $37.2 million</w:t>
      </w:r>
    </w:p>
    <w:p>
      <w:pPr>
        <w:spacing w:after="0" w:line="2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i w:val="1"/>
          <w:iCs w:val="1"/>
          <w:color w:val="auto"/>
        </w:rPr>
        <w:t>Accelerated merger synergies with $80 million expected to be operationalized in 2024</w:t>
      </w:r>
    </w:p>
    <w:p>
      <w:pPr>
        <w:spacing w:after="0" w:line="2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i w:val="1"/>
          <w:iCs w:val="1"/>
          <w:color w:val="auto"/>
        </w:rPr>
        <w:t>Revised FY2024 revenue guidance; on-track to achieve anticipated break-even adjusted EBITDA for full-year 2026</w:t>
      </w:r>
    </w:p>
    <w:p>
      <w:pPr>
        <w:spacing w:after="0" w:line="2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i w:val="1"/>
          <w:iCs w:val="1"/>
          <w:color w:val="auto"/>
        </w:rPr>
        <w:t>Current balance sheet of $396 million cash, cash equivalents, restricted cash and short-term investments</w:t>
      </w:r>
    </w:p>
    <w:p>
      <w:pPr>
        <w:spacing w:after="0" w:line="23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20"/>
          <w:szCs w:val="20"/>
          <w:color w:val="auto"/>
        </w:rPr>
        <w:t>SOUTH SAN FRANCISCO, Calif., July 31, 2024 -- Standard BioTools Inc. (“Standard BioTools” or the “Company”) (NASDAQ: LAB) today announced unaudited interim financial results for the second quarter and six months ended June 30, 2024.</w:t>
      </w:r>
    </w:p>
    <w:p>
      <w:pPr>
        <w:spacing w:after="0" w:line="174"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“We are laser-focused on optimizing our cost structure, already seeing early integration synergy realization in the second quarter of 2024, and accelerating our $80 million cost reduction target, which we expect to be operationalized by the end of 2024 – a year ahead of plan,” said Michael Egholm, PhD, President and Chief Executive Officer of Standard BioTools. “We remain on-track to hit our adjusted EBITDA break-even target for the full year 2026, and are well-capitalized with nearly $400 million in cash to execute on our strategic vision.”</w:t>
      </w:r>
    </w:p>
    <w:p>
      <w:pPr>
        <w:spacing w:after="0" w:line="192" w:lineRule="exact"/>
        <w:rPr>
          <w:sz w:val="20"/>
          <w:szCs w:val="20"/>
          <w:color w:val="auto"/>
        </w:rPr>
      </w:pPr>
    </w:p>
    <w:p>
      <w:pPr>
        <w:ind w:right="340"/>
        <w:spacing w:after="0" w:line="249" w:lineRule="auto"/>
        <w:rPr>
          <w:sz w:val="20"/>
          <w:szCs w:val="20"/>
          <w:color w:val="auto"/>
        </w:rPr>
      </w:pPr>
      <w:r>
        <w:rPr>
          <w:rFonts w:ascii="Times New Roman" w:cs="Times New Roman" w:eastAsia="Times New Roman" w:hAnsi="Times New Roman"/>
          <w:sz w:val="20"/>
          <w:szCs w:val="20"/>
          <w:color w:val="auto"/>
        </w:rPr>
        <w:t>Egholm continued, “Strong operational execution was offset by weaker-than-anticipated second quarter revenues. SomaScan services experienced service contract delays and instrument sales were impacted by the lingering constrained capital purchase environment. We are confident the business issues we experienced are transitory, as we believe the challenge of running a concentrated services business will moderate as Standard BioTools Business System is more fully deployed.”</w:t>
      </w:r>
    </w:p>
    <w:p>
      <w:pPr>
        <w:spacing w:after="0" w:line="192"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20"/>
          <w:szCs w:val="20"/>
          <w:color w:val="auto"/>
        </w:rPr>
        <w:t>“It is early days for the Standard BioTools strategy and vision as we bring improved operational discipline to a diversified set of product solutions. Our potential M&amp;A pipeline remains robust and we are all fully committed to delivering long-term sustainable growth and value for our shareholders," added Egholm.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2024 Selected Unaudited Interim Financial Results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4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58"/>
        </w:trPr>
        <w:tc>
          <w:tcPr>
            <w:tcW w:w="6340" w:type="dxa"/>
            <w:vAlign w:val="bottom"/>
          </w:tcPr>
          <w:p>
            <w:pPr>
              <w:spacing w:after="0"/>
              <w:rPr>
                <w:sz w:val="13"/>
                <w:szCs w:val="13"/>
                <w:color w:val="auto"/>
              </w:rPr>
            </w:pPr>
          </w:p>
        </w:tc>
        <w:tc>
          <w:tcPr>
            <w:tcW w:w="1700" w:type="dxa"/>
            <w:vAlign w:val="bottom"/>
          </w:tcPr>
          <w:p>
            <w:pPr>
              <w:jc w:val="right"/>
              <w:ind w:right="34"/>
              <w:spacing w:after="0" w:line="157" w:lineRule="exact"/>
              <w:rPr>
                <w:sz w:val="20"/>
                <w:szCs w:val="20"/>
                <w:color w:val="auto"/>
              </w:rPr>
            </w:pPr>
            <w:r>
              <w:rPr>
                <w:rFonts w:ascii="Times New Roman" w:cs="Times New Roman" w:eastAsia="Times New Roman" w:hAnsi="Times New Roman"/>
                <w:sz w:val="14"/>
                <w:szCs w:val="14"/>
                <w:b w:val="1"/>
                <w:bCs w:val="1"/>
                <w:color w:val="auto"/>
              </w:rPr>
              <w:t>Quarter Ended</w:t>
            </w: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tcPr>
          <w:p>
            <w:pPr>
              <w:jc w:val="right"/>
              <w:ind w:right="454"/>
              <w:spacing w:after="0" w:line="157"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gridSpan w:val="2"/>
          </w:tcPr>
          <w:p>
            <w:pPr>
              <w:spacing w:after="0"/>
              <w:rPr>
                <w:sz w:val="13"/>
                <w:szCs w:val="13"/>
                <w:color w:val="auto"/>
              </w:rPr>
            </w:pPr>
          </w:p>
        </w:tc>
      </w:tr>
      <w:tr>
        <w:trPr>
          <w:trHeight w:val="187"/>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(Unaudited, in millions, except percentages)</w:t>
            </w:r>
          </w:p>
        </w:tc>
        <w:tc>
          <w:tcPr>
            <w:tcW w:w="17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0" w:type="dxa"/>
            <w:vAlign w:val="bottom"/>
            <w:gridSpan w:val="3"/>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36"/>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700" w:type="dxa"/>
            <w:vAlign w:val="bottom"/>
            <w:tcBorders>
              <w:top w:val="single" w:sz="8" w:color="auto"/>
            </w:tcBorders>
            <w:shd w:val="clear" w:color="auto" w:fill="CFF0FC"/>
          </w:tcPr>
          <w:p>
            <w:pPr>
              <w:jc w:val="right"/>
              <w:ind w:right="151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36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7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40.1 %</w:t>
            </w:r>
          </w:p>
        </w:tc>
        <w:tc>
          <w:tcPr>
            <w:tcW w:w="36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47.2 %</w:t>
            </w:r>
          </w:p>
        </w:tc>
      </w:tr>
      <w:tr>
        <w:trPr>
          <w:trHeight w:val="238"/>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gross margin</w:t>
            </w:r>
          </w:p>
        </w:tc>
        <w:tc>
          <w:tcPr>
            <w:tcW w:w="17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45.0 %</w:t>
            </w:r>
          </w:p>
        </w:tc>
        <w:tc>
          <w:tcPr>
            <w:tcW w:w="36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51.1 %</w:t>
            </w:r>
          </w:p>
        </w:tc>
      </w:tr>
      <w:tr>
        <w:trPr>
          <w:trHeight w:val="24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700" w:type="dxa"/>
            <w:vAlign w:val="bottom"/>
          </w:tcPr>
          <w:p>
            <w:pPr>
              <w:jc w:val="right"/>
              <w:ind w:right="151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36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9"/>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1700" w:type="dxa"/>
            <w:vAlign w:val="bottom"/>
            <w:shd w:val="clear" w:color="auto" w:fill="CFF0FC"/>
          </w:tcPr>
          <w:p>
            <w:pPr>
              <w:jc w:val="right"/>
              <w:ind w:right="151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36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700" w:type="dxa"/>
            <w:vAlign w:val="bottom"/>
          </w:tcPr>
          <w:p>
            <w:pPr>
              <w:jc w:val="right"/>
              <w:ind w:right="151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(50.5 )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(110.7 )</w:t>
            </w:r>
          </w:p>
        </w:tc>
        <w:tc>
          <w:tcPr>
            <w:tcW w:w="60" w:type="dxa"/>
            <w:vAlign w:val="bottom"/>
          </w:tcPr>
          <w:p>
            <w:pPr>
              <w:spacing w:after="0"/>
              <w:rPr>
                <w:sz w:val="20"/>
                <w:szCs w:val="20"/>
                <w:color w:val="auto"/>
              </w:rPr>
            </w:pPr>
          </w:p>
        </w:tc>
      </w:tr>
      <w:tr>
        <w:trPr>
          <w:trHeight w:val="247"/>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700" w:type="dxa"/>
            <w:vAlign w:val="bottom"/>
            <w:shd w:val="clear" w:color="auto" w:fill="CFF0FC"/>
          </w:tcPr>
          <w:p>
            <w:pPr>
              <w:jc w:val="right"/>
              <w:ind w:right="151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(45.7 )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(77.9 )</w:t>
            </w:r>
          </w:p>
        </w:tc>
        <w:tc>
          <w:tcPr>
            <w:tcW w:w="60" w:type="dxa"/>
            <w:vAlign w:val="bottom"/>
          </w:tcPr>
          <w:p>
            <w:pPr>
              <w:spacing w:after="0"/>
              <w:rPr>
                <w:sz w:val="21"/>
                <w:szCs w:val="21"/>
                <w:color w:val="auto"/>
              </w:rPr>
            </w:pPr>
          </w:p>
        </w:tc>
      </w:tr>
      <w:tr>
        <w:trPr>
          <w:trHeight w:val="238"/>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700" w:type="dxa"/>
            <w:vAlign w:val="bottom"/>
          </w:tcPr>
          <w:p>
            <w:pPr>
              <w:jc w:val="right"/>
              <w:ind w:right="151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(31.0 )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(54.8 )</w:t>
            </w:r>
          </w:p>
        </w:tc>
        <w:tc>
          <w:tcPr>
            <w:tcW w:w="60" w:type="dxa"/>
            <w:vAlign w:val="bottom"/>
          </w:tcPr>
          <w:p>
            <w:pPr>
              <w:spacing w:after="0"/>
              <w:rPr>
                <w:sz w:val="20"/>
                <w:szCs w:val="20"/>
                <w:color w:val="auto"/>
              </w:rPr>
            </w:pPr>
          </w:p>
        </w:tc>
      </w:tr>
      <w:tr>
        <w:trPr>
          <w:trHeight w:val="215"/>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restricted cash,</w:t>
            </w:r>
          </w:p>
        </w:tc>
        <w:tc>
          <w:tcPr>
            <w:tcW w:w="17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6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and short-term investments</w:t>
            </w:r>
          </w:p>
        </w:tc>
        <w:tc>
          <w:tcPr>
            <w:tcW w:w="1700" w:type="dxa"/>
            <w:vAlign w:val="bottom"/>
            <w:shd w:val="clear" w:color="auto" w:fill="CFF0FC"/>
          </w:tcPr>
          <w:p>
            <w:pPr>
              <w:jc w:val="right"/>
              <w:ind w:right="151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3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-1215390</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1" w:lineRule="exact"/>
        <w:rPr>
          <w:sz w:val="20"/>
          <w:szCs w:val="20"/>
          <w:color w:val="auto"/>
        </w:rPr>
      </w:pPr>
    </w:p>
    <w:p>
      <w:pPr>
        <w:ind w:left="1020" w:right="600" w:hanging="504"/>
        <w:spacing w:after="0" w:line="268"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Revenue was $37 million in the second quarter, up 34% year-over-year, and $83 million for the first half of 2024, up 57%, reflecting the impact of SomaScan assay services, kits and related revenue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822960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42" w:right="279" w:bottom="1440" w:gutter="0" w:footer="0" w:header="0"/>
        </w:sectPr>
      </w:pPr>
    </w:p>
    <w:bookmarkStart w:id="4" w:name="page5"/>
    <w:bookmarkEnd w:id="4"/>
    <w:p>
      <w:pPr>
        <w:ind w:left="1020" w:right="120" w:hanging="504"/>
        <w:spacing w:after="0" w:line="25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Cash, cash equivalents, restricted cash and short-term investments at June 30, 2024 were $396 million, reflecting payment in the second quarter of $38 million of expenses related to the merger (the “Merger”) with SomaLogic, Inc. (“SomaLogic”) and the completed repurchases of the Company’s common stock in the second quarter.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Selected Pro Forma Combined Unaudited Interim Financial Results</w:t>
      </w:r>
    </w:p>
    <w:p>
      <w:pPr>
        <w:spacing w:after="0" w:line="228"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i w:val="1"/>
          <w:iCs w:val="1"/>
          <w:color w:val="auto"/>
        </w:rPr>
        <w:t>The selected 2024 unaudited pro forma financial information combines the Company's financial results for the three- and six- month periods ended June 30, 2024 and the historical results of SomaLogic for the five-day period ended on January 5, 2024, the closing date of the Merger. The selected unaudited pro forma financial information for 2023 combines the historical results of the Company and SomaLogic for their respective three- and six- month periods ended June 30, 2023. See “Unaudited Pro Forma Results” below for discussion of the pro forma financial information.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5"/>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Pro Forma Combined</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58"/>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2"/>
          </w:tcPr>
          <w:p>
            <w:pPr>
              <w:jc w:val="right"/>
              <w:ind w:right="600"/>
              <w:spacing w:after="0" w:line="157" w:lineRule="exact"/>
              <w:rPr>
                <w:sz w:val="20"/>
                <w:szCs w:val="20"/>
                <w:color w:val="auto"/>
              </w:rPr>
            </w:pPr>
            <w:r>
              <w:rPr>
                <w:rFonts w:ascii="Times New Roman" w:cs="Times New Roman" w:eastAsia="Times New Roman" w:hAnsi="Times New Roman"/>
                <w:sz w:val="14"/>
                <w:szCs w:val="14"/>
                <w:b w:val="1"/>
                <w:bCs w:val="1"/>
                <w:color w:val="auto"/>
              </w:rPr>
              <w:t>Quarter Ended</w:t>
            </w:r>
          </w:p>
        </w:tc>
        <w:tc>
          <w:tcPr>
            <w:tcW w:w="200" w:type="dxa"/>
            <w:vAlign w:val="bottom"/>
          </w:tcPr>
          <w:p>
            <w:pPr>
              <w:spacing w:after="0"/>
              <w:rPr>
                <w:sz w:val="13"/>
                <w:szCs w:val="13"/>
                <w:color w:val="auto"/>
              </w:rPr>
            </w:pPr>
          </w:p>
        </w:tc>
        <w:tc>
          <w:tcPr>
            <w:tcW w:w="1620" w:type="dxa"/>
            <w:vAlign w:val="bottom"/>
            <w:gridSpan w:val="2"/>
          </w:tcPr>
          <w:p>
            <w:pPr>
              <w:jc w:val="right"/>
              <w:ind w:right="600"/>
              <w:spacing w:after="0" w:line="157" w:lineRule="exact"/>
              <w:rPr>
                <w:sz w:val="20"/>
                <w:szCs w:val="20"/>
                <w:color w:val="auto"/>
              </w:rPr>
            </w:pPr>
            <w:r>
              <w:rPr>
                <w:rFonts w:ascii="Times New Roman" w:cs="Times New Roman" w:eastAsia="Times New Roman" w:hAnsi="Times New Roman"/>
                <w:sz w:val="14"/>
                <w:szCs w:val="14"/>
                <w:b w:val="1"/>
                <w:bCs w:val="1"/>
                <w:color w:val="auto"/>
              </w:rPr>
              <w:t>Quarter Ended</w:t>
            </w:r>
          </w:p>
        </w:tc>
        <w:tc>
          <w:tcPr>
            <w:tcW w:w="120" w:type="dxa"/>
            <w:vAlign w:val="bottom"/>
          </w:tcPr>
          <w:p>
            <w:pPr>
              <w:spacing w:after="0"/>
              <w:rPr>
                <w:sz w:val="13"/>
                <w:szCs w:val="13"/>
                <w:color w:val="auto"/>
              </w:rPr>
            </w:pPr>
          </w:p>
        </w:tc>
        <w:tc>
          <w:tcPr>
            <w:tcW w:w="1620" w:type="dxa"/>
            <w:vAlign w:val="bottom"/>
            <w:gridSpan w:val="2"/>
          </w:tcPr>
          <w:p>
            <w:pPr>
              <w:jc w:val="right"/>
              <w:ind w:right="480"/>
              <w:spacing w:after="0" w:line="157"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1260" w:type="dxa"/>
            <w:vAlign w:val="bottom"/>
          </w:tcPr>
          <w:p>
            <w:pPr>
              <w:jc w:val="right"/>
              <w:ind w:right="34"/>
              <w:spacing w:after="0" w:line="157"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gridSpan w:val="2"/>
          </w:tcPr>
          <w:p>
            <w:pPr>
              <w:spacing w:after="0"/>
              <w:rPr>
                <w:sz w:val="13"/>
                <w:szCs w:val="13"/>
                <w:color w:val="auto"/>
              </w:rPr>
            </w:pPr>
          </w:p>
        </w:tc>
      </w:tr>
      <w:tr>
        <w:trPr>
          <w:trHeight w:val="187"/>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(Unaudited, in millions, except percentages)</w:t>
            </w:r>
          </w:p>
        </w:tc>
        <w:tc>
          <w:tcPr>
            <w:tcW w:w="200" w:type="dxa"/>
            <w:vAlign w:val="bottom"/>
          </w:tcPr>
          <w:p>
            <w:pPr>
              <w:spacing w:after="0"/>
              <w:rPr>
                <w:sz w:val="16"/>
                <w:szCs w:val="16"/>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6"/>
                <w:szCs w:val="16"/>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20" w:type="dxa"/>
            <w:vAlign w:val="bottom"/>
          </w:tcPr>
          <w:p>
            <w:pPr>
              <w:spacing w:after="0"/>
              <w:rPr>
                <w:sz w:val="16"/>
                <w:szCs w:val="16"/>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6"/>
                <w:szCs w:val="16"/>
                <w:color w:val="auto"/>
              </w:rPr>
            </w:pPr>
          </w:p>
        </w:tc>
        <w:tc>
          <w:tcPr>
            <w:tcW w:w="142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250"/>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30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3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38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Pr>
          <w:p>
            <w:pPr>
              <w:spacing w:after="0"/>
              <w:rPr>
                <w:sz w:val="21"/>
                <w:szCs w:val="21"/>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40.1 %</w:t>
            </w:r>
          </w:p>
        </w:tc>
        <w:tc>
          <w:tcPr>
            <w:tcW w:w="200" w:type="dxa"/>
            <w:vAlign w:val="bottom"/>
          </w:tcPr>
          <w:p>
            <w:pPr>
              <w:spacing w:after="0"/>
              <w:rPr>
                <w:sz w:val="21"/>
                <w:szCs w:val="21"/>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44.6 %</w:t>
            </w:r>
          </w:p>
        </w:tc>
        <w:tc>
          <w:tcPr>
            <w:tcW w:w="1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45.2 %</w:t>
            </w:r>
          </w:p>
        </w:tc>
        <w:tc>
          <w:tcPr>
            <w:tcW w:w="10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44.6 %</w:t>
            </w:r>
          </w:p>
        </w:tc>
      </w:tr>
      <w:tr>
        <w:trPr>
          <w:trHeight w:val="25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gross margin</w:t>
            </w:r>
          </w:p>
        </w:tc>
        <w:tc>
          <w:tcPr>
            <w:tcW w:w="200" w:type="dxa"/>
            <w:vAlign w:val="bottom"/>
          </w:tcPr>
          <w:p>
            <w:pPr>
              <w:spacing w:after="0"/>
              <w:rPr>
                <w:sz w:val="22"/>
                <w:szCs w:val="22"/>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45.0 %</w:t>
            </w:r>
          </w:p>
        </w:tc>
        <w:tc>
          <w:tcPr>
            <w:tcW w:w="200" w:type="dxa"/>
            <w:vAlign w:val="bottom"/>
          </w:tcPr>
          <w:p>
            <w:pPr>
              <w:spacing w:after="0"/>
              <w:rPr>
                <w:sz w:val="22"/>
                <w:szCs w:val="22"/>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53.4 %</w:t>
            </w:r>
          </w:p>
        </w:tc>
        <w:tc>
          <w:tcPr>
            <w:tcW w:w="120" w:type="dxa"/>
            <w:vAlign w:val="bottom"/>
          </w:tcPr>
          <w:p>
            <w:pPr>
              <w:spacing w:after="0"/>
              <w:rPr>
                <w:sz w:val="22"/>
                <w:szCs w:val="22"/>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51.2 %</w:t>
            </w:r>
          </w:p>
        </w:tc>
        <w:tc>
          <w:tcPr>
            <w:tcW w:w="100" w:type="dxa"/>
            <w:vAlign w:val="bottom"/>
          </w:tcPr>
          <w:p>
            <w:pPr>
              <w:spacing w:after="0"/>
              <w:rPr>
                <w:sz w:val="22"/>
                <w:szCs w:val="22"/>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52.5 %</w:t>
            </w:r>
          </w:p>
        </w:tc>
      </w:tr>
      <w:tr>
        <w:trPr>
          <w:trHeight w:val="26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3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3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3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3"/>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30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38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24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(50.5 )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(115.5 )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(105.5 )</w:t>
            </w:r>
          </w:p>
        </w:tc>
        <w:tc>
          <w:tcPr>
            <w:tcW w:w="60" w:type="dxa"/>
            <w:vAlign w:val="bottom"/>
          </w:tcPr>
          <w:p>
            <w:pPr>
              <w:spacing w:after="0"/>
              <w:rPr>
                <w:sz w:val="21"/>
                <w:szCs w:val="21"/>
                <w:color w:val="auto"/>
              </w:rPr>
            </w:pPr>
          </w:p>
        </w:tc>
      </w:tr>
      <w:tr>
        <w:trPr>
          <w:trHeight w:val="263"/>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(45.7 )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(39.6 )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(107.7 )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(67.8 )</w:t>
            </w:r>
          </w:p>
        </w:tc>
        <w:tc>
          <w:tcPr>
            <w:tcW w:w="60" w:type="dxa"/>
            <w:vAlign w:val="bottom"/>
          </w:tcPr>
          <w:p>
            <w:pPr>
              <w:spacing w:after="0"/>
              <w:rPr>
                <w:sz w:val="22"/>
                <w:szCs w:val="22"/>
                <w:color w:val="auto"/>
              </w:rPr>
            </w:pP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(31.0 )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(32.6 )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(47.4 )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(71.2 )</w:t>
            </w: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-967105</wp:posOffset>
            </wp:positionV>
            <wp:extent cx="713232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8" w:lineRule="exact"/>
        <w:rPr>
          <w:sz w:val="20"/>
          <w:szCs w:val="20"/>
          <w:color w:val="auto"/>
        </w:rPr>
      </w:pPr>
    </w:p>
    <w:p>
      <w:pPr>
        <w:jc w:val="both"/>
        <w:ind w:left="1020" w:right="440" w:hanging="504"/>
        <w:spacing w:after="0" w:line="295" w:lineRule="auto"/>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Revenue of $37 million in the second quarter was down 23% year-over-year; and first half 2024 revenue of $83 million was down 11% year-over-year, primarily reflecting timing of large customer projects and continuing macroeconomic headwinds.</w:t>
      </w:r>
    </w:p>
    <w:p>
      <w:pPr>
        <w:spacing w:after="0" w:line="258" w:lineRule="exact"/>
        <w:rPr>
          <w:rFonts w:ascii="Times New Roman" w:cs="Times New Roman" w:eastAsia="Times New Roman" w:hAnsi="Times New Roman"/>
          <w:sz w:val="17"/>
          <w:szCs w:val="17"/>
          <w:color w:val="auto"/>
        </w:rPr>
      </w:pPr>
    </w:p>
    <w:p>
      <w:pPr>
        <w:ind w:left="1020" w:right="220" w:hanging="504"/>
        <w:spacing w:after="0" w:line="253"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Product revenue of $22 million in the second quarter was down 10% year-over-year; and first half 2024 revenue of $46 million was up 6% year-over-year. The Company saw expansion in authorized sites and related pull-through, offset by a decline in instruments and consumables.</w:t>
      </w:r>
    </w:p>
    <w:p>
      <w:pPr>
        <w:spacing w:after="0" w:line="297" w:lineRule="exact"/>
        <w:rPr>
          <w:rFonts w:ascii="Times New Roman" w:cs="Times New Roman" w:eastAsia="Times New Roman" w:hAnsi="Times New Roman"/>
          <w:sz w:val="18"/>
          <w:szCs w:val="18"/>
          <w:color w:val="auto"/>
        </w:rPr>
      </w:pPr>
    </w:p>
    <w:p>
      <w:pPr>
        <w:ind w:left="1020" w:right="260" w:hanging="504"/>
        <w:spacing w:after="0" w:line="249"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Service revenue of $14 million in the second quarter was down 37% year-over-year, and first half 2024 revenue of $36 million was down 25% year-over-year. The biggest driver of the year-over-year declines was the SomaScan assay services business, where lower-then-expected revenue results were driven primarily by timing of large projects from top customers, largely in Europe.</w:t>
      </w:r>
    </w:p>
    <w:p>
      <w:pPr>
        <w:spacing w:after="0" w:line="299" w:lineRule="exact"/>
        <w:rPr>
          <w:rFonts w:ascii="Times New Roman" w:cs="Times New Roman" w:eastAsia="Times New Roman" w:hAnsi="Times New Roman"/>
          <w:sz w:val="18"/>
          <w:szCs w:val="18"/>
          <w:color w:val="auto"/>
        </w:rPr>
      </w:pPr>
    </w:p>
    <w:p>
      <w:pPr>
        <w:ind w:left="1020" w:right="200" w:hanging="504"/>
        <w:spacing w:after="0" w:line="24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Gross margins in the second quarter of 2024 were approximately 40%, versus 45% in the second quarter of 2023; and non-GAAP gross margins in the second quarter of 2024 were approximately 45%, versus 53% in the second quarter of 2023. Gross margins in the first half of the year were approximately 45% in both 2024 and 2023; and non-GAAP gross margins were approximately 51% in the first half of 2024 and 53% for the same period in 2023. Gross margins and non-GAAP gross margins in 2024 were impacted by volume declines in assay services and instrument replacement costs in the second quarter.</w:t>
      </w:r>
    </w:p>
    <w:p>
      <w:pPr>
        <w:spacing w:after="0" w:line="304" w:lineRule="exact"/>
        <w:rPr>
          <w:rFonts w:ascii="Times New Roman" w:cs="Times New Roman" w:eastAsia="Times New Roman" w:hAnsi="Times New Roman"/>
          <w:sz w:val="18"/>
          <w:szCs w:val="18"/>
          <w:color w:val="auto"/>
        </w:rPr>
      </w:pPr>
    </w:p>
    <w:p>
      <w:pPr>
        <w:ind w:left="1020" w:right="260" w:hanging="504"/>
        <w:spacing w:after="0" w:line="249" w:lineRule="auto"/>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expenses in the second quarter of 2024 decreased $2 million, or 3%, compared to the second quarter of 2023, to $65 million, and non-GAAP operating expenses, which exclude Merger-related costs, stock-based compensation, and restructuring charges, declined $11 million, or 19%, compared to the second quarter of 2023, to $48 million. For the first half of 2024, operating expenses increased by $6 million, or 4%, compared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688975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41" w:right="279" w:bottom="1440" w:gutter="0" w:footer="0" w:header="0"/>
        </w:sectPr>
      </w:pPr>
    </w:p>
    <w:bookmarkStart w:id="5" w:name="page6"/>
    <w:bookmarkEnd w:id="5"/>
    <w:p>
      <w:pPr>
        <w:ind w:left="1020" w:right="180"/>
        <w:spacing w:after="0" w:line="268" w:lineRule="auto"/>
        <w:rPr>
          <w:sz w:val="20"/>
          <w:szCs w:val="20"/>
          <w:color w:val="auto"/>
        </w:rPr>
      </w:pPr>
      <w:r>
        <w:rPr>
          <w:rFonts w:ascii="Times New Roman" w:cs="Times New Roman" w:eastAsia="Times New Roman" w:hAnsi="Times New Roman"/>
          <w:sz w:val="20"/>
          <w:szCs w:val="20"/>
          <w:color w:val="auto"/>
        </w:rPr>
        <w:t>to the first half of 2023, to $153 million, while non-GAAP operating expenses decreased by $33 million, or 27%, compared to the same period in 2023,to $90 million.</w:t>
      </w:r>
    </w:p>
    <w:p>
      <w:pPr>
        <w:spacing w:after="0" w:line="282" w:lineRule="exact"/>
        <w:rPr>
          <w:sz w:val="20"/>
          <w:szCs w:val="20"/>
          <w:color w:val="auto"/>
        </w:rPr>
      </w:pPr>
    </w:p>
    <w:p>
      <w:pPr>
        <w:ind w:left="1020" w:hanging="504"/>
        <w:spacing w:after="0" w:line="245"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Net loss for the second quarter of 2024 increased by $6 million, or 16%, compared to the second quarter of 2023, to a loss of $46 million, while adjusted EBITDA improved nearly $2 million, or 5%, compared to the second quarter of 2023, to a loss of $31 million. Net loss for the first half of 2024 increased by $40 million, or 59%, compared to the first half of 2023, to a loss of $108 million, due in large part to a $25 million bargain purchase gain related to the merger with SomaLogic that is assumed to have occurred in 2023 for purposes of the pro formas, while adjusted EBITDA improved $24 million, or 33%, compared to the first half of 2023, to a loss of $47 million.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Financial Highlights</w:t>
      </w:r>
    </w:p>
    <w:p>
      <w:pPr>
        <w:spacing w:after="0" w:line="111" w:lineRule="exact"/>
        <w:rPr>
          <w:sz w:val="20"/>
          <w:szCs w:val="20"/>
          <w:color w:val="auto"/>
        </w:rPr>
      </w:pPr>
    </w:p>
    <w:p>
      <w:pPr>
        <w:ind w:left="1020" w:right="240" w:hanging="504"/>
        <w:spacing w:after="0" w:line="253"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repurchased approximately 11.3 million shares of common stock during the second quarter of 2024 for an aggregate purchase price of approximately $29 million at an average price of $2.57 per share under the Company’s previously announced common stock repurchase program.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Updated FY 2024 Revenue Outlook</w:t>
      </w:r>
    </w:p>
    <w:p>
      <w:pPr>
        <w:spacing w:after="0" w:line="232"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20"/>
          <w:szCs w:val="20"/>
          <w:color w:val="auto"/>
        </w:rPr>
        <w:t>Following its second quarter 2024 results, the Company has revised its full year 2024 revenue guidance to a range of $170 million to $175 million.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Second Quarter 2024 Earnings Conference Call Information</w:t>
      </w:r>
    </w:p>
    <w:p>
      <w:pPr>
        <w:spacing w:after="0" w:line="232"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20"/>
          <w:szCs w:val="20"/>
          <w:color w:val="auto"/>
        </w:rPr>
        <w:t>Standard BioTools will host a conference call and webcast on July 31, 2024 at 1:30 p.m. PDT (4:30 p.m. EDT) to discuss second quarter 2024 financial results. Live audio of the webcast will be available online along with an archived version of the webcast under the Events &amp; Presentations page of the Company’s website.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Individuals interested in listening to the conference call may do so by dialing:</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 domestic callers: 1-888-346-3970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Outside US callers: 1-412-902-4297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Non-GAAP Financial Information</w:t>
      </w:r>
    </w:p>
    <w:p>
      <w:pPr>
        <w:spacing w:after="0" w:line="23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Standard BioTools has presented certain financial information in accordance with U.S. GAAP and also on a non-GAAP basis. The non-GAAP financial measures included in this press release are non-GAAP gross margin, non-GAAP operating expenses, and adjusted EBITDA. Management uses these non-GAAP financial measures, in addition to GAAP financial measures, as a measure of operating performance because the non-GAAP financial measures do not include the impact of items that management does not consider indicative of the Company’s core operating performance.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Non-GAAP information is not prepared under a comprehensive set of accounting rules and should only be used to supplement an understanding of the company’s operating results as reported under U.S. GAAP. Standard BioTools encourages investors to carefully consider its results under GAAP, as well as its supplemental non-GAAP information and the reconciliations between these presentations, to more fully understand its business. Reconciliations between GAAP and non-GAAP operating results are presented in the accompanying tables of this release.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Unaudited Pro Forma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6" w:name="page7"/>
    <w:bookmarkEnd w:id="6"/>
    <w:p>
      <w:pPr>
        <w:ind w:right="20"/>
        <w:spacing w:after="0" w:line="245" w:lineRule="auto"/>
        <w:rPr>
          <w:sz w:val="20"/>
          <w:szCs w:val="20"/>
          <w:color w:val="auto"/>
        </w:rPr>
      </w:pPr>
      <w:r>
        <w:rPr>
          <w:rFonts w:ascii="Times New Roman" w:cs="Times New Roman" w:eastAsia="Times New Roman" w:hAnsi="Times New Roman"/>
          <w:sz w:val="20"/>
          <w:szCs w:val="20"/>
          <w:color w:val="auto"/>
        </w:rPr>
        <w:t>The unaudited pro forma financial information for six months ended June 30, 2024 combines the Company's financial results for the six months ended June 30, 2024 and the historical results of SomaLogic for the 5-day period ended on the January 5, 2024, the closing date of the Merger. The unaudited pro forma financial information for the three and six months ended June 30, 2023 combines the historical results of the Company and SomaLogic for their respective three- and six-month periods ended June 30, 2023. The pro forma financial information for all periods presented has been adjusted to include certain nonrecurring impacts associated with the Merger, including the bargain purchase gain and transaction costs.</w:t>
      </w:r>
    </w:p>
    <w:p>
      <w:pPr>
        <w:spacing w:after="0" w:line="19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The unaudited pro forma financial information for all periods presented includes the business combination accounting effects resulting from the Merger, mainly including adjustments to reflect additional amortization expense from acquired intangible assets, adjustments to stock-based compensation expense, and additional depreciation expense from the acquired property and equipment. The unaudited pro forma financial information is for informational purposes only and is not necessarily indicative of the results of operations that would have been achieved if the acquisitions had taken place on January 1, 2023. The results of SomaLogic have been consolidated with the Company's results since the Closing Date.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This press release contains forward-looking statements within the meaning of the Private Securities Litigation Reform Act of 1995, including, among others, statements regarding future financial and business performance, including with respect to future revenue, net loss and adjusted EBITDA; operational and strategic plans; deployment of capital; market and growth opportunity and potential; and the potential to realize the expected benefits of the Merger and the Company’s integration of SomaLogic, including the potential for it to drive long-term profitable growth. Forward-looking statements are subject to numerous risks and uncertainties that could cause actual results to differ materially from currently anticipated results, including, but not limited to, risks that the anticipated benefits of the Merger and the integration of SomaLogic, including the potential for it to drive long-term profitable growth, may not be fully realized or may take longer to realize than expected; risks that the Company may not realize expected cost savings from the Merger or its restructuring, including the anticipated decrease in operational expenses, at the levels it expects; possible integration, restructuring and transition-related disruption, including through the loss of customers, suppliers, and employees and adverse impacts on the Company’s development activities and results of operation; integration and restructuring activities, including customer and employee relations, management distraction, and reduced operating performance; risks that internal and external costs required for ongoing and planned activities may be higher than expected, which may cause the Company to use cash more quickly than it expects or change or curtail some of the Company’s plans, or both; risks that the Company’s expectations as to expenses, cash usage, and cash needs may prove not to be correct for other reasons such as changes in plans or actual events being different than our assumptions; changes in the Company’s business or external market conditions; challenges inherent in developing, manufacturing, launching, marketing, and selling new products; interruptions or delays in the supply of components or materials for, or manufacturing of, the Company’s products; reliance on sales of capital equipment for a significant proportion of revenues in each quarter; seasonal variations in customer operations; unanticipated increases in costs or expenses; continued or sustained budgetary, inflationary, or recessionary pressures; uncertainties in contractual relationships; reductions in research and development spending or changes in budget priorities by customers; uncertainties relating to the Company’s research and development activities, and distribution plans and capabilities; potential product performance and quality issues; risks associated with international operations; intellectual property risks; and competition. For information regarding other related risks, see the “Risk Factors” section of the Company’s annual report on Form 10-K filed with the SEC on March 1, 2024, and in the Company’s other filings with the SEC. These forward-looking statements speak only as of the date hereof. The Company disclaims any obligation to update these forward-looking statements except as may be required by law.</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Standard BioTools Inc.</w:t>
      </w:r>
    </w:p>
    <w:p>
      <w:pPr>
        <w:spacing w:after="0" w:line="23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Standard BioTools Inc. (Nasdaq:LAB), the parent company of SomaLogic Inc. and previously known as Fluidigm Corporation has an established portfolio of essential, standardized next-generation technologies that help biomedical researchers develop medicines faster and better. As a leading solutions provider, the company provides reliable and repeatable insights in health and disease using its proprietary mass cytometry and microfluidics technologies, which help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688975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7" w:name="page8"/>
    <w:bookmarkEnd w:id="7"/>
    <w:p>
      <w:pPr>
        <w:spacing w:after="0" w:line="249" w:lineRule="auto"/>
        <w:rPr>
          <w:sz w:val="20"/>
          <w:szCs w:val="20"/>
          <w:color w:val="auto"/>
        </w:rPr>
      </w:pPr>
      <w:r>
        <w:rPr>
          <w:rFonts w:ascii="Times New Roman" w:cs="Times New Roman" w:eastAsia="Times New Roman" w:hAnsi="Times New Roman"/>
          <w:sz w:val="20"/>
          <w:szCs w:val="20"/>
          <w:color w:val="auto"/>
        </w:rPr>
        <w:t>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 Learn more at standardbio.com or connect with us on X, Facebook®, LinkedIn, and YouTube™.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Research Use Only. Not for use in diagnostic procedures.</w:t>
      </w:r>
    </w:p>
    <w:p>
      <w:pPr>
        <w:spacing w:after="0" w:line="228" w:lineRule="exact"/>
        <w:rPr>
          <w:sz w:val="20"/>
          <w:szCs w:val="20"/>
          <w:color w:val="auto"/>
        </w:rPr>
      </w:pPr>
    </w:p>
    <w:p>
      <w:pPr>
        <w:ind w:right="380"/>
        <w:spacing w:after="0" w:line="253" w:lineRule="auto"/>
        <w:rPr>
          <w:sz w:val="20"/>
          <w:szCs w:val="20"/>
          <w:color w:val="auto"/>
        </w:rPr>
      </w:pPr>
      <w:r>
        <w:rPr>
          <w:rFonts w:ascii="Times New Roman" w:cs="Times New Roman" w:eastAsia="Times New Roman" w:hAnsi="Times New Roman"/>
          <w:sz w:val="20"/>
          <w:szCs w:val="20"/>
          <w:color w:val="auto"/>
        </w:rPr>
        <w:t>Limited Use Label License and other terms may apply: www.standardbio.com/legal/salesterms. Patent and License Information: www.standardbio.com/legal/notices. Trademarks: www.standardbio.com/legal/trademarks. Any other trademarks are the sole property of their respective owners. ©2024 Standard BioTools Inc. (f.k.a. Fluidigm Corporation). All rights reserved.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David Holmes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Gilmartin Group LLC</w:t>
      </w:r>
    </w:p>
    <w:p>
      <w:pPr>
        <w:spacing w:after="0"/>
        <w:rPr>
          <w:sz w:val="20"/>
          <w:szCs w:val="20"/>
          <w:color w:val="auto"/>
        </w:rPr>
      </w:pPr>
      <w:r>
        <w:rPr>
          <w:rFonts w:ascii="Times New Roman" w:cs="Times New Roman" w:eastAsia="Times New Roman" w:hAnsi="Times New Roman"/>
          <w:sz w:val="20"/>
          <w:szCs w:val="20"/>
          <w:u w:val="single" w:color="auto"/>
          <w:color w:val="467886"/>
        </w:rPr>
        <w:t>ir@standardbio.com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835025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1"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8"/>
              </w:rPr>
              <w:t>Three Months Ended June 30,</w:t>
            </w:r>
          </w:p>
        </w:tc>
        <w:tc>
          <w:tcPr>
            <w:tcW w:w="160" w:type="dxa"/>
            <w:vAlign w:val="bottom"/>
          </w:tcPr>
          <w:p>
            <w:pPr>
              <w:spacing w:after="0"/>
              <w:rPr>
                <w:sz w:val="21"/>
                <w:szCs w:val="21"/>
                <w:color w:val="auto"/>
              </w:rPr>
            </w:pPr>
          </w:p>
        </w:tc>
        <w:tc>
          <w:tcPr>
            <w:tcW w:w="246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40"/>
        </w:trPr>
        <w:tc>
          <w:tcPr>
            <w:tcW w:w="58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22,163</w:t>
            </w:r>
          </w:p>
        </w:tc>
        <w:tc>
          <w:tcPr>
            <w:tcW w:w="26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21,665</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45,755</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Services revenue</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14,053</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35,080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Collaboration and other revenue</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37,205</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27,666</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82,745</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52,785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product revenue</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11,883</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24,983</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services revenue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collaboration and other revenue</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22,297</w:t>
            </w: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14,064</w:t>
            </w: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43,649</w:t>
            </w: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26,902</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14,908</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13,602</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39,096</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25,883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35,202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84,617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10,033</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65,427</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31,051</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149,797</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59,925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(50,519 )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(17,449 )</w:t>
            </w: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(110,701 )</w:t>
            </w: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(34,042 )</w:t>
            </w: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Bargain purchase gain</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25,213</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(1,822 )</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(45,663 )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(16,739 )</w:t>
            </w: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(77,692 )</w:t>
            </w: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(33,319 )</w:t>
            </w: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(55 )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(301 )</w:t>
            </w: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(183 )</w:t>
            </w: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(564 )</w:t>
            </w: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(45,718 )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(17,040 )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(77,875 )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(33,883 )</w:t>
            </w: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Induced conversion of redeemable preferred stock</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(46,014 )</w:t>
            </w: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(45,718 )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(17,040 )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(123,889 )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(33,883 )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(0.12 )</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(0.22 )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(0.37 )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(0.43 )</w:t>
            </w:r>
          </w:p>
        </w:tc>
        <w:tc>
          <w:tcPr>
            <w:tcW w:w="0" w:type="dxa"/>
            <w:vAlign w:val="bottom"/>
          </w:tcPr>
          <w:p>
            <w:pPr>
              <w:spacing w:after="0"/>
              <w:rPr>
                <w:sz w:val="1"/>
                <w:szCs w:val="1"/>
                <w:color w:val="auto"/>
              </w:rPr>
            </w:pPr>
          </w:p>
        </w:tc>
      </w:tr>
      <w:tr>
        <w:trPr>
          <w:trHeight w:val="196"/>
        </w:trPr>
        <w:tc>
          <w:tcPr>
            <w:tcW w:w="5820" w:type="dxa"/>
            <w:vAlign w:val="bottom"/>
            <w:tcBorders>
              <w:top w:val="single" w:sz="8" w:color="CFF0FC"/>
            </w:tcBorders>
          </w:tcPr>
          <w:p>
            <w:pPr>
              <w:ind w:left="20"/>
              <w:spacing w:after="0" w:line="195" w:lineRule="exact"/>
              <w:rPr>
                <w:sz w:val="20"/>
                <w:szCs w:val="20"/>
                <w:color w:val="auto"/>
              </w:rPr>
            </w:pPr>
            <w:r>
              <w:rPr>
                <w:rFonts w:ascii="Times New Roman" w:cs="Times New Roman" w:eastAsia="Times New Roman" w:hAnsi="Times New Roman"/>
                <w:sz w:val="18"/>
                <w:szCs w:val="18"/>
                <w:color w:val="auto"/>
              </w:rPr>
              <w:t>Shares used in computing net loss per share attributable to common</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372,331</w:t>
            </w: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78,669</w:t>
            </w: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333,228</w:t>
            </w: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78,873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2"/>
        </w:trPr>
        <w:tc>
          <w:tcPr>
            <w:tcW w:w="5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-4665980</wp:posOffset>
            </wp:positionV>
            <wp:extent cx="768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-4665980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-4665980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-4665980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-4040505</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-4040505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-4040505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-4040505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-2781935</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-2781935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-2781935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-2781935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-2157095</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-2157095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-2157095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-2157095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-1840230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-1840230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-1840230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-1840230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-1523365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-1523365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-1523365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-1523365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-1181100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-1163955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-1181100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-1163955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-1181100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-1163955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-1181100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-1163955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43"/>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FF0FC"/>
          </w:tcPr>
          <w:p>
            <w:pPr>
              <w:spacing w:after="0"/>
              <w:rPr>
                <w:sz w:val="21"/>
                <w:szCs w:val="21"/>
                <w:color w:val="auto"/>
              </w:rPr>
            </w:pPr>
          </w:p>
        </w:tc>
        <w:tc>
          <w:tcPr>
            <w:tcW w:w="126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269,811</w:t>
            </w:r>
          </w:p>
        </w:tc>
        <w:tc>
          <w:tcPr>
            <w:tcW w:w="7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51,704</w:t>
            </w:r>
          </w:p>
        </w:tc>
        <w:tc>
          <w:tcPr>
            <w:tcW w:w="100" w:type="dxa"/>
            <w:vAlign w:val="bottom"/>
            <w:shd w:val="clear" w:color="auto" w:fill="CFF0FC"/>
          </w:tcPr>
          <w:p>
            <w:pPr>
              <w:spacing w:after="0"/>
              <w:rPr>
                <w:sz w:val="21"/>
                <w:szCs w:val="21"/>
                <w:color w:val="auto"/>
              </w:rPr>
            </w:pPr>
          </w:p>
        </w:tc>
      </w:tr>
      <w:tr>
        <w:trPr>
          <w:trHeight w:val="238"/>
        </w:trPr>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124,902</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63,191</w:t>
            </w:r>
          </w:p>
        </w:tc>
        <w:tc>
          <w:tcPr>
            <w:tcW w:w="100" w:type="dxa"/>
            <w:vAlign w:val="bottom"/>
          </w:tcPr>
          <w:p>
            <w:pPr>
              <w:spacing w:after="0"/>
              <w:rPr>
                <w:sz w:val="20"/>
                <w:szCs w:val="20"/>
                <w:color w:val="auto"/>
              </w:rPr>
            </w:pPr>
          </w:p>
        </w:tc>
      </w:tr>
      <w:tr>
        <w:trPr>
          <w:trHeight w:val="247"/>
        </w:trPr>
        <w:tc>
          <w:tcPr>
            <w:tcW w:w="7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32,441</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19,660</w:t>
            </w:r>
          </w:p>
        </w:tc>
        <w:tc>
          <w:tcPr>
            <w:tcW w:w="100" w:type="dxa"/>
            <w:vAlign w:val="bottom"/>
            <w:shd w:val="clear" w:color="auto" w:fill="CFF0FC"/>
          </w:tcPr>
          <w:p>
            <w:pPr>
              <w:spacing w:after="0"/>
              <w:rPr>
                <w:sz w:val="21"/>
                <w:szCs w:val="21"/>
                <w:color w:val="auto"/>
              </w:rPr>
            </w:pPr>
          </w:p>
        </w:tc>
      </w:tr>
      <w:tr>
        <w:trPr>
          <w:trHeight w:val="238"/>
        </w:trPr>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42,618</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20,533</w:t>
            </w:r>
          </w:p>
        </w:tc>
        <w:tc>
          <w:tcPr>
            <w:tcW w:w="100" w:type="dxa"/>
            <w:vAlign w:val="bottom"/>
          </w:tcPr>
          <w:p>
            <w:pPr>
              <w:spacing w:after="0"/>
              <w:rPr>
                <w:sz w:val="20"/>
                <w:szCs w:val="20"/>
                <w:color w:val="auto"/>
              </w:rPr>
            </w:pPr>
          </w:p>
        </w:tc>
      </w:tr>
      <w:tr>
        <w:trPr>
          <w:trHeight w:val="243"/>
        </w:trPr>
        <w:tc>
          <w:tcPr>
            <w:tcW w:w="7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10,257</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480,029</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158,215</w:t>
            </w:r>
          </w:p>
        </w:tc>
        <w:tc>
          <w:tcPr>
            <w:tcW w:w="100" w:type="dxa"/>
            <w:vAlign w:val="bottom"/>
          </w:tcPr>
          <w:p>
            <w:pPr>
              <w:spacing w:after="0"/>
              <w:rPr>
                <w:sz w:val="20"/>
                <w:szCs w:val="20"/>
                <w:color w:val="auto"/>
              </w:rPr>
            </w:pPr>
          </w:p>
        </w:tc>
      </w:tr>
      <w:tr>
        <w:trPr>
          <w:trHeight w:val="247"/>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Inventory, non-current</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16,252</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receivable, non-current</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42,569</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24,187</w:t>
            </w:r>
          </w:p>
        </w:tc>
        <w:tc>
          <w:tcPr>
            <w:tcW w:w="100" w:type="dxa"/>
            <w:vAlign w:val="bottom"/>
            <w:shd w:val="clear" w:color="auto" w:fill="CFF0FC"/>
          </w:tcPr>
          <w:p>
            <w:pPr>
              <w:spacing w:after="0"/>
              <w:rPr>
                <w:sz w:val="21"/>
                <w:szCs w:val="21"/>
                <w:color w:val="auto"/>
              </w:rPr>
            </w:pPr>
          </w:p>
        </w:tc>
      </w:tr>
      <w:tr>
        <w:trPr>
          <w:trHeight w:val="238"/>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31,531</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30,663</w:t>
            </w:r>
          </w:p>
        </w:tc>
        <w:tc>
          <w:tcPr>
            <w:tcW w:w="100" w:type="dxa"/>
            <w:vAlign w:val="bottom"/>
          </w:tcPr>
          <w:p>
            <w:pPr>
              <w:spacing w:after="0"/>
              <w:rPr>
                <w:sz w:val="20"/>
                <w:szCs w:val="20"/>
                <w:color w:val="auto"/>
              </w:rPr>
            </w:pPr>
          </w:p>
        </w:tc>
      </w:tr>
      <w:tr>
        <w:trPr>
          <w:trHeight w:val="247"/>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00" w:type="dxa"/>
            <w:vAlign w:val="bottom"/>
            <w:shd w:val="clear" w:color="auto" w:fill="CFF0FC"/>
          </w:tcPr>
          <w:p>
            <w:pPr>
              <w:spacing w:after="0"/>
              <w:rPr>
                <w:sz w:val="21"/>
                <w:szCs w:val="21"/>
                <w:color w:val="auto"/>
              </w:rPr>
            </w:pPr>
          </w:p>
        </w:tc>
      </w:tr>
      <w:tr>
        <w:trPr>
          <w:trHeight w:val="238"/>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intangible assets, net</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24,078</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20"/>
                <w:szCs w:val="20"/>
                <w:color w:val="auto"/>
              </w:rPr>
            </w:pPr>
          </w:p>
        </w:tc>
      </w:tr>
      <w:tr>
        <w:trPr>
          <w:trHeight w:val="243"/>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106,253</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708,732</w:t>
            </w: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323,067</w:t>
            </w:r>
          </w:p>
        </w:tc>
        <w:tc>
          <w:tcPr>
            <w:tcW w:w="100" w:type="dxa"/>
            <w:vAlign w:val="bottom"/>
          </w:tcPr>
          <w:p>
            <w:pPr>
              <w:spacing w:after="0"/>
              <w:rPr>
                <w:sz w:val="20"/>
                <w:szCs w:val="20"/>
                <w:color w:val="auto"/>
              </w:rPr>
            </w:pPr>
          </w:p>
        </w:tc>
      </w:tr>
      <w:tr>
        <w:trPr>
          <w:trHeight w:val="20"/>
        </w:trPr>
        <w:tc>
          <w:tcPr>
            <w:tcW w:w="7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MEZZANINE EQUITY AND STOCKHOLDERS’ EQUITY (DEFICIT)</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12,570</w:t>
            </w:r>
          </w:p>
        </w:tc>
        <w:tc>
          <w:tcPr>
            <w:tcW w:w="7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9,236</w:t>
            </w:r>
          </w:p>
        </w:tc>
        <w:tc>
          <w:tcPr>
            <w:tcW w:w="100" w:type="dxa"/>
            <w:vAlign w:val="bottom"/>
            <w:shd w:val="clear" w:color="auto" w:fill="CFF0FC"/>
          </w:tcPr>
          <w:p>
            <w:pPr>
              <w:spacing w:after="0"/>
              <w:rPr>
                <w:sz w:val="21"/>
                <w:szCs w:val="21"/>
                <w:color w:val="auto"/>
              </w:rPr>
            </w:pPr>
          </w:p>
        </w:tc>
      </w:tr>
      <w:tr>
        <w:trPr>
          <w:trHeight w:val="238"/>
        </w:trPr>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31,929</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21,019</w:t>
            </w:r>
          </w:p>
        </w:tc>
        <w:tc>
          <w:tcPr>
            <w:tcW w:w="100" w:type="dxa"/>
            <w:vAlign w:val="bottom"/>
          </w:tcPr>
          <w:p>
            <w:pPr>
              <w:spacing w:after="0"/>
              <w:rPr>
                <w:sz w:val="20"/>
                <w:szCs w:val="20"/>
                <w:color w:val="auto"/>
              </w:rPr>
            </w:pPr>
          </w:p>
        </w:tc>
      </w:tr>
      <w:tr>
        <w:trPr>
          <w:trHeight w:val="247"/>
        </w:trPr>
        <w:tc>
          <w:tcPr>
            <w:tcW w:w="7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100" w:type="dxa"/>
            <w:vAlign w:val="bottom"/>
            <w:shd w:val="clear" w:color="auto" w:fill="CFF0FC"/>
          </w:tcPr>
          <w:p>
            <w:pPr>
              <w:spacing w:after="0"/>
              <w:rPr>
                <w:sz w:val="21"/>
                <w:szCs w:val="21"/>
                <w:color w:val="auto"/>
              </w:rPr>
            </w:pPr>
          </w:p>
        </w:tc>
      </w:tr>
      <w:tr>
        <w:trPr>
          <w:trHeight w:val="238"/>
        </w:trPr>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15,113</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100" w:type="dxa"/>
            <w:vAlign w:val="bottom"/>
          </w:tcPr>
          <w:p>
            <w:pPr>
              <w:spacing w:after="0"/>
              <w:rPr>
                <w:sz w:val="20"/>
                <w:szCs w:val="20"/>
                <w:color w:val="auto"/>
              </w:rPr>
            </w:pPr>
          </w:p>
        </w:tc>
      </w:tr>
      <w:tr>
        <w:trPr>
          <w:trHeight w:val="247"/>
        </w:trPr>
        <w:tc>
          <w:tcPr>
            <w:tcW w:w="7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grant income, current</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100" w:type="dxa"/>
            <w:vAlign w:val="bottom"/>
            <w:shd w:val="clear" w:color="auto" w:fill="CFF0FC"/>
          </w:tcPr>
          <w:p>
            <w:pPr>
              <w:spacing w:after="0"/>
              <w:rPr>
                <w:sz w:val="21"/>
                <w:szCs w:val="21"/>
                <w:color w:val="auto"/>
              </w:rPr>
            </w:pPr>
          </w:p>
        </w:tc>
      </w:tr>
      <w:tr>
        <w:trPr>
          <w:trHeight w:val="238"/>
        </w:trPr>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loan, current</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0"/>
                <w:szCs w:val="20"/>
                <w:color w:val="auto"/>
              </w:rPr>
            </w:pPr>
          </w:p>
        </w:tc>
      </w:tr>
      <w:tr>
        <w:trPr>
          <w:trHeight w:val="243"/>
        </w:trPr>
        <w:tc>
          <w:tcPr>
            <w:tcW w:w="7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Convertible notes, current</w:t>
            </w:r>
          </w:p>
        </w:tc>
        <w:tc>
          <w:tcPr>
            <w:tcW w:w="2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54,783</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123,808</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109,327</w:t>
            </w:r>
          </w:p>
        </w:tc>
        <w:tc>
          <w:tcPr>
            <w:tcW w:w="100" w:type="dxa"/>
            <w:vAlign w:val="bottom"/>
          </w:tcPr>
          <w:p>
            <w:pPr>
              <w:spacing w:after="0"/>
              <w:rPr>
                <w:sz w:val="20"/>
                <w:szCs w:val="20"/>
                <w:color w:val="auto"/>
              </w:rPr>
            </w:pPr>
          </w:p>
        </w:tc>
      </w:tr>
      <w:tr>
        <w:trPr>
          <w:trHeight w:val="247"/>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notes, non-current</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FF0FC"/>
          </w:tcPr>
          <w:p>
            <w:pPr>
              <w:spacing w:after="0"/>
              <w:rPr>
                <w:sz w:val="21"/>
                <w:szCs w:val="21"/>
                <w:color w:val="auto"/>
              </w:rPr>
            </w:pPr>
          </w:p>
        </w:tc>
      </w:tr>
      <w:tr>
        <w:trPr>
          <w:trHeight w:val="238"/>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non-current</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00" w:type="dxa"/>
            <w:vAlign w:val="bottom"/>
          </w:tcPr>
          <w:p>
            <w:pPr>
              <w:spacing w:after="0"/>
              <w:rPr>
                <w:sz w:val="20"/>
                <w:szCs w:val="20"/>
                <w:color w:val="auto"/>
              </w:rPr>
            </w:pPr>
          </w:p>
        </w:tc>
      </w:tr>
      <w:tr>
        <w:trPr>
          <w:trHeight w:val="247"/>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FF0FC"/>
          </w:tcPr>
          <w:p>
            <w:pPr>
              <w:spacing w:after="0"/>
              <w:rPr>
                <w:sz w:val="21"/>
                <w:szCs w:val="21"/>
                <w:color w:val="auto"/>
              </w:rPr>
            </w:pPr>
          </w:p>
        </w:tc>
      </w:tr>
      <w:tr>
        <w:trPr>
          <w:trHeight w:val="238"/>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29,617</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30,374</w:t>
            </w:r>
          </w:p>
        </w:tc>
        <w:tc>
          <w:tcPr>
            <w:tcW w:w="100" w:type="dxa"/>
            <w:vAlign w:val="bottom"/>
          </w:tcPr>
          <w:p>
            <w:pPr>
              <w:spacing w:after="0"/>
              <w:rPr>
                <w:sz w:val="20"/>
                <w:szCs w:val="20"/>
                <w:color w:val="auto"/>
              </w:rPr>
            </w:pPr>
          </w:p>
        </w:tc>
      </w:tr>
      <w:tr>
        <w:trPr>
          <w:trHeight w:val="247"/>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33,395</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100" w:type="dxa"/>
            <w:vAlign w:val="bottom"/>
            <w:shd w:val="clear" w:color="auto" w:fill="CFF0FC"/>
          </w:tcPr>
          <w:p>
            <w:pPr>
              <w:spacing w:after="0"/>
              <w:rPr>
                <w:sz w:val="21"/>
                <w:szCs w:val="21"/>
                <w:color w:val="auto"/>
              </w:rPr>
            </w:pPr>
          </w:p>
        </w:tc>
      </w:tr>
      <w:tr>
        <w:trPr>
          <w:trHeight w:val="238"/>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grant income, non-current</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8,995</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10,755</w:t>
            </w:r>
          </w:p>
        </w:tc>
        <w:tc>
          <w:tcPr>
            <w:tcW w:w="100" w:type="dxa"/>
            <w:vAlign w:val="bottom"/>
          </w:tcPr>
          <w:p>
            <w:pPr>
              <w:spacing w:after="0"/>
              <w:rPr>
                <w:sz w:val="20"/>
                <w:szCs w:val="20"/>
                <w:color w:val="auto"/>
              </w:rPr>
            </w:pPr>
          </w:p>
        </w:tc>
      </w:tr>
      <w:tr>
        <w:trPr>
          <w:trHeight w:val="243"/>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198,471</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159,865</w:t>
            </w:r>
          </w:p>
        </w:tc>
        <w:tc>
          <w:tcPr>
            <w:tcW w:w="100" w:type="dxa"/>
            <w:vAlign w:val="bottom"/>
          </w:tcPr>
          <w:p>
            <w:pPr>
              <w:spacing w:after="0"/>
              <w:rPr>
                <w:sz w:val="20"/>
                <w:szCs w:val="20"/>
                <w:color w:val="auto"/>
              </w:rPr>
            </w:pPr>
          </w:p>
        </w:tc>
      </w:tr>
      <w:tr>
        <w:trPr>
          <w:trHeight w:val="247"/>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Mezzanine equity:</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311,253</w:t>
            </w:r>
          </w:p>
        </w:tc>
        <w:tc>
          <w:tcPr>
            <w:tcW w:w="100" w:type="dxa"/>
            <w:vAlign w:val="bottom"/>
          </w:tcPr>
          <w:p>
            <w:pPr>
              <w:spacing w:after="0"/>
              <w:rPr>
                <w:sz w:val="20"/>
                <w:szCs w:val="20"/>
                <w:color w:val="auto"/>
              </w:rPr>
            </w:pPr>
          </w:p>
        </w:tc>
      </w:tr>
      <w:tr>
        <w:trPr>
          <w:trHeight w:val="243"/>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510,261</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(148,051 )</w:t>
            </w:r>
          </w:p>
        </w:tc>
      </w:tr>
      <w:tr>
        <w:trPr>
          <w:trHeight w:val="236"/>
        </w:trPr>
        <w:tc>
          <w:tcPr>
            <w:tcW w:w="7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mezzanine equity and stockholders’ equity (deficit)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708,732</w:t>
            </w:r>
          </w:p>
        </w:tc>
        <w:tc>
          <w:tcPr>
            <w:tcW w:w="280" w:type="dxa"/>
            <w:vAlign w:val="bottom"/>
            <w:tcBorders>
              <w:top w:val="single" w:sz="8" w:color="CFF0FC"/>
            </w:tcBorders>
          </w:tcPr>
          <w:p>
            <w:pPr>
              <w:spacing w:after="0"/>
              <w:rPr>
                <w:sz w:val="20"/>
                <w:szCs w:val="20"/>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323,067</w:t>
            </w:r>
          </w:p>
        </w:tc>
        <w:tc>
          <w:tcPr>
            <w:tcW w:w="100" w:type="dxa"/>
            <w:vAlign w:val="bottom"/>
            <w:tcBorders>
              <w:top w:val="single" w:sz="8" w:color="CFF0FC"/>
            </w:tcBorders>
          </w:tcPr>
          <w:p>
            <w:pPr>
              <w:spacing w:after="0"/>
              <w:rPr>
                <w:sz w:val="20"/>
                <w:szCs w:val="20"/>
                <w:color w:val="auto"/>
              </w:rPr>
            </w:pPr>
          </w:p>
        </w:tc>
      </w:tr>
      <w:tr>
        <w:trPr>
          <w:trHeight w:val="20"/>
        </w:trPr>
        <w:tc>
          <w:tcPr>
            <w:tcW w:w="7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27"/>
        </w:trPr>
        <w:tc>
          <w:tcPr>
            <w:tcW w:w="78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5930265</wp:posOffset>
            </wp:positionH>
            <wp:positionV relativeFrom="paragraph">
              <wp:posOffset>-5890260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-5890260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-4648835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-4648835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-2919095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-2919095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-1677670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-1677670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-1052830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-1052830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16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40"/>
        </w:trPr>
        <w:tc>
          <w:tcPr>
            <w:tcW w:w="772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(77,875 )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(33,883 )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Bargain purchase gain</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(25,213 )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shd w:val="clear" w:color="auto" w:fill="CFF0FC"/>
          </w:tcPr>
          <w:p>
            <w:pPr>
              <w:spacing w:after="0"/>
              <w:rPr>
                <w:sz w:val="21"/>
                <w:szCs w:val="2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Accretion of discount on short-term investments, net</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(4,544 )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(151 )</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lease expense</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FF0FC"/>
          </w:tcPr>
          <w:p>
            <w:pPr>
              <w:spacing w:after="0"/>
              <w:rPr>
                <w:sz w:val="21"/>
                <w:szCs w:val="2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36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(453 )</w:t>
            </w: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non-cash items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FF0FC"/>
          </w:tcPr>
          <w:p>
            <w:pPr>
              <w:spacing w:after="0"/>
              <w:rPr>
                <w:sz w:val="21"/>
                <w:szCs w:val="2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w:t>
            </w:r>
          </w:p>
        </w:tc>
        <w:tc>
          <w:tcPr>
            <w:tcW w:w="36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(26,523 )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(131 )</w:t>
            </w:r>
          </w:p>
        </w:tc>
      </w:tr>
      <w:tr>
        <w:trPr>
          <w:trHeight w:val="20"/>
        </w:trPr>
        <w:tc>
          <w:tcPr>
            <w:tcW w:w="7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(101,526 )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(17,814 )</w:t>
            </w:r>
          </w:p>
        </w:tc>
      </w:tr>
      <w:tr>
        <w:trPr>
          <w:trHeight w:val="476"/>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restricted cash acquired in merger</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280,033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36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(147,984 )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(6,836 )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sales and maturities of investments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239,000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91,964</w:t>
            </w:r>
          </w:p>
        </w:tc>
        <w:tc>
          <w:tcPr>
            <w:tcW w:w="100" w:type="dxa"/>
            <w:vAlign w:val="bottom"/>
            <w:shd w:val="clear" w:color="auto" w:fill="CFF0FC"/>
          </w:tcPr>
          <w:p>
            <w:pPr>
              <w:spacing w:after="0"/>
              <w:rPr>
                <w:sz w:val="21"/>
                <w:szCs w:val="2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(2,718 )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(1,848 )</w:t>
            </w: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368,331</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83,280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7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 of term loan and convertible notes</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(8,192 )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term loan fee</w:t>
            </w:r>
          </w:p>
        </w:tc>
        <w:tc>
          <w:tcPr>
            <w:tcW w:w="36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(545 )</w:t>
            </w: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(40,490 )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(4,841 )</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ESPP stock issuance</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 for taxes related to net share settlement of equity awards and other</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(344 )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(127 )</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(48,094 )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(4,642 )</w:t>
            </w:r>
          </w:p>
        </w:tc>
      </w:tr>
      <w:tr>
        <w:trPr>
          <w:trHeight w:val="20"/>
        </w:trPr>
        <w:tc>
          <w:tcPr>
            <w:tcW w:w="77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fluctuations on cash and cash equivalents</w:t>
            </w:r>
          </w:p>
        </w:tc>
        <w:tc>
          <w:tcPr>
            <w:tcW w:w="36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(49 )</w:t>
            </w:r>
          </w:p>
        </w:tc>
      </w:tr>
      <w:tr>
        <w:trPr>
          <w:trHeight w:val="24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6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218,601</w:t>
            </w:r>
          </w:p>
        </w:tc>
        <w:tc>
          <w:tcPr>
            <w:tcW w:w="2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60,775</w:t>
            </w:r>
          </w:p>
        </w:tc>
        <w:tc>
          <w:tcPr>
            <w:tcW w:w="100" w:type="dxa"/>
            <w:vAlign w:val="bottom"/>
            <w:shd w:val="clear" w:color="auto" w:fill="CFF0FC"/>
          </w:tcPr>
          <w:p>
            <w:pPr>
              <w:spacing w:after="0"/>
              <w:rPr>
                <w:sz w:val="20"/>
                <w:szCs w:val="20"/>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52,499</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82,324</w:t>
            </w:r>
          </w:p>
        </w:tc>
        <w:tc>
          <w:tcPr>
            <w:tcW w:w="100" w:type="dxa"/>
            <w:vAlign w:val="bottom"/>
          </w:tcPr>
          <w:p>
            <w:pPr>
              <w:spacing w:after="0"/>
              <w:rPr>
                <w:sz w:val="20"/>
                <w:szCs w:val="20"/>
                <w:color w:val="auto"/>
              </w:rPr>
            </w:pP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271,100</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143,099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consists of:</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269,811</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142,304</w:t>
            </w:r>
          </w:p>
        </w:tc>
        <w:tc>
          <w:tcPr>
            <w:tcW w:w="100" w:type="dxa"/>
            <w:vAlign w:val="bottom"/>
            <w:shd w:val="clear" w:color="auto" w:fill="CFF0FC"/>
          </w:tcPr>
          <w:p>
            <w:pPr>
              <w:spacing w:after="0"/>
              <w:rPr>
                <w:sz w:val="21"/>
                <w:szCs w:val="2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20"/>
                <w:szCs w:val="20"/>
                <w:color w:val="auto"/>
              </w:rPr>
            </w:pP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271,100</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143,099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529"/>
        </w:trPr>
        <w:tc>
          <w:tcPr>
            <w:tcW w:w="77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-4965700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-3869690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-3869690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-2465070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-2465070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-1823085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-1805940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-1823085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-1805940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-1018540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-1001395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-1018540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-1001395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REVENUE AND NON-GAAP PRO FORMA COMBINED REVENUE</w:t>
      </w: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180" w:type="dxa"/>
            <w:vAlign w:val="bottom"/>
          </w:tcPr>
          <w:p>
            <w:pPr>
              <w:spacing w:after="0"/>
              <w:rPr>
                <w:sz w:val="14"/>
                <w:szCs w:val="14"/>
                <w:color w:val="auto"/>
              </w:rPr>
            </w:pPr>
          </w:p>
        </w:tc>
        <w:tc>
          <w:tcPr>
            <w:tcW w:w="288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4"/>
                <w:szCs w:val="14"/>
                <w:color w:val="auto"/>
              </w:rPr>
            </w:pPr>
          </w:p>
        </w:tc>
      </w:tr>
      <w:tr>
        <w:trPr>
          <w:trHeight w:val="169"/>
        </w:trPr>
        <w:tc>
          <w:tcPr>
            <w:tcW w:w="5180" w:type="dxa"/>
            <w:vAlign w:val="bottom"/>
          </w:tcPr>
          <w:p>
            <w:pPr>
              <w:spacing w:after="0"/>
              <w:rPr>
                <w:sz w:val="14"/>
                <w:szCs w:val="14"/>
                <w:color w:val="auto"/>
              </w:rPr>
            </w:pPr>
          </w:p>
        </w:tc>
        <w:tc>
          <w:tcPr>
            <w:tcW w:w="8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8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Instruments</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11,587</w:t>
            </w:r>
          </w:p>
        </w:tc>
        <w:tc>
          <w:tcPr>
            <w:tcW w:w="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17,510</w:t>
            </w:r>
          </w:p>
        </w:tc>
        <w:tc>
          <w:tcPr>
            <w:tcW w:w="100" w:type="dxa"/>
            <w:vAlign w:val="bottom"/>
          </w:tcPr>
          <w:p>
            <w:pPr>
              <w:spacing w:after="0"/>
              <w:rPr>
                <w:sz w:val="20"/>
                <w:szCs w:val="20"/>
                <w:color w:val="auto"/>
              </w:rPr>
            </w:pPr>
          </w:p>
        </w:tc>
      </w:tr>
      <w:tr>
        <w:trPr>
          <w:trHeight w:val="247"/>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Consumables</w:t>
            </w:r>
          </w:p>
        </w:tc>
        <w:tc>
          <w:tcPr>
            <w:tcW w:w="80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8,847</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19,258</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21,593</w:t>
            </w:r>
          </w:p>
        </w:tc>
        <w:tc>
          <w:tcPr>
            <w:tcW w:w="100" w:type="dxa"/>
            <w:vAlign w:val="bottom"/>
            <w:shd w:val="clear" w:color="auto" w:fill="CFF0FC"/>
          </w:tcPr>
          <w:p>
            <w:pPr>
              <w:spacing w:after="0"/>
              <w:rPr>
                <w:sz w:val="21"/>
                <w:szCs w:val="21"/>
                <w:color w:val="auto"/>
              </w:rPr>
            </w:pPr>
          </w:p>
        </w:tc>
      </w:tr>
      <w:tr>
        <w:trPr>
          <w:trHeight w:val="238"/>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SomaScan assay kits and related</w:t>
            </w:r>
          </w:p>
        </w:tc>
        <w:tc>
          <w:tcPr>
            <w:tcW w:w="8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14,547</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0"/>
        </w:trPr>
        <w:tc>
          <w:tcPr>
            <w:tcW w:w="5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product revenue</w:t>
            </w:r>
          </w:p>
        </w:tc>
        <w:tc>
          <w:tcPr>
            <w:tcW w:w="80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22,163</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21,665</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45,755</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39,103</w:t>
            </w:r>
          </w:p>
        </w:tc>
        <w:tc>
          <w:tcPr>
            <w:tcW w:w="100" w:type="dxa"/>
            <w:vAlign w:val="bottom"/>
            <w:shd w:val="clear" w:color="auto" w:fill="CFF0FC"/>
          </w:tcPr>
          <w:p>
            <w:pPr>
              <w:spacing w:after="0"/>
              <w:rPr>
                <w:sz w:val="20"/>
                <w:szCs w:val="20"/>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Assay services</w:t>
            </w:r>
          </w:p>
        </w:tc>
        <w:tc>
          <w:tcPr>
            <w:tcW w:w="80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22,542</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Instrument support services</w:t>
            </w:r>
          </w:p>
        </w:tc>
        <w:tc>
          <w:tcPr>
            <w:tcW w:w="8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12,538</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12,702</w:t>
            </w:r>
          </w:p>
        </w:tc>
        <w:tc>
          <w:tcPr>
            <w:tcW w:w="100" w:type="dxa"/>
            <w:vAlign w:val="bottom"/>
          </w:tcPr>
          <w:p>
            <w:pPr>
              <w:spacing w:after="0"/>
              <w:rPr>
                <w:sz w:val="20"/>
                <w:szCs w:val="20"/>
                <w:color w:val="auto"/>
              </w:rPr>
            </w:pPr>
          </w:p>
        </w:tc>
      </w:tr>
      <w:tr>
        <w:trPr>
          <w:trHeight w:val="236"/>
        </w:trPr>
        <w:tc>
          <w:tcPr>
            <w:tcW w:w="51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service revenue</w:t>
            </w:r>
          </w:p>
        </w:tc>
        <w:tc>
          <w:tcPr>
            <w:tcW w:w="80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14,053</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35,080</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and service revenue</w:t>
            </w:r>
          </w:p>
        </w:tc>
        <w:tc>
          <w:tcPr>
            <w:tcW w:w="8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36,216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27,486</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80,835</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51,805</w:t>
            </w:r>
          </w:p>
        </w:tc>
        <w:tc>
          <w:tcPr>
            <w:tcW w:w="100" w:type="dxa"/>
            <w:vAlign w:val="bottom"/>
          </w:tcPr>
          <w:p>
            <w:pPr>
              <w:spacing w:after="0"/>
              <w:rPr>
                <w:sz w:val="20"/>
                <w:szCs w:val="20"/>
                <w:color w:val="auto"/>
              </w:rPr>
            </w:pPr>
          </w:p>
        </w:tc>
      </w:tr>
      <w:tr>
        <w:trPr>
          <w:trHeight w:val="243"/>
        </w:trPr>
        <w:tc>
          <w:tcPr>
            <w:tcW w:w="5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and other revenue</w:t>
            </w:r>
          </w:p>
        </w:tc>
        <w:tc>
          <w:tcPr>
            <w:tcW w:w="80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8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37,205</w:t>
            </w:r>
          </w:p>
        </w:tc>
        <w:tc>
          <w:tcPr>
            <w:tcW w:w="28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27,666</w:t>
            </w:r>
          </w:p>
        </w:tc>
        <w:tc>
          <w:tcPr>
            <w:tcW w:w="26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82,745</w:t>
            </w:r>
          </w:p>
        </w:tc>
        <w:tc>
          <w:tcPr>
            <w:tcW w:w="26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52,785</w:t>
            </w:r>
          </w:p>
        </w:tc>
        <w:tc>
          <w:tcPr>
            <w:tcW w:w="100" w:type="dxa"/>
            <w:vAlign w:val="bottom"/>
          </w:tcPr>
          <w:p>
            <w:pPr>
              <w:spacing w:after="0"/>
              <w:rPr>
                <w:sz w:val="20"/>
                <w:szCs w:val="20"/>
                <w:color w:val="auto"/>
              </w:rPr>
            </w:pPr>
          </w:p>
        </w:tc>
      </w:tr>
      <w:tr>
        <w:trPr>
          <w:trHeight w:val="20"/>
        </w:trPr>
        <w:tc>
          <w:tcPr>
            <w:tcW w:w="5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9"/>
        </w:trPr>
        <w:tc>
          <w:tcPr>
            <w:tcW w:w="51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Non-GAAP Pro Forma</w:t>
            </w: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5180" w:type="dxa"/>
            <w:vAlign w:val="bottom"/>
          </w:tcPr>
          <w:p>
            <w:pPr>
              <w:spacing w:after="0"/>
              <w:rPr>
                <w:sz w:val="20"/>
                <w:szCs w:val="20"/>
                <w:color w:val="auto"/>
              </w:rPr>
            </w:pPr>
          </w:p>
        </w:tc>
        <w:tc>
          <w:tcPr>
            <w:tcW w:w="28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6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6"/>
        </w:trPr>
        <w:tc>
          <w:tcPr>
            <w:tcW w:w="518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0"/>
                <w:szCs w:val="20"/>
                <w:color w:val="auto"/>
              </w:rPr>
            </w:pPr>
          </w:p>
        </w:tc>
      </w:tr>
      <w:tr>
        <w:trPr>
          <w:trHeight w:val="23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8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Instruments</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11,587</w:t>
            </w:r>
          </w:p>
        </w:tc>
        <w:tc>
          <w:tcPr>
            <w:tcW w:w="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17,510</w:t>
            </w:r>
          </w:p>
        </w:tc>
        <w:tc>
          <w:tcPr>
            <w:tcW w:w="100" w:type="dxa"/>
            <w:vAlign w:val="bottom"/>
          </w:tcPr>
          <w:p>
            <w:pPr>
              <w:spacing w:after="0"/>
              <w:rPr>
                <w:sz w:val="20"/>
                <w:szCs w:val="20"/>
                <w:color w:val="auto"/>
              </w:rPr>
            </w:pPr>
          </w:p>
        </w:tc>
      </w:tr>
      <w:tr>
        <w:trPr>
          <w:trHeight w:val="247"/>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Consumables</w:t>
            </w:r>
          </w:p>
        </w:tc>
        <w:tc>
          <w:tcPr>
            <w:tcW w:w="80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8,847</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19,258</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21,593</w:t>
            </w:r>
          </w:p>
        </w:tc>
        <w:tc>
          <w:tcPr>
            <w:tcW w:w="100" w:type="dxa"/>
            <w:vAlign w:val="bottom"/>
            <w:shd w:val="clear" w:color="auto" w:fill="CFF0FC"/>
          </w:tcPr>
          <w:p>
            <w:pPr>
              <w:spacing w:after="0"/>
              <w:rPr>
                <w:sz w:val="21"/>
                <w:szCs w:val="21"/>
                <w:color w:val="auto"/>
              </w:rPr>
            </w:pPr>
          </w:p>
        </w:tc>
      </w:tr>
      <w:tr>
        <w:trPr>
          <w:trHeight w:val="238"/>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SomaScan assay kits and related</w:t>
            </w:r>
          </w:p>
        </w:tc>
        <w:tc>
          <w:tcPr>
            <w:tcW w:w="8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14,548</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00" w:type="dxa"/>
            <w:vAlign w:val="bottom"/>
          </w:tcPr>
          <w:p>
            <w:pPr>
              <w:spacing w:after="0"/>
              <w:rPr>
                <w:sz w:val="20"/>
                <w:szCs w:val="20"/>
                <w:color w:val="auto"/>
              </w:rPr>
            </w:pPr>
          </w:p>
        </w:tc>
      </w:tr>
      <w:tr>
        <w:trPr>
          <w:trHeight w:val="240"/>
        </w:trPr>
        <w:tc>
          <w:tcPr>
            <w:tcW w:w="5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product revenue</w:t>
            </w:r>
          </w:p>
        </w:tc>
        <w:tc>
          <w:tcPr>
            <w:tcW w:w="80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22,163</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24,574</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45,756</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43,198</w:t>
            </w:r>
          </w:p>
        </w:tc>
        <w:tc>
          <w:tcPr>
            <w:tcW w:w="100" w:type="dxa"/>
            <w:vAlign w:val="bottom"/>
            <w:shd w:val="clear" w:color="auto" w:fill="CFF0FC"/>
          </w:tcPr>
          <w:p>
            <w:pPr>
              <w:spacing w:after="0"/>
              <w:rPr>
                <w:sz w:val="20"/>
                <w:szCs w:val="20"/>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Assay services</w:t>
            </w:r>
          </w:p>
        </w:tc>
        <w:tc>
          <w:tcPr>
            <w:tcW w:w="80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16,597</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23,145</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35,016</w:t>
            </w:r>
          </w:p>
        </w:tc>
        <w:tc>
          <w:tcPr>
            <w:tcW w:w="100" w:type="dxa"/>
            <w:vAlign w:val="bottom"/>
            <w:shd w:val="clear" w:color="auto" w:fill="CFF0FC"/>
          </w:tcPr>
          <w:p>
            <w:pPr>
              <w:spacing w:after="0"/>
              <w:rPr>
                <w:sz w:val="21"/>
                <w:szCs w:val="21"/>
                <w:color w:val="auto"/>
              </w:rPr>
            </w:pPr>
          </w:p>
        </w:tc>
      </w:tr>
      <w:tr>
        <w:trPr>
          <w:trHeight w:val="238"/>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Instrument support services</w:t>
            </w:r>
          </w:p>
        </w:tc>
        <w:tc>
          <w:tcPr>
            <w:tcW w:w="8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12,538</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12,702</w:t>
            </w:r>
          </w:p>
        </w:tc>
        <w:tc>
          <w:tcPr>
            <w:tcW w:w="100" w:type="dxa"/>
            <w:vAlign w:val="bottom"/>
          </w:tcPr>
          <w:p>
            <w:pPr>
              <w:spacing w:after="0"/>
              <w:rPr>
                <w:sz w:val="20"/>
                <w:szCs w:val="20"/>
                <w:color w:val="auto"/>
              </w:rPr>
            </w:pPr>
          </w:p>
        </w:tc>
      </w:tr>
      <w:tr>
        <w:trPr>
          <w:trHeight w:val="236"/>
        </w:trPr>
        <w:tc>
          <w:tcPr>
            <w:tcW w:w="51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service revenue</w:t>
            </w:r>
          </w:p>
        </w:tc>
        <w:tc>
          <w:tcPr>
            <w:tcW w:w="80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14,053</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22,418</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35,683</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47,718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and service revenue</w:t>
            </w:r>
          </w:p>
        </w:tc>
        <w:tc>
          <w:tcPr>
            <w:tcW w:w="8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36,216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46,992</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81,439</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90,916</w:t>
            </w:r>
          </w:p>
        </w:tc>
        <w:tc>
          <w:tcPr>
            <w:tcW w:w="100" w:type="dxa"/>
            <w:vAlign w:val="bottom"/>
          </w:tcPr>
          <w:p>
            <w:pPr>
              <w:spacing w:after="0"/>
              <w:rPr>
                <w:sz w:val="20"/>
                <w:szCs w:val="20"/>
                <w:color w:val="auto"/>
              </w:rPr>
            </w:pPr>
          </w:p>
        </w:tc>
      </w:tr>
      <w:tr>
        <w:trPr>
          <w:trHeight w:val="243"/>
        </w:trPr>
        <w:tc>
          <w:tcPr>
            <w:tcW w:w="5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and other revenue</w:t>
            </w:r>
          </w:p>
        </w:tc>
        <w:tc>
          <w:tcPr>
            <w:tcW w:w="80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37,205</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48,134</w:t>
            </w:r>
          </w:p>
        </w:tc>
        <w:tc>
          <w:tcPr>
            <w:tcW w:w="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83,390</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93,632</w:t>
            </w:r>
          </w:p>
        </w:tc>
        <w:tc>
          <w:tcPr>
            <w:tcW w:w="100" w:type="dxa"/>
            <w:vAlign w:val="bottom"/>
          </w:tcPr>
          <w:p>
            <w:pPr>
              <w:spacing w:after="0"/>
              <w:rPr>
                <w:sz w:val="20"/>
                <w:szCs w:val="20"/>
                <w:color w:val="auto"/>
              </w:rPr>
            </w:pPr>
          </w:p>
        </w:tc>
      </w:tr>
      <w:tr>
        <w:trPr>
          <w:trHeight w:val="20"/>
        </w:trPr>
        <w:tc>
          <w:tcPr>
            <w:tcW w:w="5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13"/>
        </w:trPr>
        <w:tc>
          <w:tcPr>
            <w:tcW w:w="5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4114800</wp:posOffset>
            </wp:positionH>
            <wp:positionV relativeFrom="paragraph">
              <wp:posOffset>-4032250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-4032250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-4032250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-4032250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-3715385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-3715385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-3715385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-3715385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-1360805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-1360805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-1360805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-1360805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-1043940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-1043940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-1043940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-1043940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2" w:name="page13"/>
    <w:bookmarkEnd w:id="12"/>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INFORMATION</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ITEMIZED RECONCILIATION OF GAAP TO NON-GAAP GROSS PROFIT AND MARGIN PERCENTAGE</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0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0"/>
                <w:szCs w:val="20"/>
                <w:color w:val="auto"/>
              </w:rPr>
            </w:pPr>
          </w:p>
        </w:tc>
        <w:tc>
          <w:tcPr>
            <w:tcW w:w="266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jc w:val="center"/>
              <w:ind w:right="5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2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center"/>
              <w:ind w:right="6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1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8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14,908</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13,602</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39,096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25,883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sales adjustment</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(1,812 )</w:t>
            </w: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costs</w:t>
            </w:r>
          </w:p>
        </w:tc>
        <w:tc>
          <w:tcPr>
            <w:tcW w:w="24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Non-GAAP gross profit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16,724</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16,844</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42,319</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32,601</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percentage</w:t>
            </w:r>
          </w:p>
        </w:tc>
        <w:tc>
          <w:tcPr>
            <w:tcW w:w="240" w:type="dxa"/>
            <w:vAlign w:val="bottom"/>
          </w:tcPr>
          <w:p>
            <w:pPr>
              <w:spacing w:after="0"/>
              <w:rPr>
                <w:sz w:val="24"/>
                <w:szCs w:val="24"/>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40.1 %</w:t>
            </w:r>
          </w:p>
        </w:tc>
        <w:tc>
          <w:tcPr>
            <w:tcW w:w="140" w:type="dxa"/>
            <w:vAlign w:val="bottom"/>
          </w:tcPr>
          <w:p>
            <w:pPr>
              <w:spacing w:after="0"/>
              <w:rPr>
                <w:sz w:val="24"/>
                <w:szCs w:val="24"/>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49.2 %</w:t>
            </w:r>
          </w:p>
        </w:tc>
        <w:tc>
          <w:tcPr>
            <w:tcW w:w="340" w:type="dxa"/>
            <w:vAlign w:val="bottom"/>
          </w:tcPr>
          <w:p>
            <w:pPr>
              <w:spacing w:after="0"/>
              <w:rPr>
                <w:sz w:val="24"/>
                <w:szCs w:val="24"/>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47.2 %</w:t>
            </w:r>
          </w:p>
        </w:tc>
        <w:tc>
          <w:tcPr>
            <w:tcW w:w="22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49.0 %</w:t>
            </w:r>
          </w:p>
        </w:tc>
        <w:tc>
          <w:tcPr>
            <w:tcW w:w="0" w:type="dxa"/>
            <w:vAlign w:val="bottom"/>
          </w:tcPr>
          <w:p>
            <w:pPr>
              <w:spacing w:after="0"/>
              <w:rPr>
                <w:sz w:val="1"/>
                <w:szCs w:val="1"/>
                <w:color w:val="auto"/>
              </w:rPr>
            </w:pPr>
          </w:p>
        </w:tc>
      </w:tr>
      <w:tr>
        <w:trPr>
          <w:trHeight w:val="243"/>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4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1.5 %</w:t>
            </w:r>
          </w:p>
        </w:tc>
        <w:tc>
          <w:tcPr>
            <w:tcW w:w="140" w:type="dxa"/>
            <w:vAlign w:val="bottom"/>
          </w:tcPr>
          <w:p>
            <w:pPr>
              <w:spacing w:after="0"/>
              <w:rPr>
                <w:sz w:val="21"/>
                <w:szCs w:val="21"/>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10.1 %</w:t>
            </w:r>
          </w:p>
        </w:tc>
        <w:tc>
          <w:tcPr>
            <w:tcW w:w="34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3.0 %</w:t>
            </w:r>
          </w:p>
        </w:tc>
        <w:tc>
          <w:tcPr>
            <w:tcW w:w="22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43"/>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2.6 %</w:t>
            </w:r>
          </w:p>
        </w:tc>
        <w:tc>
          <w:tcPr>
            <w:tcW w:w="140" w:type="dxa"/>
            <w:vAlign w:val="bottom"/>
          </w:tcPr>
          <w:p>
            <w:pPr>
              <w:spacing w:after="0"/>
              <w:rPr>
                <w:sz w:val="21"/>
                <w:szCs w:val="21"/>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1.2 %</w:t>
            </w:r>
          </w:p>
        </w:tc>
        <w:tc>
          <w:tcPr>
            <w:tcW w:w="34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2.4 %</w:t>
            </w:r>
          </w:p>
        </w:tc>
        <w:tc>
          <w:tcPr>
            <w:tcW w:w="22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43"/>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0.8 %</w:t>
            </w:r>
          </w:p>
        </w:tc>
        <w:tc>
          <w:tcPr>
            <w:tcW w:w="140" w:type="dxa"/>
            <w:vAlign w:val="bottom"/>
          </w:tcPr>
          <w:p>
            <w:pPr>
              <w:spacing w:after="0"/>
              <w:rPr>
                <w:sz w:val="21"/>
                <w:szCs w:val="21"/>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0.4 %</w:t>
            </w:r>
          </w:p>
        </w:tc>
        <w:tc>
          <w:tcPr>
            <w:tcW w:w="34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0.6 %</w:t>
            </w:r>
          </w:p>
        </w:tc>
        <w:tc>
          <w:tcPr>
            <w:tcW w:w="22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43"/>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sales adjustment</w:t>
            </w:r>
          </w:p>
        </w:tc>
        <w:tc>
          <w:tcPr>
            <w:tcW w:w="24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0.0 %</w:t>
            </w:r>
          </w:p>
        </w:tc>
        <w:tc>
          <w:tcPr>
            <w:tcW w:w="140" w:type="dxa"/>
            <w:vAlign w:val="bottom"/>
          </w:tcPr>
          <w:p>
            <w:pPr>
              <w:spacing w:after="0"/>
              <w:rPr>
                <w:sz w:val="21"/>
                <w:szCs w:val="21"/>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0.0 %</w:t>
            </w:r>
          </w:p>
        </w:tc>
        <w:tc>
          <w:tcPr>
            <w:tcW w:w="34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(2.2 )%</w:t>
            </w:r>
          </w:p>
        </w:tc>
        <w:tc>
          <w:tcPr>
            <w:tcW w:w="22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7"/>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Non-GAAP gross margin percentage</w:t>
            </w:r>
          </w:p>
        </w:tc>
        <w:tc>
          <w:tcPr>
            <w:tcW w:w="2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8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45.0 %</w:t>
            </w:r>
          </w:p>
        </w:tc>
        <w:tc>
          <w:tcPr>
            <w:tcW w:w="14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60.9 %</w:t>
            </w:r>
          </w:p>
        </w:tc>
        <w:tc>
          <w:tcPr>
            <w:tcW w:w="34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51.1 %</w:t>
            </w:r>
          </w:p>
        </w:tc>
        <w:tc>
          <w:tcPr>
            <w:tcW w:w="22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61.7 %</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2"/>
        </w:trPr>
        <w:tc>
          <w:tcPr>
            <w:tcW w:w="4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9"/>
              </w:rPr>
              <w:t>Non-GAAP Pro Forma Combined</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0"/>
                <w:szCs w:val="20"/>
                <w:color w:val="auto"/>
              </w:rPr>
            </w:pPr>
          </w:p>
        </w:tc>
        <w:tc>
          <w:tcPr>
            <w:tcW w:w="266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jc w:val="center"/>
              <w:ind w:right="5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2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center"/>
              <w:ind w:right="6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1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8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14,908</w:t>
            </w:r>
          </w:p>
        </w:tc>
        <w:tc>
          <w:tcPr>
            <w:tcW w:w="28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21,484</w:t>
            </w:r>
          </w:p>
        </w:tc>
        <w:tc>
          <w:tcPr>
            <w:tcW w:w="28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37,681</w:t>
            </w: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41,783</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sales adjustment</w:t>
            </w:r>
          </w:p>
        </w:tc>
        <w:tc>
          <w:tcPr>
            <w:tcW w:w="24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(1,337 )</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costs</w:t>
            </w:r>
          </w:p>
        </w:tc>
        <w:tc>
          <w:tcPr>
            <w:tcW w:w="24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Non-GAAP gross profit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16,724</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25,705</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42,716</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49,126</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-3013075</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-2705100</wp:posOffset>
            </wp:positionV>
            <wp:extent cx="713232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-3193415</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-3176270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-3193415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-3176270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-3193415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-3176270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-3193415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-3176270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-2397125</wp:posOffset>
            </wp:positionV>
            <wp:extent cx="7132320" cy="162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-24765</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-7620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340"/>
          </w:cols>
          <w:pgMar w:left="320" w:top="1128" w:right="239" w:bottom="1440" w:gutter="0" w:footer="0" w:header="0"/>
        </w:sect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margin percentage</w:t>
      </w:r>
    </w:p>
    <w:p>
      <w:pPr>
        <w:spacing w:after="0" w:line="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Amortization of acquired intangible assets</w:t>
      </w:r>
    </w:p>
    <w:p>
      <w:pPr>
        <w:spacing w:after="0" w:line="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Cost of sales adjustment</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Non-GAAP gross margin percentage</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40.1 %</w:t>
            </w:r>
          </w:p>
        </w:tc>
        <w:tc>
          <w:tcPr>
            <w:tcW w:w="1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44.6 %</w:t>
            </w:r>
          </w:p>
        </w:tc>
        <w:tc>
          <w:tcPr>
            <w:tcW w:w="1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45.2 %</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44.6 %</w:t>
            </w:r>
          </w:p>
        </w:tc>
      </w:tr>
      <w:tr>
        <w:trPr>
          <w:trHeight w:val="256"/>
        </w:trPr>
        <w:tc>
          <w:tcPr>
            <w:tcW w:w="1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1.5 %</w:t>
            </w:r>
          </w:p>
        </w:tc>
        <w:tc>
          <w:tcPr>
            <w:tcW w:w="1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7.0 %</w:t>
            </w:r>
          </w:p>
        </w:tc>
        <w:tc>
          <w:tcPr>
            <w:tcW w:w="1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3.0 %</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56"/>
        </w:trPr>
        <w:tc>
          <w:tcPr>
            <w:tcW w:w="1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2.6 %</w:t>
            </w:r>
          </w:p>
        </w:tc>
        <w:tc>
          <w:tcPr>
            <w:tcW w:w="1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1.5 %</w:t>
            </w:r>
          </w:p>
        </w:tc>
        <w:tc>
          <w:tcPr>
            <w:tcW w:w="1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2.4 %</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56"/>
        </w:trPr>
        <w:tc>
          <w:tcPr>
            <w:tcW w:w="1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0.8 %</w:t>
            </w:r>
          </w:p>
        </w:tc>
        <w:tc>
          <w:tcPr>
            <w:tcW w:w="1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0.3 %</w:t>
            </w:r>
          </w:p>
        </w:tc>
        <w:tc>
          <w:tcPr>
            <w:tcW w:w="1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0.6 %</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50"/>
        </w:trPr>
        <w:tc>
          <w:tcPr>
            <w:tcW w:w="1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0.0 %</w:t>
            </w:r>
          </w:p>
        </w:tc>
        <w:tc>
          <w:tcPr>
            <w:tcW w:w="1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0.0 %</w:t>
            </w:r>
          </w:p>
        </w:tc>
        <w:tc>
          <w:tcPr>
            <w:tcW w:w="1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0.0 %</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8"/>
        </w:trPr>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-992505</wp:posOffset>
            </wp:positionV>
            <wp:extent cx="7132320" cy="162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-667385</wp:posOffset>
            </wp:positionV>
            <wp:extent cx="7132320" cy="162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-341630</wp:posOffset>
            </wp:positionV>
            <wp:extent cx="7132320" cy="162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963295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100" w:space="720"/>
            <w:col w:w="6520"/>
          </w:cols>
          <w:pgMar w:left="320" w:top="1128" w:right="2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ITEMIZED RECONCILIATION OF GAAP TO NON-GAAP OPERATING EXPENSES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0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4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0"/>
                <w:szCs w:val="20"/>
                <w:color w:val="auto"/>
              </w:rPr>
            </w:pPr>
          </w:p>
        </w:tc>
        <w:tc>
          <w:tcPr>
            <w:tcW w:w="266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Pr>
          <w:p>
            <w:pPr>
              <w:spacing w:after="0"/>
              <w:rPr>
                <w:sz w:val="20"/>
                <w:szCs w:val="20"/>
                <w:color w:val="auto"/>
              </w:rPr>
            </w:pPr>
          </w:p>
        </w:tc>
      </w:tr>
      <w:tr>
        <w:trPr>
          <w:trHeight w:val="203"/>
        </w:trPr>
        <w:tc>
          <w:tcPr>
            <w:tcW w:w="48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jc w:val="center"/>
              <w:ind w:right="5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3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center"/>
              <w:ind w:right="5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1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7"/>
                <w:szCs w:val="17"/>
                <w:color w:val="auto"/>
              </w:rPr>
            </w:pPr>
          </w:p>
        </w:tc>
      </w:tr>
      <w:tr>
        <w:trPr>
          <w:trHeight w:val="245"/>
        </w:trPr>
        <w:tc>
          <w:tcPr>
            <w:tcW w:w="48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4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65,427</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31,051</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149,797</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59,925</w:t>
            </w:r>
          </w:p>
        </w:tc>
        <w:tc>
          <w:tcPr>
            <w:tcW w:w="100" w:type="dxa"/>
            <w:vAlign w:val="bottom"/>
            <w:shd w:val="clear" w:color="auto" w:fill="CFF0FC"/>
          </w:tcPr>
          <w:p>
            <w:pPr>
              <w:spacing w:after="0"/>
              <w:rPr>
                <w:sz w:val="21"/>
                <w:szCs w:val="21"/>
                <w:color w:val="auto"/>
              </w:rPr>
            </w:pPr>
          </w:p>
        </w:tc>
      </w:tr>
      <w:tr>
        <w:trPr>
          <w:trHeight w:val="238"/>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2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(5,749 )</w:t>
            </w: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(2,267 )</w:t>
            </w:r>
          </w:p>
        </w:tc>
        <w:tc>
          <w:tcPr>
            <w:tcW w:w="3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(10,033 )</w:t>
            </w:r>
          </w:p>
        </w:tc>
        <w:tc>
          <w:tcPr>
            <w:tcW w:w="2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(3,417 )</w:t>
            </w:r>
          </w:p>
        </w:tc>
      </w:tr>
      <w:tr>
        <w:trPr>
          <w:trHeight w:val="247"/>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(2,782 )</w:t>
            </w: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(19,945 )</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(6,436 )</w:t>
            </w: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(3,007 )</w:t>
            </w:r>
          </w:p>
        </w:tc>
        <w:tc>
          <w:tcPr>
            <w:tcW w:w="3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(17,808 )</w:t>
            </w:r>
          </w:p>
        </w:tc>
        <w:tc>
          <w:tcPr>
            <w:tcW w:w="2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(5,802 )</w:t>
            </w:r>
          </w:p>
        </w:tc>
      </w:tr>
      <w:tr>
        <w:trPr>
          <w:trHeight w:val="247"/>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(161 )</w:t>
            </w: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(311 )</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(2,172 )</w:t>
            </w: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(491 )</w:t>
            </w:r>
          </w:p>
        </w:tc>
        <w:tc>
          <w:tcPr>
            <w:tcW w:w="3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(4,237 )</w:t>
            </w:r>
          </w:p>
        </w:tc>
        <w:tc>
          <w:tcPr>
            <w:tcW w:w="2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(1,030 )</w:t>
            </w:r>
          </w:p>
        </w:tc>
      </w:tr>
      <w:tr>
        <w:trPr>
          <w:trHeight w:val="243"/>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Gain/loss on disposal of property and equipment</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(371 )</w:t>
            </w: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(73 )</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(385 )</w:t>
            </w: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(73 )</w:t>
            </w:r>
          </w:p>
        </w:tc>
      </w:tr>
      <w:tr>
        <w:trPr>
          <w:trHeight w:val="236"/>
        </w:trPr>
        <w:tc>
          <w:tcPr>
            <w:tcW w:w="4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47,756</w:t>
            </w: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25,213</w:t>
            </w:r>
          </w:p>
        </w:tc>
        <w:tc>
          <w:tcPr>
            <w:tcW w:w="30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97,078</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49,603</w:t>
            </w:r>
          </w:p>
        </w:tc>
        <w:tc>
          <w:tcPr>
            <w:tcW w:w="100" w:type="dxa"/>
            <w:vAlign w:val="bottom"/>
            <w:tcBorders>
              <w:top w:val="single" w:sz="8" w:color="CFF0FC"/>
            </w:tcBorders>
          </w:tcPr>
          <w:p>
            <w:pPr>
              <w:spacing w:after="0"/>
              <w:rPr>
                <w:sz w:val="20"/>
                <w:szCs w:val="20"/>
                <w:color w:val="auto"/>
              </w:rPr>
            </w:pPr>
          </w:p>
        </w:tc>
      </w:tr>
      <w:tr>
        <w:trPr>
          <w:trHeight w:val="20"/>
        </w:trPr>
        <w:tc>
          <w:tcPr>
            <w:tcW w:w="4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4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R&amp;D operating expenses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35,202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12,613</w:t>
            </w:r>
          </w:p>
        </w:tc>
        <w:tc>
          <w:tcPr>
            <w:tcW w:w="100" w:type="dxa"/>
            <w:vAlign w:val="bottom"/>
            <w:shd w:val="clear" w:color="auto" w:fill="CFF0FC"/>
          </w:tcPr>
          <w:p>
            <w:pPr>
              <w:spacing w:after="0"/>
              <w:rPr>
                <w:sz w:val="21"/>
                <w:szCs w:val="21"/>
                <w:color w:val="auto"/>
              </w:rPr>
            </w:pPr>
          </w:p>
        </w:tc>
      </w:tr>
      <w:tr>
        <w:trPr>
          <w:trHeight w:val="238"/>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(2,428 )</w:t>
            </w: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(366 )</w:t>
            </w:r>
          </w:p>
        </w:tc>
        <w:tc>
          <w:tcPr>
            <w:tcW w:w="3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(3,756 )</w:t>
            </w:r>
          </w:p>
        </w:tc>
        <w:tc>
          <w:tcPr>
            <w:tcW w:w="2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(782 )</w:t>
            </w:r>
          </w:p>
        </w:tc>
      </w:tr>
      <w:tr>
        <w:trPr>
          <w:trHeight w:val="243"/>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(788 )</w:t>
            </w: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(131 )</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(1,659 )</w:t>
            </w: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(281 )</w:t>
            </w:r>
          </w:p>
        </w:tc>
      </w:tr>
      <w:tr>
        <w:trPr>
          <w:trHeight w:val="236"/>
        </w:trPr>
        <w:tc>
          <w:tcPr>
            <w:tcW w:w="4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Non-GAAP R&amp;D operating expenses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16,006</w:t>
            </w: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30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29,787</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11,550</w:t>
            </w:r>
          </w:p>
        </w:tc>
        <w:tc>
          <w:tcPr>
            <w:tcW w:w="100" w:type="dxa"/>
            <w:vAlign w:val="bottom"/>
            <w:tcBorders>
              <w:top w:val="single" w:sz="8" w:color="CFF0FC"/>
            </w:tcBorders>
          </w:tcPr>
          <w:p>
            <w:pPr>
              <w:spacing w:after="0"/>
              <w:rPr>
                <w:sz w:val="20"/>
                <w:szCs w:val="20"/>
                <w:color w:val="auto"/>
              </w:rPr>
            </w:pPr>
          </w:p>
        </w:tc>
      </w:tr>
      <w:tr>
        <w:trPr>
          <w:trHeight w:val="20"/>
        </w:trPr>
        <w:tc>
          <w:tcPr>
            <w:tcW w:w="4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4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SG&amp;A operating expenses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37,674</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22,600</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84,617</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43,895</w:t>
            </w:r>
          </w:p>
        </w:tc>
        <w:tc>
          <w:tcPr>
            <w:tcW w:w="100" w:type="dxa"/>
            <w:vAlign w:val="bottom"/>
            <w:shd w:val="clear" w:color="auto" w:fill="CFF0FC"/>
          </w:tcPr>
          <w:p>
            <w:pPr>
              <w:spacing w:after="0"/>
              <w:rPr>
                <w:sz w:val="21"/>
                <w:szCs w:val="21"/>
                <w:color w:val="auto"/>
              </w:rPr>
            </w:pPr>
          </w:p>
        </w:tc>
      </w:tr>
      <w:tr>
        <w:trPr>
          <w:trHeight w:val="238"/>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(4,008 )</w:t>
            </w: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(2,641 )</w:t>
            </w:r>
          </w:p>
        </w:tc>
        <w:tc>
          <w:tcPr>
            <w:tcW w:w="3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(14,052 )</w:t>
            </w:r>
          </w:p>
        </w:tc>
        <w:tc>
          <w:tcPr>
            <w:tcW w:w="2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(5,020 )</w:t>
            </w:r>
          </w:p>
        </w:tc>
      </w:tr>
      <w:tr>
        <w:trPr>
          <w:trHeight w:val="247"/>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(161 )</w:t>
            </w: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(311 )</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(1,384 )</w:t>
            </w: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(360 )</w:t>
            </w:r>
          </w:p>
        </w:tc>
        <w:tc>
          <w:tcPr>
            <w:tcW w:w="3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(2,578 )</w:t>
            </w:r>
          </w:p>
        </w:tc>
        <w:tc>
          <w:tcPr>
            <w:tcW w:w="2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(749 )</w:t>
            </w:r>
          </w:p>
        </w:tc>
      </w:tr>
      <w:tr>
        <w:trPr>
          <w:trHeight w:val="243"/>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Gain/loss on disposal of property and equipment</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(371 )</w:t>
            </w: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(73 )</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(385 )</w:t>
            </w: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(73 )</w:t>
            </w:r>
          </w:p>
        </w:tc>
      </w:tr>
      <w:tr>
        <w:trPr>
          <w:trHeight w:val="236"/>
        </w:trPr>
        <w:tc>
          <w:tcPr>
            <w:tcW w:w="4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Non-GAAP SG&amp;A operating expenses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31,750</w:t>
            </w: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19,526</w:t>
            </w:r>
          </w:p>
        </w:tc>
        <w:tc>
          <w:tcPr>
            <w:tcW w:w="30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67,291</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38,053</w:t>
            </w:r>
          </w:p>
        </w:tc>
        <w:tc>
          <w:tcPr>
            <w:tcW w:w="100" w:type="dxa"/>
            <w:vAlign w:val="bottom"/>
            <w:tcBorders>
              <w:top w:val="single" w:sz="8" w:color="CFF0FC"/>
            </w:tcBorders>
          </w:tcPr>
          <w:p>
            <w:pPr>
              <w:spacing w:after="0"/>
              <w:rPr>
                <w:sz w:val="20"/>
                <w:szCs w:val="20"/>
                <w:color w:val="auto"/>
              </w:rPr>
            </w:pPr>
          </w:p>
        </w:tc>
      </w:tr>
      <w:tr>
        <w:trPr>
          <w:trHeight w:val="20"/>
        </w:trPr>
        <w:tc>
          <w:tcPr>
            <w:tcW w:w="4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7"/>
        </w:trPr>
        <w:tc>
          <w:tcPr>
            <w:tcW w:w="4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Non-GAAP Pro Forma Combined</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0"/>
        </w:trPr>
        <w:tc>
          <w:tcPr>
            <w:tcW w:w="4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0"/>
                <w:szCs w:val="20"/>
                <w:color w:val="auto"/>
              </w:rPr>
            </w:pPr>
          </w:p>
        </w:tc>
        <w:tc>
          <w:tcPr>
            <w:tcW w:w="266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Pr>
          <w:p>
            <w:pPr>
              <w:spacing w:after="0"/>
              <w:rPr>
                <w:sz w:val="20"/>
                <w:szCs w:val="20"/>
                <w:color w:val="auto"/>
              </w:rPr>
            </w:pPr>
          </w:p>
        </w:tc>
      </w:tr>
      <w:tr>
        <w:trPr>
          <w:trHeight w:val="203"/>
        </w:trPr>
        <w:tc>
          <w:tcPr>
            <w:tcW w:w="48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jc w:val="center"/>
              <w:ind w:right="5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3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center"/>
              <w:ind w:right="5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1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7"/>
                <w:szCs w:val="17"/>
                <w:color w:val="auto"/>
              </w:rPr>
            </w:pPr>
          </w:p>
        </w:tc>
      </w:tr>
      <w:tr>
        <w:trPr>
          <w:trHeight w:val="245"/>
        </w:trPr>
        <w:tc>
          <w:tcPr>
            <w:tcW w:w="48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4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65,427</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67,773</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153,195</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147,264</w:t>
            </w:r>
          </w:p>
        </w:tc>
        <w:tc>
          <w:tcPr>
            <w:tcW w:w="100" w:type="dxa"/>
            <w:vAlign w:val="bottom"/>
            <w:shd w:val="clear" w:color="auto" w:fill="CFF0FC"/>
          </w:tcPr>
          <w:p>
            <w:pPr>
              <w:spacing w:after="0"/>
              <w:rPr>
                <w:sz w:val="21"/>
                <w:szCs w:val="21"/>
                <w:color w:val="auto"/>
              </w:rPr>
            </w:pPr>
          </w:p>
        </w:tc>
      </w:tr>
      <w:tr>
        <w:trPr>
          <w:trHeight w:val="238"/>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2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(5,749 )</w:t>
            </w: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(2,326 )</w:t>
            </w:r>
          </w:p>
        </w:tc>
        <w:tc>
          <w:tcPr>
            <w:tcW w:w="3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(10,033 )</w:t>
            </w:r>
          </w:p>
        </w:tc>
        <w:tc>
          <w:tcPr>
            <w:tcW w:w="2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(4,517 )</w:t>
            </w:r>
          </w:p>
        </w:tc>
      </w:tr>
      <w:tr>
        <w:trPr>
          <w:trHeight w:val="247"/>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(2,782 )</w:t>
            </w: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(30,114 )</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(6,436 )</w:t>
            </w: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(4,500 )</w:t>
            </w:r>
          </w:p>
        </w:tc>
        <w:tc>
          <w:tcPr>
            <w:tcW w:w="3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(17,808 )</w:t>
            </w:r>
          </w:p>
        </w:tc>
        <w:tc>
          <w:tcPr>
            <w:tcW w:w="2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(15,675 )</w:t>
            </w:r>
          </w:p>
        </w:tc>
      </w:tr>
      <w:tr>
        <w:trPr>
          <w:trHeight w:val="247"/>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(161 )</w:t>
            </w: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(161 )</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(311 )</w:t>
            </w: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(321 )</w:t>
            </w:r>
          </w:p>
        </w:tc>
      </w:tr>
      <w:tr>
        <w:trPr>
          <w:trHeight w:val="238"/>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(2,172 )</w:t>
            </w: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(1,800 )</w:t>
            </w:r>
          </w:p>
        </w:tc>
        <w:tc>
          <w:tcPr>
            <w:tcW w:w="3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(4,237 )</w:t>
            </w:r>
          </w:p>
        </w:tc>
        <w:tc>
          <w:tcPr>
            <w:tcW w:w="2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(3,666 )</w:t>
            </w:r>
          </w:p>
        </w:tc>
      </w:tr>
      <w:tr>
        <w:trPr>
          <w:trHeight w:val="243"/>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Gain/loss on disposal of property and equipment</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(371 )</w:t>
            </w: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(107 )</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(385 )</w:t>
            </w: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(107 )</w:t>
            </w:r>
          </w:p>
        </w:tc>
      </w:tr>
      <w:tr>
        <w:trPr>
          <w:trHeight w:val="236"/>
        </w:trPr>
        <w:tc>
          <w:tcPr>
            <w:tcW w:w="4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47,756</w:t>
            </w: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58,879</w:t>
            </w:r>
          </w:p>
        </w:tc>
        <w:tc>
          <w:tcPr>
            <w:tcW w:w="30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90,307</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122,978</w:t>
            </w:r>
          </w:p>
        </w:tc>
        <w:tc>
          <w:tcPr>
            <w:tcW w:w="100" w:type="dxa"/>
            <w:vAlign w:val="bottom"/>
            <w:tcBorders>
              <w:top w:val="single" w:sz="8" w:color="CFF0FC"/>
            </w:tcBorders>
          </w:tcPr>
          <w:p>
            <w:pPr>
              <w:spacing w:after="0"/>
              <w:rPr>
                <w:sz w:val="20"/>
                <w:szCs w:val="20"/>
                <w:color w:val="auto"/>
              </w:rPr>
            </w:pPr>
          </w:p>
        </w:tc>
      </w:tr>
      <w:tr>
        <w:trPr>
          <w:trHeight w:val="20"/>
        </w:trPr>
        <w:tc>
          <w:tcPr>
            <w:tcW w:w="4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4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R&amp;D operating expenses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14,918</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32,762</w:t>
            </w:r>
          </w:p>
        </w:tc>
        <w:tc>
          <w:tcPr>
            <w:tcW w:w="100" w:type="dxa"/>
            <w:vAlign w:val="bottom"/>
            <w:shd w:val="clear" w:color="auto" w:fill="CFF0FC"/>
          </w:tcPr>
          <w:p>
            <w:pPr>
              <w:spacing w:after="0"/>
              <w:rPr>
                <w:sz w:val="21"/>
                <w:szCs w:val="21"/>
                <w:color w:val="auto"/>
              </w:rPr>
            </w:pPr>
          </w:p>
        </w:tc>
      </w:tr>
      <w:tr>
        <w:trPr>
          <w:trHeight w:val="238"/>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(2,428 )</w:t>
            </w: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(741 )</w:t>
            </w:r>
          </w:p>
        </w:tc>
        <w:tc>
          <w:tcPr>
            <w:tcW w:w="3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(3,756 )</w:t>
            </w:r>
          </w:p>
        </w:tc>
        <w:tc>
          <w:tcPr>
            <w:tcW w:w="2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(1,544 )</w:t>
            </w:r>
          </w:p>
        </w:tc>
      </w:tr>
      <w:tr>
        <w:trPr>
          <w:trHeight w:val="243"/>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(788 )</w:t>
            </w: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(523 )</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(1,659 )</w:t>
            </w: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(1,051 )</w:t>
            </w:r>
          </w:p>
        </w:tc>
      </w:tr>
      <w:tr>
        <w:trPr>
          <w:trHeight w:val="236"/>
        </w:trPr>
        <w:tc>
          <w:tcPr>
            <w:tcW w:w="4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Non-GAAP R&amp;D operating expenses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16,006</w:t>
            </w: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13,654</w:t>
            </w:r>
          </w:p>
        </w:tc>
        <w:tc>
          <w:tcPr>
            <w:tcW w:w="30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30,439</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30,167</w:t>
            </w:r>
          </w:p>
        </w:tc>
        <w:tc>
          <w:tcPr>
            <w:tcW w:w="100" w:type="dxa"/>
            <w:vAlign w:val="bottom"/>
            <w:tcBorders>
              <w:top w:val="single" w:sz="8" w:color="CFF0FC"/>
            </w:tcBorders>
          </w:tcPr>
          <w:p>
            <w:pPr>
              <w:spacing w:after="0"/>
              <w:rPr>
                <w:sz w:val="20"/>
                <w:szCs w:val="20"/>
                <w:color w:val="auto"/>
              </w:rPr>
            </w:pPr>
          </w:p>
        </w:tc>
      </w:tr>
      <w:tr>
        <w:trPr>
          <w:trHeight w:val="20"/>
        </w:trPr>
        <w:tc>
          <w:tcPr>
            <w:tcW w:w="4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4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SG&amp;A operating expenses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37,674</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50,529</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77,194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109,985</w:t>
            </w:r>
          </w:p>
        </w:tc>
        <w:tc>
          <w:tcPr>
            <w:tcW w:w="100" w:type="dxa"/>
            <w:vAlign w:val="bottom"/>
            <w:shd w:val="clear" w:color="auto" w:fill="CFF0FC"/>
          </w:tcPr>
          <w:p>
            <w:pPr>
              <w:spacing w:after="0"/>
              <w:rPr>
                <w:sz w:val="21"/>
                <w:szCs w:val="21"/>
                <w:color w:val="auto"/>
              </w:rPr>
            </w:pPr>
          </w:p>
        </w:tc>
      </w:tr>
      <w:tr>
        <w:trPr>
          <w:trHeight w:val="238"/>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(4,008 )</w:t>
            </w: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(3,759 )</w:t>
            </w:r>
          </w:p>
        </w:tc>
        <w:tc>
          <w:tcPr>
            <w:tcW w:w="3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(14,052 )</w:t>
            </w:r>
          </w:p>
        </w:tc>
        <w:tc>
          <w:tcPr>
            <w:tcW w:w="2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(14,131 )</w:t>
            </w:r>
          </w:p>
        </w:tc>
      </w:tr>
      <w:tr>
        <w:trPr>
          <w:trHeight w:val="247"/>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(161 )</w:t>
            </w: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(161 )</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(311 )</w:t>
            </w: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(321 )</w:t>
            </w:r>
          </w:p>
        </w:tc>
      </w:tr>
      <w:tr>
        <w:trPr>
          <w:trHeight w:val="238"/>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(1,384 )</w:t>
            </w: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(1,277 )</w:t>
            </w:r>
          </w:p>
        </w:tc>
        <w:tc>
          <w:tcPr>
            <w:tcW w:w="3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(2,578 )</w:t>
            </w:r>
          </w:p>
        </w:tc>
        <w:tc>
          <w:tcPr>
            <w:tcW w:w="2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(2,615 )</w:t>
            </w:r>
          </w:p>
        </w:tc>
      </w:tr>
      <w:tr>
        <w:trPr>
          <w:trHeight w:val="243"/>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Gain/loss on disposal of property and equipment</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(371 )</w:t>
            </w: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(107 )</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(385 )</w:t>
            </w: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(107 )</w:t>
            </w:r>
          </w:p>
        </w:tc>
      </w:tr>
      <w:tr>
        <w:trPr>
          <w:trHeight w:val="236"/>
        </w:trPr>
        <w:tc>
          <w:tcPr>
            <w:tcW w:w="4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Non-GAAP SG&amp;A operating expenses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31,750</w:t>
            </w: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45,225</w:t>
            </w:r>
          </w:p>
        </w:tc>
        <w:tc>
          <w:tcPr>
            <w:tcW w:w="30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59,868</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92,811</w:t>
            </w:r>
          </w:p>
        </w:tc>
        <w:tc>
          <w:tcPr>
            <w:tcW w:w="100" w:type="dxa"/>
            <w:vAlign w:val="bottom"/>
            <w:tcBorders>
              <w:top w:val="single" w:sz="8" w:color="CFF0FC"/>
            </w:tcBorders>
          </w:tcPr>
          <w:p>
            <w:pPr>
              <w:spacing w:after="0"/>
              <w:rPr>
                <w:sz w:val="20"/>
                <w:szCs w:val="20"/>
                <w:color w:val="auto"/>
              </w:rPr>
            </w:pPr>
          </w:p>
        </w:tc>
      </w:tr>
      <w:tr>
        <w:trPr>
          <w:trHeight w:val="20"/>
        </w:trPr>
        <w:tc>
          <w:tcPr>
            <w:tcW w:w="4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-6052820</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-6052820</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-6052820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-6052820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-5248275</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-5248275</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-5248275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-5248275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-4135120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-4135120</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-4135120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-4135120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-2105660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-2105660</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-2105660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-2105660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-1301115</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-1301115</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-1301115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-1301115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-187960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-187960</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-187960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826135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ITEMIZED RECONCILIATION OF GAAP NET LOSS TO NON-GAAP ADJUSTED EBITDA</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0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4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0"/>
                <w:szCs w:val="20"/>
                <w:color w:val="auto"/>
              </w:rPr>
            </w:pPr>
          </w:p>
        </w:tc>
        <w:tc>
          <w:tcPr>
            <w:tcW w:w="266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Pr>
          <w:p>
            <w:pPr>
              <w:spacing w:after="0"/>
              <w:rPr>
                <w:sz w:val="20"/>
                <w:szCs w:val="20"/>
                <w:color w:val="auto"/>
              </w:rPr>
            </w:pPr>
          </w:p>
        </w:tc>
      </w:tr>
      <w:tr>
        <w:trPr>
          <w:trHeight w:val="203"/>
        </w:trPr>
        <w:tc>
          <w:tcPr>
            <w:tcW w:w="48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jc w:val="center"/>
              <w:ind w:right="5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3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center"/>
              <w:ind w:right="5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1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7"/>
                <w:szCs w:val="17"/>
                <w:color w:val="auto"/>
              </w:rPr>
            </w:pPr>
          </w:p>
        </w:tc>
      </w:tr>
      <w:tr>
        <w:trPr>
          <w:trHeight w:val="245"/>
        </w:trPr>
        <w:tc>
          <w:tcPr>
            <w:tcW w:w="48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4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(45,718 )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(17,040 )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(77,875 )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(33,883 )</w:t>
            </w:r>
          </w:p>
        </w:tc>
      </w:tr>
      <w:tr>
        <w:trPr>
          <w:trHeight w:val="238"/>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20"/>
                <w:szCs w:val="20"/>
                <w:color w:val="auto"/>
              </w:rPr>
            </w:pPr>
          </w:p>
        </w:tc>
      </w:tr>
      <w:tr>
        <w:trPr>
          <w:trHeight w:val="247"/>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(4,444 )</w:t>
            </w: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(244 )</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(9,618 )</w:t>
            </w: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(316 )</w:t>
            </w:r>
          </w:p>
        </w:tc>
      </w:tr>
      <w:tr>
        <w:trPr>
          <w:trHeight w:val="238"/>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tcPr>
          <w:p>
            <w:pPr>
              <w:spacing w:after="0"/>
              <w:rPr>
                <w:sz w:val="20"/>
                <w:szCs w:val="20"/>
                <w:color w:val="auto"/>
              </w:rPr>
            </w:pPr>
          </w:p>
        </w:tc>
      </w:tr>
      <w:tr>
        <w:trPr>
          <w:trHeight w:val="247"/>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shd w:val="clear" w:color="auto" w:fill="CFF0FC"/>
          </w:tcPr>
          <w:p>
            <w:pPr>
              <w:spacing w:after="0"/>
              <w:rPr>
                <w:sz w:val="21"/>
                <w:szCs w:val="21"/>
                <w:color w:val="auto"/>
              </w:rPr>
            </w:pPr>
          </w:p>
        </w:tc>
      </w:tr>
      <w:tr>
        <w:trPr>
          <w:trHeight w:val="238"/>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Bargain purchase gain</w:t>
            </w:r>
          </w:p>
        </w:tc>
        <w:tc>
          <w:tcPr>
            <w:tcW w:w="24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(25,213 )</w:t>
            </w:r>
          </w:p>
        </w:tc>
        <w:tc>
          <w:tcPr>
            <w:tcW w:w="2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10,033</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100" w:type="dxa"/>
            <w:vAlign w:val="bottom"/>
            <w:shd w:val="clear" w:color="auto" w:fill="CFF0FC"/>
          </w:tcPr>
          <w:p>
            <w:pPr>
              <w:spacing w:after="0"/>
              <w:rPr>
                <w:sz w:val="21"/>
                <w:szCs w:val="21"/>
                <w:color w:val="auto"/>
              </w:rPr>
            </w:pPr>
          </w:p>
        </w:tc>
      </w:tr>
      <w:tr>
        <w:trPr>
          <w:trHeight w:val="238"/>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18,341</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100" w:type="dxa"/>
            <w:vAlign w:val="bottom"/>
            <w:shd w:val="clear" w:color="auto" w:fill="CFF0FC"/>
          </w:tcPr>
          <w:p>
            <w:pPr>
              <w:spacing w:after="0"/>
              <w:rPr>
                <w:sz w:val="21"/>
                <w:szCs w:val="21"/>
                <w:color w:val="auto"/>
              </w:rPr>
            </w:pPr>
          </w:p>
        </w:tc>
      </w:tr>
      <w:tr>
        <w:trPr>
          <w:trHeight w:val="238"/>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sales adjustment</w:t>
            </w:r>
          </w:p>
        </w:tc>
        <w:tc>
          <w:tcPr>
            <w:tcW w:w="24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(1,812 )</w:t>
            </w:r>
          </w:p>
        </w:tc>
        <w:tc>
          <w:tcPr>
            <w:tcW w:w="2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Gain/loss on disposal of property and equipment</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21"/>
                <w:szCs w:val="21"/>
                <w:color w:val="auto"/>
              </w:rPr>
            </w:pPr>
          </w:p>
        </w:tc>
      </w:tr>
      <w:tr>
        <w:trPr>
          <w:trHeight w:val="238"/>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non-operating expense</w:t>
            </w:r>
          </w:p>
        </w:tc>
        <w:tc>
          <w:tcPr>
            <w:tcW w:w="2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(412 )</w:t>
            </w: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(466 )</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(407 )</w:t>
            </w:r>
          </w:p>
        </w:tc>
      </w:tr>
      <w:tr>
        <w:trPr>
          <w:trHeight w:val="20"/>
        </w:trPr>
        <w:tc>
          <w:tcPr>
            <w:tcW w:w="4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(31,032 )</w:t>
            </w:r>
          </w:p>
        </w:tc>
        <w:tc>
          <w:tcPr>
            <w:tcW w:w="14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(8,369 )</w:t>
            </w: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(54,759 )</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(17,002 )</w:t>
            </w:r>
          </w:p>
        </w:tc>
      </w:tr>
      <w:tr>
        <w:trPr>
          <w:trHeight w:val="668"/>
        </w:trPr>
        <w:tc>
          <w:tcPr>
            <w:tcW w:w="4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Non-GAAP Pro Forma Combined</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0"/>
        </w:trPr>
        <w:tc>
          <w:tcPr>
            <w:tcW w:w="4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0"/>
                <w:szCs w:val="20"/>
                <w:color w:val="auto"/>
              </w:rPr>
            </w:pPr>
          </w:p>
        </w:tc>
        <w:tc>
          <w:tcPr>
            <w:tcW w:w="266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Pr>
          <w:p>
            <w:pPr>
              <w:spacing w:after="0"/>
              <w:rPr>
                <w:sz w:val="20"/>
                <w:szCs w:val="20"/>
                <w:color w:val="auto"/>
              </w:rPr>
            </w:pPr>
          </w:p>
        </w:tc>
      </w:tr>
      <w:tr>
        <w:trPr>
          <w:trHeight w:val="203"/>
        </w:trPr>
        <w:tc>
          <w:tcPr>
            <w:tcW w:w="48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jc w:val="center"/>
              <w:ind w:right="5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3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center"/>
              <w:ind w:right="5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1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7"/>
                <w:szCs w:val="17"/>
                <w:color w:val="auto"/>
              </w:rPr>
            </w:pPr>
          </w:p>
        </w:tc>
      </w:tr>
      <w:tr>
        <w:trPr>
          <w:trHeight w:val="245"/>
        </w:trPr>
        <w:tc>
          <w:tcPr>
            <w:tcW w:w="48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4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(45,718 )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(39,557 )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(107,693 )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(67,795 )</w:t>
            </w:r>
          </w:p>
        </w:tc>
      </w:tr>
      <w:tr>
        <w:trPr>
          <w:trHeight w:val="238"/>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20"/>
                <w:szCs w:val="20"/>
                <w:color w:val="auto"/>
              </w:rPr>
            </w:pPr>
          </w:p>
        </w:tc>
      </w:tr>
      <w:tr>
        <w:trPr>
          <w:trHeight w:val="247"/>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(4,444 )</w:t>
            </w: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(6,162 )</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(9,618 )</w:t>
            </w: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(11,157 )</w:t>
            </w:r>
          </w:p>
        </w:tc>
      </w:tr>
      <w:tr>
        <w:trPr>
          <w:trHeight w:val="238"/>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100" w:type="dxa"/>
            <w:vAlign w:val="bottom"/>
          </w:tcPr>
          <w:p>
            <w:pPr>
              <w:spacing w:after="0"/>
              <w:rPr>
                <w:sz w:val="20"/>
                <w:szCs w:val="20"/>
                <w:color w:val="auto"/>
              </w:rPr>
            </w:pPr>
          </w:p>
        </w:tc>
      </w:tr>
      <w:tr>
        <w:trPr>
          <w:trHeight w:val="247"/>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100" w:type="dxa"/>
            <w:vAlign w:val="bottom"/>
            <w:shd w:val="clear" w:color="auto" w:fill="CFF0FC"/>
          </w:tcPr>
          <w:p>
            <w:pPr>
              <w:spacing w:after="0"/>
              <w:rPr>
                <w:sz w:val="21"/>
                <w:szCs w:val="21"/>
                <w:color w:val="auto"/>
              </w:rPr>
            </w:pPr>
          </w:p>
        </w:tc>
      </w:tr>
      <w:tr>
        <w:trPr>
          <w:trHeight w:val="238"/>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Bargain purchase gain</w:t>
            </w:r>
          </w:p>
        </w:tc>
        <w:tc>
          <w:tcPr>
            <w:tcW w:w="24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(25,213 )</w:t>
            </w:r>
          </w:p>
        </w:tc>
      </w:tr>
      <w:tr>
        <w:trPr>
          <w:trHeight w:val="247"/>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10,033</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100" w:type="dxa"/>
            <w:vAlign w:val="bottom"/>
            <w:shd w:val="clear" w:color="auto" w:fill="CFF0FC"/>
          </w:tcPr>
          <w:p>
            <w:pPr>
              <w:spacing w:after="0"/>
              <w:rPr>
                <w:sz w:val="21"/>
                <w:szCs w:val="21"/>
                <w:color w:val="auto"/>
              </w:rPr>
            </w:pPr>
          </w:p>
        </w:tc>
      </w:tr>
      <w:tr>
        <w:trPr>
          <w:trHeight w:val="238"/>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18,341</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16,236</w:t>
            </w:r>
          </w:p>
        </w:tc>
        <w:tc>
          <w:tcPr>
            <w:tcW w:w="100" w:type="dxa"/>
            <w:vAlign w:val="bottom"/>
            <w:shd w:val="clear" w:color="auto" w:fill="CFF0FC"/>
          </w:tcPr>
          <w:p>
            <w:pPr>
              <w:spacing w:after="0"/>
              <w:rPr>
                <w:sz w:val="21"/>
                <w:szCs w:val="21"/>
                <w:color w:val="auto"/>
              </w:rPr>
            </w:pPr>
          </w:p>
        </w:tc>
      </w:tr>
      <w:tr>
        <w:trPr>
          <w:trHeight w:val="238"/>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sales adjustment</w:t>
            </w:r>
          </w:p>
        </w:tc>
        <w:tc>
          <w:tcPr>
            <w:tcW w:w="24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(1,337 )</w:t>
            </w:r>
          </w:p>
        </w:tc>
      </w:tr>
      <w:tr>
        <w:trPr>
          <w:trHeight w:val="247"/>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Gain/loss on disposal of property and equipment</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FF0FC"/>
          </w:tcPr>
          <w:p>
            <w:pPr>
              <w:spacing w:after="0"/>
              <w:rPr>
                <w:sz w:val="21"/>
                <w:szCs w:val="21"/>
                <w:color w:val="auto"/>
              </w:rPr>
            </w:pPr>
          </w:p>
        </w:tc>
      </w:tr>
      <w:tr>
        <w:trPr>
          <w:trHeight w:val="238"/>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non-operating expense</w:t>
            </w:r>
          </w:p>
        </w:tc>
        <w:tc>
          <w:tcPr>
            <w:tcW w:w="2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(412 )</w:t>
            </w: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(303 )</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20"/>
                <w:szCs w:val="20"/>
                <w:color w:val="auto"/>
              </w:rPr>
            </w:pPr>
          </w:p>
        </w:tc>
      </w:tr>
      <w:tr>
        <w:trPr>
          <w:trHeight w:val="20"/>
        </w:trPr>
        <w:tc>
          <w:tcPr>
            <w:tcW w:w="4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(31,032 )</w:t>
            </w:r>
          </w:p>
        </w:tc>
        <w:tc>
          <w:tcPr>
            <w:tcW w:w="14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(32,604 )</w:t>
            </w: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(47,383 )</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(71,233 )</w:t>
            </w:r>
          </w:p>
        </w:tc>
      </w:tr>
      <w:tr>
        <w:trPr>
          <w:trHeight w:val="1328"/>
        </w:trPr>
        <w:tc>
          <w:tcPr>
            <w:tcW w:w="4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2024-07-31T15:29:24Z</dcterms:created>
  <dcterms:modified xsi:type="dcterms:W3CDTF">2024-07-31T15:29:24Z</dcterms:modified>
</cp:coreProperties>
</file>