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September 5,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7 TO</w:t>
      </w:r>
    </w:p>
    <w:p>
      <w:pPr>
        <w:jc w:val="center"/>
        <w:ind w:right="-339"/>
        <w:spacing w:after="0"/>
        <w:rPr>
          <w:sz w:val="20"/>
          <w:szCs w:val="20"/>
          <w:color w:val="auto"/>
        </w:rPr>
      </w:pPr>
      <w:r>
        <w:rPr>
          <w:rFonts w:ascii="Arial" w:cs="Arial" w:eastAsia="Arial" w:hAnsi="Arial"/>
          <w:sz w:val="24"/>
          <w:szCs w:val="24"/>
          <w:b w:val="1"/>
          <w:bCs w:val="1"/>
          <w:color w:val="auto"/>
        </w:rPr>
        <w:t>Form S-1</w:t>
      </w:r>
    </w:p>
    <w:p>
      <w:pPr>
        <w:jc w:val="center"/>
        <w:ind w:right="-339"/>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1"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31"/>
        </w:trPr>
        <w:tc>
          <w:tcPr>
            <w:tcW w:w="3440" w:type="dxa"/>
            <w:vAlign w:val="bottom"/>
            <w:gridSpan w:val="2"/>
          </w:tcPr>
          <w:p>
            <w:pPr>
              <w:jc w:val="center"/>
              <w:ind w:left="182"/>
              <w:spacing w:after="0"/>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spacing w:after="0" w:line="3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31"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1940" w:type="dxa"/>
            <w:vAlign w:val="bottom"/>
          </w:tcPr>
          <w:p>
            <w:pPr>
              <w:spacing w:after="0"/>
              <w:rPr>
                <w:sz w:val="20"/>
                <w:szCs w:val="20"/>
                <w:color w:val="auto"/>
              </w:rPr>
            </w:pPr>
            <w:r>
              <w:rPr>
                <w:rFonts w:ascii="Arial" w:cs="Arial" w:eastAsia="Arial" w:hAnsi="Arial"/>
                <w:sz w:val="12"/>
                <w:szCs w:val="12"/>
                <w:color w:val="auto"/>
              </w:rPr>
              <w:t>Large accelerated filer o</w:t>
            </w:r>
          </w:p>
        </w:tc>
        <w:tc>
          <w:tcPr>
            <w:tcW w:w="2320" w:type="dxa"/>
            <w:vAlign w:val="bottom"/>
          </w:tcPr>
          <w:p>
            <w:pPr>
              <w:ind w:left="800"/>
              <w:spacing w:after="0"/>
              <w:rPr>
                <w:sz w:val="20"/>
                <w:szCs w:val="20"/>
                <w:color w:val="auto"/>
              </w:rPr>
            </w:pPr>
            <w:r>
              <w:rPr>
                <w:rFonts w:ascii="Arial" w:cs="Arial" w:eastAsia="Arial" w:hAnsi="Arial"/>
                <w:sz w:val="12"/>
                <w:szCs w:val="12"/>
                <w:color w:val="auto"/>
              </w:rPr>
              <w:t>Accelerated filer o</w:t>
            </w:r>
          </w:p>
        </w:tc>
        <w:tc>
          <w:tcPr>
            <w:tcW w:w="3320" w:type="dxa"/>
            <w:vAlign w:val="bottom"/>
          </w:tcPr>
          <w:p>
            <w:pPr>
              <w:ind w:left="1080"/>
              <w:spacing w:after="0"/>
              <w:rPr>
                <w:sz w:val="20"/>
                <w:szCs w:val="20"/>
                <w:color w:val="auto"/>
              </w:rPr>
            </w:pPr>
            <w:r>
              <w:rPr>
                <w:rFonts w:ascii="Arial" w:cs="Arial" w:eastAsia="Arial" w:hAnsi="Arial"/>
                <w:sz w:val="12"/>
                <w:szCs w:val="12"/>
                <w:color w:val="auto"/>
              </w:rPr>
              <w:t>Non-accelerated filer o</w:t>
            </w:r>
          </w:p>
        </w:tc>
        <w:tc>
          <w:tcPr>
            <w:tcW w:w="1840" w:type="dxa"/>
            <w:vAlign w:val="bottom"/>
          </w:tcPr>
          <w:p>
            <w:pPr>
              <w:ind w:left="460"/>
              <w:spacing w:after="0"/>
              <w:rPr>
                <w:sz w:val="20"/>
                <w:szCs w:val="20"/>
                <w:color w:val="auto"/>
              </w:rPr>
            </w:pPr>
            <w:r>
              <w:rPr>
                <w:rFonts w:ascii="Arial" w:cs="Arial" w:eastAsia="Arial" w:hAnsi="Arial"/>
                <w:sz w:val="12"/>
                <w:szCs w:val="12"/>
                <w:color w:val="auto"/>
                <w:w w:val="88"/>
              </w:rPr>
              <w:t>Smaller reporting company o</w:t>
            </w:r>
          </w:p>
        </w:tc>
      </w:tr>
      <w:tr>
        <w:trPr>
          <w:trHeight w:val="295"/>
        </w:trPr>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20" w:type="dxa"/>
            <w:vAlign w:val="bottom"/>
          </w:tcPr>
          <w:p>
            <w:pPr>
              <w:ind w:left="660"/>
              <w:spacing w:after="0"/>
              <w:rPr>
                <w:sz w:val="20"/>
                <w:szCs w:val="20"/>
                <w:color w:val="auto"/>
              </w:rPr>
            </w:pPr>
            <w:r>
              <w:rPr>
                <w:rFonts w:ascii="Arial" w:cs="Arial" w:eastAsia="Arial" w:hAnsi="Arial"/>
                <w:sz w:val="12"/>
                <w:szCs w:val="12"/>
                <w:color w:val="auto"/>
              </w:rPr>
              <w:t>(Do not check if a smaller reporting company)</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66040</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CALCULATION OF REGISTRATION FEE</w:t>
      </w:r>
    </w:p>
    <w:p>
      <w:pPr>
        <w:spacing w:after="0" w:line="60" w:lineRule="exact"/>
        <w:rPr>
          <w:sz w:val="20"/>
          <w:szCs w:val="20"/>
          <w:color w:val="auto"/>
        </w:rPr>
      </w:pPr>
    </w:p>
    <w:tbl>
      <w:tblPr>
        <w:tblLayout w:type="fixed"/>
        <w:tblInd w:w="340" w:type="dxa"/>
        <w:tblCellMar>
          <w:top w:w="0" w:type="dxa"/>
          <w:left w:w="0" w:type="dxa"/>
          <w:bottom w:w="0" w:type="dxa"/>
          <w:right w:w="0" w:type="dxa"/>
        </w:tblCellMar>
      </w:tblPr>
      <w:tr>
        <w:trPr>
          <w:trHeight w:val="121"/>
        </w:trPr>
        <w:tc>
          <w:tcPr>
            <w:tcW w:w="5520" w:type="dxa"/>
            <w:vAlign w:val="bottom"/>
            <w:tcBorders>
              <w:top w:val="single" w:sz="8" w:color="auto"/>
              <w:right w:val="single" w:sz="8" w:color="auto"/>
            </w:tcBorders>
            <w:vMerge w:val="restart"/>
          </w:tcPr>
          <w:p>
            <w:pPr>
              <w:jc w:val="center"/>
              <w:ind w:right="65"/>
              <w:spacing w:after="0"/>
              <w:rPr>
                <w:sz w:val="20"/>
                <w:szCs w:val="20"/>
                <w:color w:val="auto"/>
              </w:rPr>
            </w:pPr>
            <w:r>
              <w:rPr>
                <w:rFonts w:ascii="Arial" w:cs="Arial" w:eastAsia="Arial" w:hAnsi="Arial"/>
                <w:sz w:val="10"/>
                <w:szCs w:val="10"/>
                <w:b w:val="1"/>
                <w:bCs w:val="1"/>
                <w:color w:val="auto"/>
                <w:w w:val="94"/>
              </w:rPr>
              <w:t>Title of Each Class of</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Proposed Maximum</w:t>
            </w:r>
          </w:p>
        </w:tc>
        <w:tc>
          <w:tcPr>
            <w:tcW w:w="2560" w:type="dxa"/>
            <w:vAlign w:val="bottom"/>
            <w:tcBorders>
              <w:top w:val="single" w:sz="8" w:color="auto"/>
            </w:tcBorders>
          </w:tcPr>
          <w:p>
            <w:pPr>
              <w:jc w:val="center"/>
              <w:ind w:left="26"/>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5520" w:type="dxa"/>
            <w:vAlign w:val="bottom"/>
            <w:tcBorders>
              <w:right w:val="single" w:sz="8" w:color="auto"/>
            </w:tcBorders>
            <w:vMerge w:val="continue"/>
          </w:tcPr>
          <w:p>
            <w:pPr>
              <w:spacing w:after="0"/>
              <w:rPr>
                <w:sz w:val="9"/>
                <w:szCs w:val="9"/>
                <w:color w:val="auto"/>
              </w:rPr>
            </w:pPr>
          </w:p>
        </w:tc>
        <w:tc>
          <w:tcPr>
            <w:tcW w:w="27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2"/>
              </w:rPr>
              <w:t>Aggregate</w:t>
            </w:r>
          </w:p>
        </w:tc>
        <w:tc>
          <w:tcPr>
            <w:tcW w:w="2560" w:type="dxa"/>
            <w:vAlign w:val="bottom"/>
          </w:tcPr>
          <w:p>
            <w:pPr>
              <w:jc w:val="center"/>
              <w:ind w:left="26"/>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5520" w:type="dxa"/>
            <w:vAlign w:val="bottom"/>
            <w:tcBorders>
              <w:bottom w:val="single" w:sz="8" w:color="auto"/>
              <w:right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91"/>
              </w:rPr>
              <w:t>Securities to be Registered</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Offering Price(1)</w:t>
            </w:r>
          </w:p>
        </w:tc>
        <w:tc>
          <w:tcPr>
            <w:tcW w:w="2560" w:type="dxa"/>
            <w:vAlign w:val="bottom"/>
            <w:tcBorders>
              <w:bottom w:val="single" w:sz="8" w:color="auto"/>
            </w:tcBorders>
          </w:tcPr>
          <w:p>
            <w:pPr>
              <w:jc w:val="center"/>
              <w:ind w:left="26"/>
              <w:spacing w:after="0"/>
              <w:rPr>
                <w:sz w:val="20"/>
                <w:szCs w:val="20"/>
                <w:color w:val="auto"/>
              </w:rPr>
            </w:pPr>
            <w:r>
              <w:rPr>
                <w:rFonts w:ascii="Arial" w:cs="Arial" w:eastAsia="Arial" w:hAnsi="Arial"/>
                <w:sz w:val="10"/>
                <w:szCs w:val="10"/>
                <w:b w:val="1"/>
                <w:bCs w:val="1"/>
                <w:color w:val="auto"/>
                <w:w w:val="95"/>
              </w:rPr>
              <w:t>Fee(2)(3)</w:t>
            </w:r>
          </w:p>
        </w:tc>
        <w:tc>
          <w:tcPr>
            <w:tcW w:w="0" w:type="dxa"/>
            <w:vAlign w:val="bottom"/>
          </w:tcPr>
          <w:p>
            <w:pPr>
              <w:spacing w:after="0"/>
              <w:rPr>
                <w:sz w:val="1"/>
                <w:szCs w:val="1"/>
                <w:color w:val="auto"/>
              </w:rPr>
            </w:pPr>
          </w:p>
        </w:tc>
      </w:tr>
      <w:tr>
        <w:trPr>
          <w:trHeight w:val="147"/>
        </w:trPr>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Common Stock $0.001 par value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$91,425,000</w:t>
            </w:r>
          </w:p>
        </w:tc>
        <w:tc>
          <w:tcPr>
            <w:tcW w:w="2560" w:type="dxa"/>
            <w:vAlign w:val="bottom"/>
            <w:tcBorders>
              <w:bottom w:val="single" w:sz="8" w:color="auto"/>
            </w:tcBorders>
          </w:tcPr>
          <w:p>
            <w:pPr>
              <w:jc w:val="right"/>
              <w:ind w:right="946"/>
              <w:spacing w:after="0"/>
              <w:rPr>
                <w:sz w:val="20"/>
                <w:szCs w:val="20"/>
                <w:color w:val="auto"/>
              </w:rPr>
            </w:pPr>
            <w:r>
              <w:rPr>
                <w:rFonts w:ascii="Arial" w:cs="Arial" w:eastAsia="Arial" w:hAnsi="Arial"/>
                <w:sz w:val="12"/>
                <w:szCs w:val="12"/>
                <w:color w:val="auto"/>
              </w:rPr>
              <w:t>$3,593.00</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60" w:hanging="217"/>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the purpose of computing the amount of the registration fee pursuant to Rule 457(o) under the Securities Act. Includes $12,000,000 of shares that the underwriters have the option to purchase to cover over-allotments, if any.</w:t>
      </w:r>
    </w:p>
    <w:p>
      <w:pPr>
        <w:spacing w:after="0" w:line="53" w:lineRule="exact"/>
        <w:rPr>
          <w:rFonts w:ascii="Arial" w:cs="Arial" w:eastAsia="Arial" w:hAnsi="Arial"/>
          <w:sz w:val="9"/>
          <w:szCs w:val="9"/>
          <w:color w:val="auto"/>
        </w:rPr>
      </w:pPr>
    </w:p>
    <w:p>
      <w:pPr>
        <w:ind w:left="560" w:hanging="217"/>
        <w:spacing w:after="0"/>
        <w:tabs>
          <w:tab w:leader="none" w:pos="56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under the Securities Act based on an estimate of the proposed maximum offering price.</w:t>
      </w:r>
    </w:p>
    <w:p>
      <w:pPr>
        <w:spacing w:after="0" w:line="42" w:lineRule="exact"/>
        <w:rPr>
          <w:rFonts w:ascii="Arial" w:cs="Arial" w:eastAsia="Arial" w:hAnsi="Arial"/>
          <w:sz w:val="10"/>
          <w:szCs w:val="10"/>
          <w:color w:val="auto"/>
        </w:rPr>
      </w:pPr>
    </w:p>
    <w:p>
      <w:pPr>
        <w:ind w:left="560" w:hanging="217"/>
        <w:spacing w:after="0"/>
        <w:tabs>
          <w:tab w:leader="none" w:pos="560" w:val="left"/>
        </w:tabs>
        <w:numPr>
          <w:ilvl w:val="0"/>
          <w:numId w:val="1"/>
        </w:numPr>
        <w:rPr>
          <w:rFonts w:ascii="Arial" w:cs="Arial" w:eastAsia="Arial" w:hAnsi="Arial"/>
          <w:sz w:val="10"/>
          <w:szCs w:val="10"/>
          <w:color w:val="auto"/>
        </w:rPr>
      </w:pPr>
      <w:r>
        <w:rPr>
          <w:rFonts w:ascii="Arial" w:cs="Arial" w:eastAsia="Arial" w:hAnsi="Arial"/>
          <w:sz w:val="10"/>
          <w:szCs w:val="10"/>
          <w:color w:val="auto"/>
        </w:rPr>
        <w:t>$3,389.63 previously paid.</w:t>
      </w:r>
    </w:p>
    <w:p>
      <w:pPr>
        <w:spacing w:after="0" w:line="42" w:lineRule="exact"/>
        <w:rPr>
          <w:sz w:val="20"/>
          <w:szCs w:val="20"/>
          <w:color w:val="auto"/>
        </w:rPr>
      </w:pPr>
    </w:p>
    <w:p>
      <w:pPr>
        <w:ind w:left="340"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right="440"/>
        <w:spacing w:after="0" w:line="288" w:lineRule="auto"/>
        <w:rPr>
          <w:sz w:val="20"/>
          <w:szCs w:val="20"/>
          <w:color w:val="auto"/>
        </w:rPr>
      </w:pPr>
      <w:r>
        <w:rPr>
          <w:rFonts w:ascii="Arial" w:cs="Arial" w:eastAsia="Arial" w:hAnsi="Arial"/>
          <w:sz w:val="11"/>
          <w:szCs w:val="11"/>
          <w:color w:val="F93F26"/>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is not soliciting an offer to buy these securities in any state where the offer or sale is not permitted.</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F93F26"/>
        </w:rPr>
        <w:t>PROSPECTUS (Subject to Completion)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F93F26"/>
        </w:rPr>
        <w:t>Issued September 5, 2008</w:t>
      </w: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24"/>
          <w:szCs w:val="24"/>
          <w:i w:val="1"/>
          <w:iCs w:val="1"/>
          <w:color w:val="auto"/>
        </w:rPr>
        <w:t>5,300,000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68580</wp:posOffset>
            </wp:positionV>
            <wp:extent cx="12979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87" w:lineRule="exact"/>
        <w:rPr>
          <w:sz w:val="20"/>
          <w:szCs w:val="20"/>
          <w:color w:val="auto"/>
        </w:rPr>
      </w:pPr>
    </w:p>
    <w:p>
      <w:pPr>
        <w:ind w:left="580" w:right="760"/>
        <w:spacing w:after="0" w:line="276" w:lineRule="auto"/>
        <w:rPr>
          <w:sz w:val="20"/>
          <w:szCs w:val="20"/>
          <w:color w:val="auto"/>
        </w:rPr>
      </w:pPr>
      <w:r>
        <w:rPr>
          <w:rFonts w:ascii="Arial" w:cs="Arial" w:eastAsia="Arial" w:hAnsi="Arial"/>
          <w:sz w:val="13"/>
          <w:szCs w:val="13"/>
          <w:b w:val="1"/>
          <w:bCs w:val="1"/>
          <w:i w:val="1"/>
          <w:iCs w:val="1"/>
          <w:color w:val="auto"/>
        </w:rPr>
        <w:t>Fluidigm Corporation is offering 5,300,000 shares of its common stock. This is our initial public offering, and no public market currently exists for our shares. We anticipate that the initial public offering price will be between $14.00 and $16.00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49530</wp:posOffset>
            </wp:positionV>
            <wp:extent cx="12979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We have applied to list our common stock on the NASDAQ Global Market under the symbol “FLDM.”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79375</wp:posOffset>
            </wp:positionV>
            <wp:extent cx="12979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Investing in our common stock involves risks. See “Risk Factors”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68580</wp:posOffset>
            </wp:positionV>
            <wp:extent cx="12979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3040" w:type="dxa"/>
            <w:vAlign w:val="bottom"/>
          </w:tcPr>
          <w:p>
            <w:pPr>
              <w:ind w:left="2440"/>
              <w:spacing w:after="0"/>
              <w:rPr>
                <w:sz w:val="20"/>
                <w:szCs w:val="20"/>
                <w:color w:val="auto"/>
              </w:rPr>
            </w:pPr>
            <w:r>
              <w:rPr>
                <w:rFonts w:ascii="Arial" w:cs="Arial" w:eastAsia="Arial" w:hAnsi="Arial"/>
                <w:sz w:val="13"/>
                <w:szCs w:val="13"/>
                <w:i w:val="1"/>
                <w:iCs w:val="1"/>
                <w:color w:val="auto"/>
              </w:rPr>
              <w:t xml:space="preserve">PRICE </w:t>
            </w:r>
            <w:r>
              <w:rPr>
                <w:rFonts w:ascii="Arial" w:cs="Arial" w:eastAsia="Arial" w:hAnsi="Arial"/>
                <w:sz w:val="15"/>
                <w:szCs w:val="15"/>
                <w:i w:val="1"/>
                <w:iCs w:val="1"/>
                <w:color w:val="auto"/>
              </w:rPr>
              <w:t>$</w:t>
            </w:r>
          </w:p>
        </w:tc>
        <w:tc>
          <w:tcPr>
            <w:tcW w:w="2240" w:type="dxa"/>
            <w:vAlign w:val="bottom"/>
            <w:gridSpan w:val="2"/>
          </w:tcPr>
          <w:p>
            <w:pPr>
              <w:jc w:val="right"/>
              <w:ind w:right="1568"/>
              <w:spacing w:after="0"/>
              <w:rPr>
                <w:sz w:val="20"/>
                <w:szCs w:val="20"/>
                <w:color w:val="auto"/>
              </w:rPr>
            </w:pPr>
            <w:r>
              <w:rPr>
                <w:rFonts w:ascii="Arial" w:cs="Arial" w:eastAsia="Arial" w:hAnsi="Arial"/>
                <w:sz w:val="13"/>
                <w:szCs w:val="13"/>
                <w:i w:val="1"/>
                <w:iCs w:val="1"/>
                <w:color w:val="auto"/>
              </w:rPr>
              <w:t>A SHARE</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60" w:type="dxa"/>
            <w:vAlign w:val="bottom"/>
            <w:tcBorders>
              <w:bottom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0"/>
                <w:szCs w:val="10"/>
                <w:b w:val="1"/>
                <w:bCs w:val="1"/>
                <w:i w:val="1"/>
                <w:iCs w:val="1"/>
                <w:color w:val="auto"/>
              </w:rPr>
              <w:t>Underwriting</w:t>
            </w:r>
          </w:p>
        </w:tc>
        <w:tc>
          <w:tcPr>
            <w:tcW w:w="400" w:type="dxa"/>
            <w:vAlign w:val="bottom"/>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i w:val="1"/>
                <w:iCs w:val="1"/>
                <w:color w:val="auto"/>
                <w:w w:val="87"/>
              </w:rPr>
              <w:t>Proceeds to</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jc w:val="center"/>
              <w:ind w:left="188"/>
              <w:spacing w:after="0" w:line="108" w:lineRule="exact"/>
              <w:rPr>
                <w:sz w:val="20"/>
                <w:szCs w:val="20"/>
                <w:color w:val="auto"/>
              </w:rPr>
            </w:pPr>
            <w:r>
              <w:rPr>
                <w:rFonts w:ascii="Arial" w:cs="Arial" w:eastAsia="Arial" w:hAnsi="Arial"/>
                <w:sz w:val="10"/>
                <w:szCs w:val="10"/>
                <w:b w:val="1"/>
                <w:bCs w:val="1"/>
                <w:i w:val="1"/>
                <w:iCs w:val="1"/>
                <w:color w:val="auto"/>
                <w:w w:val="92"/>
              </w:rPr>
              <w:t>Price to</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jc w:val="right"/>
              <w:ind w:right="108"/>
              <w:spacing w:after="0" w:line="108" w:lineRule="exact"/>
              <w:rPr>
                <w:sz w:val="20"/>
                <w:szCs w:val="20"/>
                <w:color w:val="auto"/>
              </w:rPr>
            </w:pPr>
            <w:r>
              <w:rPr>
                <w:rFonts w:ascii="Arial" w:cs="Arial" w:eastAsia="Arial" w:hAnsi="Arial"/>
                <w:sz w:val="10"/>
                <w:szCs w:val="10"/>
                <w:b w:val="1"/>
                <w:bCs w:val="1"/>
                <w:i w:val="1"/>
                <w:iCs w:val="1"/>
                <w:color w:val="auto"/>
              </w:rPr>
              <w:t>Discounts and</w:t>
            </w:r>
          </w:p>
        </w:tc>
        <w:tc>
          <w:tcPr>
            <w:tcW w:w="40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i w:val="1"/>
                <w:iCs w:val="1"/>
                <w:color w:val="auto"/>
                <w:w w:val="95"/>
              </w:rPr>
              <w:t>Fluidigm</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i w:val="1"/>
                <w:iCs w:val="1"/>
                <w:color w:val="auto"/>
                <w:w w:val="93"/>
              </w:rPr>
              <w:t>Public</w:t>
            </w:r>
          </w:p>
        </w:tc>
        <w:tc>
          <w:tcPr>
            <w:tcW w:w="2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i w:val="1"/>
                <w:iCs w:val="1"/>
                <w:color w:val="auto"/>
              </w:rPr>
              <w:t>Commissions</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0"/>
              </w:rPr>
              <w:t>Corporation</w:t>
            </w:r>
          </w:p>
        </w:tc>
        <w:tc>
          <w:tcPr>
            <w:tcW w:w="0" w:type="dxa"/>
            <w:vAlign w:val="bottom"/>
          </w:tcPr>
          <w:p>
            <w:pPr>
              <w:spacing w:after="0"/>
              <w:rPr>
                <w:sz w:val="1"/>
                <w:szCs w:val="1"/>
                <w:color w:val="auto"/>
              </w:rPr>
            </w:pPr>
          </w:p>
        </w:tc>
      </w:tr>
      <w:tr>
        <w:trPr>
          <w:trHeight w:val="178"/>
        </w:trPr>
        <w:tc>
          <w:tcPr>
            <w:tcW w:w="5100" w:type="dxa"/>
            <w:vAlign w:val="bottom"/>
            <w:gridSpan w:val="2"/>
          </w:tcPr>
          <w:p>
            <w:pPr>
              <w:ind w:left="20"/>
              <w:spacing w:after="0"/>
              <w:rPr>
                <w:sz w:val="20"/>
                <w:szCs w:val="20"/>
                <w:color w:val="auto"/>
              </w:rPr>
            </w:pPr>
            <w:r>
              <w:rPr>
                <w:rFonts w:ascii="Arial" w:cs="Arial" w:eastAsia="Arial" w:hAnsi="Arial"/>
                <w:sz w:val="13"/>
                <w:szCs w:val="13"/>
                <w:i w:val="1"/>
                <w:iCs w:val="1"/>
                <w:color w:val="auto"/>
              </w:rPr>
              <w:t>Per Share</w:t>
            </w: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b w:val="1"/>
                <w:bCs w:val="1"/>
                <w:i w:val="1"/>
                <w:iCs w:val="1"/>
                <w:color w:val="auto"/>
                <w:w w:val="82"/>
              </w:rPr>
              <w:t>$</w:t>
            </w:r>
          </w:p>
        </w:tc>
        <w:tc>
          <w:tcPr>
            <w:tcW w:w="1340" w:type="dxa"/>
            <w:vAlign w:val="bottom"/>
            <w:gridSpan w:val="2"/>
          </w:tcPr>
          <w:p>
            <w:pPr>
              <w:jc w:val="right"/>
              <w:ind w:right="12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10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165"/>
        </w:trPr>
        <w:tc>
          <w:tcPr>
            <w:tcW w:w="5100" w:type="dxa"/>
            <w:vAlign w:val="bottom"/>
            <w:gridSpan w:val="2"/>
          </w:tcPr>
          <w:p>
            <w:pPr>
              <w:ind w:left="20"/>
              <w:spacing w:after="0"/>
              <w:rPr>
                <w:sz w:val="20"/>
                <w:szCs w:val="20"/>
                <w:color w:val="auto"/>
              </w:rPr>
            </w:pPr>
            <w:r>
              <w:rPr>
                <w:rFonts w:ascii="Arial" w:cs="Arial" w:eastAsia="Arial" w:hAnsi="Arial"/>
                <w:sz w:val="13"/>
                <w:szCs w:val="13"/>
                <w:i w:val="1"/>
                <w:iCs w:val="1"/>
                <w:color w:val="auto"/>
              </w:rPr>
              <w:t>Total</w:t>
            </w:r>
          </w:p>
        </w:tc>
        <w:tc>
          <w:tcPr>
            <w:tcW w:w="2240" w:type="dxa"/>
            <w:vAlign w:val="bottom"/>
            <w:gridSpan w:val="2"/>
          </w:tcPr>
          <w:p>
            <w:pPr>
              <w:jc w:val="right"/>
              <w:ind w:right="468"/>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spacing w:after="0"/>
              <w:rPr>
                <w:sz w:val="14"/>
                <w:szCs w:val="14"/>
                <w:color w:val="auto"/>
              </w:rPr>
            </w:pPr>
          </w:p>
        </w:tc>
        <w:tc>
          <w:tcPr>
            <w:tcW w:w="1340" w:type="dxa"/>
            <w:vAlign w:val="bottom"/>
            <w:gridSpan w:val="2"/>
          </w:tcPr>
          <w:p>
            <w:pPr>
              <w:jc w:val="right"/>
              <w:ind w:right="80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68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80"/>
        <w:spacing w:after="0"/>
        <w:rPr>
          <w:sz w:val="20"/>
          <w:szCs w:val="20"/>
          <w:color w:val="auto"/>
        </w:rPr>
      </w:pPr>
      <w:r>
        <w:rPr>
          <w:rFonts w:ascii="Arial" w:cs="Arial" w:eastAsia="Arial" w:hAnsi="Arial"/>
          <w:sz w:val="13"/>
          <w:szCs w:val="13"/>
          <w:i w:val="1"/>
          <w:iCs w:val="1"/>
          <w:color w:val="auto"/>
        </w:rPr>
        <w:t>We have granted the underwriters the right to purchase up to an additional 795,000 shares of common stock to cover over-allotments.</w:t>
      </w:r>
    </w:p>
    <w:p>
      <w:pPr>
        <w:spacing w:after="0" w:line="96" w:lineRule="exact"/>
        <w:rPr>
          <w:sz w:val="20"/>
          <w:szCs w:val="20"/>
          <w:color w:val="auto"/>
        </w:rPr>
      </w:pPr>
    </w:p>
    <w:p>
      <w:pPr>
        <w:ind w:left="580" w:right="1240"/>
        <w:spacing w:after="0" w:line="276" w:lineRule="auto"/>
        <w:rPr>
          <w:sz w:val="20"/>
          <w:szCs w:val="20"/>
          <w:color w:val="auto"/>
        </w:rPr>
      </w:pPr>
      <w:r>
        <w:rPr>
          <w:rFonts w:ascii="Arial" w:cs="Arial" w:eastAsia="Arial" w:hAnsi="Arial"/>
          <w:sz w:val="13"/>
          <w:szCs w:val="13"/>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4480" w:type="dxa"/>
            <w:vAlign w:val="bottom"/>
          </w:tcPr>
          <w:p>
            <w:pPr>
              <w:spacing w:after="0"/>
              <w:rPr>
                <w:sz w:val="20"/>
                <w:szCs w:val="20"/>
                <w:color w:val="auto"/>
              </w:rPr>
            </w:pPr>
            <w:r>
              <w:rPr>
                <w:rFonts w:ascii="Arial" w:cs="Arial" w:eastAsia="Arial" w:hAnsi="Arial"/>
                <w:sz w:val="13"/>
                <w:szCs w:val="13"/>
                <w:i w:val="1"/>
                <w:iCs w:val="1"/>
                <w:color w:val="auto"/>
                <w:w w:val="94"/>
              </w:rPr>
              <w:t>Morgan Stanley &amp; Co. Incorporated expects to deliver the shares to purchasers on</w:t>
            </w:r>
          </w:p>
        </w:tc>
        <w:tc>
          <w:tcPr>
            <w:tcW w:w="540" w:type="dxa"/>
            <w:vAlign w:val="bottom"/>
          </w:tcPr>
          <w:p>
            <w:pPr>
              <w:jc w:val="right"/>
              <w:spacing w:after="0"/>
              <w:rPr>
                <w:sz w:val="20"/>
                <w:szCs w:val="20"/>
                <w:color w:val="auto"/>
              </w:rPr>
            </w:pPr>
            <w:r>
              <w:rPr>
                <w:rFonts w:ascii="Arial" w:cs="Arial" w:eastAsia="Arial" w:hAnsi="Arial"/>
                <w:sz w:val="13"/>
                <w:szCs w:val="13"/>
                <w:i w:val="1"/>
                <w:iCs w:val="1"/>
                <w:color w:val="auto"/>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69215</wp:posOffset>
            </wp:positionV>
            <wp:extent cx="12979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Pr>
          <w:p>
            <w:pPr>
              <w:spacing w:after="0"/>
              <w:rPr>
                <w:sz w:val="21"/>
                <w:szCs w:val="21"/>
                <w:color w:val="auto"/>
              </w:rPr>
            </w:pPr>
          </w:p>
        </w:tc>
        <w:tc>
          <w:tcPr>
            <w:tcW w:w="8120" w:type="dxa"/>
            <w:vAlign w:val="bottom"/>
          </w:tcPr>
          <w:p>
            <w:pPr>
              <w:jc w:val="center"/>
              <w:ind w:right="3335"/>
              <w:spacing w:after="0"/>
              <w:rPr>
                <w:sz w:val="20"/>
                <w:szCs w:val="20"/>
                <w:color w:val="auto"/>
              </w:rPr>
            </w:pPr>
            <w:r>
              <w:rPr>
                <w:rFonts w:ascii="Arial" w:cs="Arial" w:eastAsia="Arial" w:hAnsi="Arial"/>
                <w:sz w:val="21"/>
                <w:szCs w:val="21"/>
                <w:i w:val="1"/>
                <w:iCs w:val="1"/>
                <w:color w:val="auto"/>
                <w:w w:val="89"/>
              </w:rPr>
              <w:t>MORGAN STANLEY</w:t>
            </w:r>
          </w:p>
        </w:tc>
      </w:tr>
      <w:tr>
        <w:trPr>
          <w:trHeight w:val="246"/>
        </w:trPr>
        <w:tc>
          <w:tcPr>
            <w:tcW w:w="3340" w:type="dxa"/>
            <w:vAlign w:val="bottom"/>
          </w:tcPr>
          <w:p>
            <w:pPr>
              <w:spacing w:after="0"/>
              <w:rPr>
                <w:sz w:val="21"/>
                <w:szCs w:val="21"/>
                <w:color w:val="auto"/>
              </w:rPr>
            </w:pPr>
          </w:p>
        </w:tc>
        <w:tc>
          <w:tcPr>
            <w:tcW w:w="8120" w:type="dxa"/>
            <w:vAlign w:val="bottom"/>
          </w:tcPr>
          <w:p>
            <w:pPr>
              <w:jc w:val="center"/>
              <w:ind w:right="3335"/>
              <w:spacing w:after="0"/>
              <w:rPr>
                <w:sz w:val="20"/>
                <w:szCs w:val="20"/>
                <w:color w:val="auto"/>
              </w:rPr>
            </w:pPr>
            <w:r>
              <w:rPr>
                <w:rFonts w:ascii="Arial" w:cs="Arial" w:eastAsia="Arial" w:hAnsi="Arial"/>
                <w:sz w:val="21"/>
                <w:szCs w:val="21"/>
                <w:i w:val="1"/>
                <w:iCs w:val="1"/>
                <w:color w:val="auto"/>
                <w:w w:val="92"/>
              </w:rPr>
              <w:t>UBS INVESTMENT BANK</w:t>
            </w:r>
          </w:p>
        </w:tc>
      </w:tr>
      <w:tr>
        <w:trPr>
          <w:trHeight w:val="267"/>
        </w:trPr>
        <w:tc>
          <w:tcPr>
            <w:tcW w:w="3340" w:type="dxa"/>
            <w:vAlign w:val="bottom"/>
          </w:tcPr>
          <w:p>
            <w:pPr>
              <w:jc w:val="right"/>
              <w:ind w:right="1115"/>
              <w:spacing w:after="0"/>
              <w:rPr>
                <w:sz w:val="20"/>
                <w:szCs w:val="20"/>
                <w:color w:val="auto"/>
              </w:rPr>
            </w:pPr>
            <w:r>
              <w:rPr>
                <w:rFonts w:ascii="Arial" w:cs="Arial" w:eastAsia="Arial" w:hAnsi="Arial"/>
                <w:sz w:val="21"/>
                <w:szCs w:val="21"/>
                <w:i w:val="1"/>
                <w:iCs w:val="1"/>
                <w:color w:val="auto"/>
              </w:rPr>
              <w:t>LEERINK SWANN</w:t>
            </w:r>
          </w:p>
        </w:tc>
        <w:tc>
          <w:tcPr>
            <w:tcW w:w="8120" w:type="dxa"/>
            <w:vAlign w:val="bottom"/>
          </w:tcPr>
          <w:p>
            <w:pPr>
              <w:ind w:left="4280"/>
              <w:spacing w:after="0"/>
              <w:rPr>
                <w:sz w:val="20"/>
                <w:szCs w:val="20"/>
                <w:color w:val="auto"/>
              </w:rPr>
            </w:pPr>
            <w:r>
              <w:rPr>
                <w:rFonts w:ascii="Arial" w:cs="Arial" w:eastAsia="Arial" w:hAnsi="Arial"/>
                <w:sz w:val="21"/>
                <w:szCs w:val="21"/>
                <w:i w:val="1"/>
                <w:iCs w:val="1"/>
                <w:color w:val="auto"/>
              </w:rPr>
              <w:t>PACIFIC GROWTH EQUITIES, LLC</w:t>
            </w:r>
          </w:p>
        </w:tc>
      </w:tr>
      <w:tr>
        <w:trPr>
          <w:trHeight w:val="320"/>
        </w:trPr>
        <w:tc>
          <w:tcPr>
            <w:tcW w:w="3340" w:type="dxa"/>
            <w:vAlign w:val="bottom"/>
          </w:tcPr>
          <w:p>
            <w:pPr>
              <w:jc w:val="right"/>
              <w:ind w:right="2035"/>
              <w:spacing w:after="0"/>
              <w:rPr>
                <w:sz w:val="20"/>
                <w:szCs w:val="20"/>
                <w:color w:val="auto"/>
              </w:rPr>
            </w:pPr>
            <w:r>
              <w:rPr>
                <w:rFonts w:ascii="Arial" w:cs="Arial" w:eastAsia="Arial" w:hAnsi="Arial"/>
                <w:sz w:val="13"/>
                <w:szCs w:val="13"/>
                <w:color w:val="auto"/>
              </w:rPr>
              <w:t>, 2008</w:t>
            </w:r>
          </w:p>
        </w:tc>
        <w:tc>
          <w:tcPr>
            <w:tcW w:w="8120" w:type="dxa"/>
            <w:vAlign w:val="bottom"/>
          </w:tcPr>
          <w:p>
            <w:pPr>
              <w:spacing w:after="0"/>
              <w:rPr>
                <w:sz w:val="24"/>
                <w:szCs w:val="24"/>
                <w:color w:val="auto"/>
              </w:rPr>
            </w:pPr>
          </w:p>
        </w:tc>
      </w:tr>
      <w:tr>
        <w:trPr>
          <w:trHeight w:val="163"/>
        </w:trPr>
        <w:tc>
          <w:tcPr>
            <w:tcW w:w="3340" w:type="dxa"/>
            <w:vAlign w:val="bottom"/>
            <w:tcBorders>
              <w:bottom w:val="single" w:sz="8" w:color="808080"/>
            </w:tcBorders>
          </w:tcPr>
          <w:p>
            <w:pPr>
              <w:spacing w:after="0"/>
              <w:rPr>
                <w:sz w:val="14"/>
                <w:szCs w:val="14"/>
                <w:color w:val="auto"/>
              </w:rPr>
            </w:pPr>
          </w:p>
        </w:tc>
        <w:tc>
          <w:tcPr>
            <w:tcW w:w="8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01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610108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40" w:type="dxa"/>
            <w:vAlign w:val="bottom"/>
            <w:gridSpan w:val="2"/>
          </w:tcPr>
          <w:p>
            <w:pPr>
              <w:ind w:left="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9"/>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1"/>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3">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840" w:type="dxa"/>
            <w:vAlign w:val="bottom"/>
            <w:tcBorders>
              <w:bottom w:val="single" w:sz="8" w:color="0000EE"/>
            </w:tcBorders>
            <w:gridSpan w:val="17"/>
          </w:tcPr>
          <w:p>
            <w:pPr>
              <w:spacing w:after="0" w:line="138" w:lineRule="exact"/>
              <w:rPr>
                <w:rFonts w:ascii="Arial" w:cs="Arial" w:eastAsia="Arial" w:hAnsi="Arial"/>
                <w:sz w:val="13"/>
                <w:szCs w:val="13"/>
                <w:color w:val="0000EE"/>
                <w:w w:val="91"/>
              </w:rPr>
            </w:pPr>
            <w:hyperlink w:anchor="page32">
              <w:r>
                <w:rPr>
                  <w:rFonts w:ascii="Arial" w:cs="Arial" w:eastAsia="Arial" w:hAnsi="Arial"/>
                  <w:sz w:val="13"/>
                  <w:szCs w:val="13"/>
                  <w:color w:val="0000EE"/>
                  <w:w w:val="91"/>
                </w:rPr>
                <w:t>Special Note Regarding Forward-Looking Statements</w:t>
              </w:r>
            </w:hyperlink>
          </w:p>
        </w:tc>
        <w:tc>
          <w:tcPr>
            <w:tcW w:w="476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860" w:type="dxa"/>
            <w:vAlign w:val="bottom"/>
            <w:tcBorders>
              <w:bottom w:val="single" w:sz="8" w:color="0000EE"/>
            </w:tcBorders>
            <w:gridSpan w:val="8"/>
          </w:tcPr>
          <w:p>
            <w:pPr>
              <w:spacing w:after="0" w:line="138" w:lineRule="exact"/>
              <w:rPr>
                <w:rFonts w:ascii="Arial" w:cs="Arial" w:eastAsia="Arial" w:hAnsi="Arial"/>
                <w:sz w:val="13"/>
                <w:szCs w:val="13"/>
                <w:color w:val="0000EE"/>
                <w:w w:val="87"/>
              </w:rPr>
            </w:pPr>
            <w:hyperlink w:anchor="page33">
              <w:r>
                <w:rPr>
                  <w:rFonts w:ascii="Arial" w:cs="Arial" w:eastAsia="Arial" w:hAnsi="Arial"/>
                  <w:sz w:val="13"/>
                  <w:szCs w:val="13"/>
                  <w:color w:val="0000EE"/>
                  <w:w w:val="87"/>
                </w:rPr>
                <w:t>Use of Proceeds</w:t>
              </w:r>
            </w:hyperlink>
          </w:p>
        </w:tc>
        <w:tc>
          <w:tcPr>
            <w:tcW w:w="6740" w:type="dxa"/>
            <w:vAlign w:val="bottom"/>
            <w:gridSpan w:val="1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80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7"/>
              </w:rPr>
            </w:pPr>
            <w:hyperlink w:anchor="page34">
              <w:r>
                <w:rPr>
                  <w:rFonts w:ascii="Arial" w:cs="Arial" w:eastAsia="Arial" w:hAnsi="Arial"/>
                  <w:sz w:val="13"/>
                  <w:szCs w:val="13"/>
                  <w:color w:val="0000EE"/>
                  <w:w w:val="97"/>
                </w:rPr>
                <w:t>Capitalization</w:t>
              </w:r>
            </w:hyperlink>
          </w:p>
        </w:tc>
        <w:tc>
          <w:tcPr>
            <w:tcW w:w="60" w:type="dxa"/>
            <w:vAlign w:val="bottom"/>
            <w:tcBorders>
              <w:top w:val="single" w:sz="8" w:color="0000EE"/>
            </w:tcBorders>
          </w:tcPr>
          <w:p>
            <w:pPr>
              <w:spacing w:after="0"/>
              <w:rPr>
                <w:sz w:val="11"/>
                <w:szCs w:val="11"/>
                <w:color w:val="auto"/>
              </w:rPr>
            </w:pPr>
          </w:p>
        </w:tc>
        <w:tc>
          <w:tcPr>
            <w:tcW w:w="6740" w:type="dxa"/>
            <w:vAlign w:val="bottom"/>
            <w:gridSpan w:val="1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980" w:type="dxa"/>
            <w:vAlign w:val="bottom"/>
            <w:tcBorders>
              <w:bottom w:val="single" w:sz="8" w:color="0000EE"/>
            </w:tcBorders>
            <w:gridSpan w:val="13"/>
          </w:tcPr>
          <w:p>
            <w:pPr>
              <w:spacing w:after="0" w:line="138" w:lineRule="exact"/>
              <w:rPr>
                <w:rFonts w:ascii="Arial" w:cs="Arial" w:eastAsia="Arial" w:hAnsi="Arial"/>
                <w:sz w:val="13"/>
                <w:szCs w:val="13"/>
                <w:color w:val="0000EE"/>
                <w:w w:val="90"/>
              </w:rPr>
            </w:pPr>
            <w:hyperlink w:anchor="page38">
              <w:r>
                <w:rPr>
                  <w:rFonts w:ascii="Arial" w:cs="Arial" w:eastAsia="Arial" w:hAnsi="Arial"/>
                  <w:sz w:val="13"/>
                  <w:szCs w:val="13"/>
                  <w:color w:val="0000EE"/>
                  <w:w w:val="90"/>
                </w:rPr>
                <w:t>Selected Consolidated Financial Data</w:t>
              </w:r>
            </w:hyperlink>
          </w:p>
        </w:tc>
        <w:tc>
          <w:tcPr>
            <w:tcW w:w="5620" w:type="dxa"/>
            <w:vAlign w:val="bottom"/>
            <w:gridSpan w:val="7"/>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60">
              <w:r>
                <w:rPr>
                  <w:rFonts w:ascii="Arial" w:cs="Arial" w:eastAsia="Arial" w:hAnsi="Arial"/>
                  <w:sz w:val="13"/>
                  <w:szCs w:val="13"/>
                  <w:color w:val="0000EE"/>
                  <w:w w:val="87"/>
                </w:rPr>
                <w:t>Business</w:t>
              </w:r>
            </w:hyperlink>
          </w:p>
        </w:tc>
        <w:tc>
          <w:tcPr>
            <w:tcW w:w="4220" w:type="dxa"/>
            <w:vAlign w:val="bottom"/>
            <w:tcBorders>
              <w:top w:val="single" w:sz="8" w:color="0000EE"/>
            </w:tcBorders>
            <w:gridSpan w:val="16"/>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55</w:t>
            </w:r>
          </w:p>
        </w:tc>
      </w:tr>
      <w:tr>
        <w:trPr>
          <w:trHeight w:val="137"/>
        </w:trPr>
        <w:tc>
          <w:tcPr>
            <w:tcW w:w="7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84">
              <w:r>
                <w:rPr>
                  <w:rFonts w:ascii="Arial" w:cs="Arial" w:eastAsia="Arial" w:hAnsi="Arial"/>
                  <w:sz w:val="13"/>
                  <w:szCs w:val="13"/>
                  <w:color w:val="0000EE"/>
                  <w:w w:val="89"/>
                </w:rPr>
                <w:t>Management</w:t>
              </w:r>
            </w:hyperlink>
          </w:p>
        </w:tc>
        <w:tc>
          <w:tcPr>
            <w:tcW w:w="690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79</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11">
              <w:r>
                <w:rPr>
                  <w:rFonts w:ascii="Arial" w:cs="Arial" w:eastAsia="Arial" w:hAnsi="Arial"/>
                  <w:sz w:val="13"/>
                  <w:szCs w:val="13"/>
                  <w:color w:val="0000EE"/>
                </w:rPr>
                <w:t>Certain Relationships and Related Party Transactions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106</w:t>
            </w:r>
          </w:p>
        </w:tc>
      </w:tr>
      <w:tr>
        <w:trPr>
          <w:trHeight w:val="137"/>
        </w:trPr>
        <w:tc>
          <w:tcPr>
            <w:tcW w:w="120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1"/>
              </w:rPr>
            </w:pPr>
            <w:hyperlink w:anchor="page115">
              <w:r>
                <w:rPr>
                  <w:rFonts w:ascii="Arial" w:cs="Arial" w:eastAsia="Arial" w:hAnsi="Arial"/>
                  <w:sz w:val="13"/>
                  <w:szCs w:val="13"/>
                  <w:color w:val="0000EE"/>
                  <w:w w:val="91"/>
                </w:rPr>
                <w:t>Principal Stockholders</w:t>
              </w:r>
            </w:hyperlink>
          </w:p>
        </w:tc>
        <w:tc>
          <w:tcPr>
            <w:tcW w:w="1600" w:type="dxa"/>
            <w:vAlign w:val="bottom"/>
            <w:tcBorders>
              <w:top w:val="single" w:sz="8" w:color="0000EE"/>
            </w:tcBorders>
            <w:gridSpan w:val="6"/>
          </w:tcPr>
          <w:p>
            <w:pPr>
              <w:spacing w:after="0"/>
              <w:rPr>
                <w:sz w:val="11"/>
                <w:szCs w:val="11"/>
                <w:color w:val="auto"/>
              </w:rPr>
            </w:pPr>
          </w:p>
        </w:tc>
        <w:tc>
          <w:tcPr>
            <w:tcW w:w="480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110</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18">
              <w:r>
                <w:rPr>
                  <w:rFonts w:ascii="Arial" w:cs="Arial" w:eastAsia="Arial" w:hAnsi="Arial"/>
                  <w:sz w:val="13"/>
                  <w:szCs w:val="13"/>
                  <w:color w:val="0000EE"/>
                </w:rPr>
                <w:t>Description of Capital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113</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66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122">
              <w:r>
                <w:rPr>
                  <w:rFonts w:ascii="Arial" w:cs="Arial" w:eastAsia="Arial" w:hAnsi="Arial"/>
                  <w:sz w:val="13"/>
                  <w:szCs w:val="13"/>
                  <w:color w:val="0000EE"/>
                  <w:w w:val="90"/>
                </w:rPr>
                <w:t>Shares Eligible For Future Sale</w:t>
              </w:r>
            </w:hyperlink>
          </w:p>
        </w:tc>
        <w:tc>
          <w:tcPr>
            <w:tcW w:w="59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117</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24">
              <w:r>
                <w:rPr>
                  <w:rFonts w:ascii="Arial" w:cs="Arial" w:eastAsia="Arial" w:hAnsi="Arial"/>
                  <w:sz w:val="13"/>
                  <w:szCs w:val="13"/>
                  <w:color w:val="0000EE"/>
                </w:rPr>
                <w:t>Material U.S. Federal Income and Estate Tax Consequences to Non-U.S. Holders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119</w:t>
            </w:r>
          </w:p>
        </w:tc>
      </w:tr>
      <w:tr>
        <w:trPr>
          <w:trHeight w:val="137"/>
        </w:trPr>
        <w:tc>
          <w:tcPr>
            <w:tcW w:w="70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2"/>
              </w:rPr>
            </w:pPr>
            <w:hyperlink w:anchor="page127">
              <w:r>
                <w:rPr>
                  <w:rFonts w:ascii="Arial" w:cs="Arial" w:eastAsia="Arial" w:hAnsi="Arial"/>
                  <w:sz w:val="13"/>
                  <w:szCs w:val="13"/>
                  <w:color w:val="0000EE"/>
                  <w:w w:val="92"/>
                </w:rPr>
                <w:t>Underwriters</w:t>
              </w:r>
            </w:hyperlink>
          </w:p>
        </w:tc>
        <w:tc>
          <w:tcPr>
            <w:tcW w:w="3560" w:type="dxa"/>
            <w:vAlign w:val="bottom"/>
            <w:tcBorders>
              <w:top w:val="single" w:sz="8" w:color="0000EE"/>
            </w:tcBorders>
            <w:gridSpan w:val="13"/>
          </w:tcPr>
          <w:p>
            <w:pPr>
              <w:spacing w:after="0"/>
              <w:rPr>
                <w:sz w:val="11"/>
                <w:szCs w:val="11"/>
                <w:color w:val="auto"/>
              </w:rPr>
            </w:pPr>
          </w:p>
        </w:tc>
        <w:tc>
          <w:tcPr>
            <w:tcW w:w="33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74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131">
              <w:r>
                <w:rPr>
                  <w:rFonts w:ascii="Arial" w:cs="Arial" w:eastAsia="Arial" w:hAnsi="Arial"/>
                  <w:sz w:val="13"/>
                  <w:szCs w:val="13"/>
                  <w:color w:val="0000EE"/>
                  <w:w w:val="91"/>
                </w:rPr>
                <w:t>Legal Matters</w:t>
              </w:r>
            </w:hyperlink>
          </w:p>
        </w:tc>
        <w:tc>
          <w:tcPr>
            <w:tcW w:w="686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126</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126</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380" w:type="dxa"/>
            <w:vAlign w:val="bottom"/>
            <w:tcBorders>
              <w:bottom w:val="single" w:sz="8" w:color="0000EE"/>
            </w:tcBorders>
            <w:gridSpan w:val="15"/>
          </w:tcPr>
          <w:p>
            <w:pPr>
              <w:spacing w:after="0" w:line="138" w:lineRule="exact"/>
              <w:rPr>
                <w:rFonts w:ascii="Arial" w:cs="Arial" w:eastAsia="Arial" w:hAnsi="Arial"/>
                <w:sz w:val="13"/>
                <w:szCs w:val="13"/>
                <w:color w:val="0000EE"/>
                <w:w w:val="94"/>
              </w:rPr>
            </w:pPr>
            <w:hyperlink w:anchor="page131">
              <w:r>
                <w:rPr>
                  <w:rFonts w:ascii="Arial" w:cs="Arial" w:eastAsia="Arial" w:hAnsi="Arial"/>
                  <w:sz w:val="13"/>
                  <w:szCs w:val="13"/>
                  <w:color w:val="0000EE"/>
                  <w:w w:val="94"/>
                </w:rPr>
                <w:t>Where You Can Find Additional Information</w:t>
              </w:r>
            </w:hyperlink>
          </w:p>
        </w:tc>
        <w:tc>
          <w:tcPr>
            <w:tcW w:w="522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126</w:t>
            </w:r>
          </w:p>
        </w:tc>
      </w:tr>
      <w:tr>
        <w:trPr>
          <w:trHeight w:val="137"/>
        </w:trPr>
        <w:tc>
          <w:tcPr>
            <w:tcW w:w="230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132">
              <w:r>
                <w:rPr>
                  <w:rFonts w:ascii="Arial" w:cs="Arial" w:eastAsia="Arial" w:hAnsi="Arial"/>
                  <w:sz w:val="13"/>
                  <w:szCs w:val="13"/>
                  <w:color w:val="0000EE"/>
                  <w:w w:val="90"/>
                </w:rPr>
                <w:t>Index to Consolidated Financial Statements</w:t>
              </w:r>
            </w:hyperlink>
          </w:p>
        </w:tc>
        <w:tc>
          <w:tcPr>
            <w:tcW w:w="53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Pr>
          <w:p>
            <w:pPr>
              <w:spacing w:after="0"/>
              <w:rPr>
                <w:sz w:val="11"/>
                <w:szCs w:val="11"/>
                <w:color w:val="auto"/>
              </w:rPr>
            </w:pPr>
          </w:p>
        </w:tc>
        <w:tc>
          <w:tcPr>
            <w:tcW w:w="7560" w:type="dxa"/>
            <w:vAlign w:val="bottom"/>
            <w:gridSpan w:val="19"/>
          </w:tcPr>
          <w:p>
            <w:pPr>
              <w:spacing w:after="0" w:line="138" w:lineRule="exact"/>
              <w:rPr>
                <w:sz w:val="20"/>
                <w:szCs w:val="20"/>
                <w:color w:val="auto"/>
              </w:rPr>
            </w:pPr>
            <w:r>
              <w:rPr>
                <w:rFonts w:ascii="Arial" w:cs="Arial" w:eastAsia="Arial" w:hAnsi="Arial"/>
                <w:sz w:val="13"/>
                <w:szCs w:val="13"/>
                <w:color w:val="0000EE"/>
              </w:rPr>
              <w:t>EXHIBIT 3.4</w:t>
            </w:r>
          </w:p>
        </w:tc>
        <w:tc>
          <w:tcPr>
            <w:tcW w:w="22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560" w:type="dxa"/>
            <w:vAlign w:val="bottom"/>
            <w:gridSpan w:val="19"/>
          </w:tcPr>
          <w:p>
            <w:pPr>
              <w:spacing w:after="0" w:line="138" w:lineRule="exact"/>
              <w:rPr>
                <w:sz w:val="20"/>
                <w:szCs w:val="20"/>
                <w:color w:val="auto"/>
              </w:rPr>
            </w:pPr>
            <w:r>
              <w:rPr>
                <w:rFonts w:ascii="Arial" w:cs="Arial" w:eastAsia="Arial" w:hAnsi="Arial"/>
                <w:sz w:val="13"/>
                <w:szCs w:val="13"/>
                <w:color w:val="0000EE"/>
              </w:rPr>
              <w:t>EXHIBIT 10.3</w:t>
            </w:r>
          </w:p>
        </w:tc>
        <w:tc>
          <w:tcPr>
            <w:tcW w:w="22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-2315210</wp:posOffset>
            </wp:positionV>
            <wp:extent cx="63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EXHIBIT 10.3A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132969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334"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46"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 w:cs="Arial" w:eastAsia="Arial" w:hAnsi="Arial"/>
          <w:sz w:val="13"/>
          <w:szCs w:val="13"/>
          <w:color w:val="auto"/>
        </w:rPr>
        <w:t>.</w:t>
      </w:r>
    </w:p>
    <w:p>
      <w:pPr>
        <w:spacing w:after="0" w:line="65"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80" w:firstLine="399"/>
        <w:spacing w:after="0" w:line="296" w:lineRule="auto"/>
        <w:rPr>
          <w:sz w:val="20"/>
          <w:szCs w:val="20"/>
          <w:color w:val="auto"/>
        </w:rPr>
      </w:pPr>
      <w:r>
        <w:rPr>
          <w:rFonts w:ascii="Arial" w:cs="Arial" w:eastAsia="Arial" w:hAnsi="Arial"/>
          <w:sz w:val="12"/>
          <w:szCs w:val="12"/>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8 and our consolidated financial statements and related notes included elsewhere in this prospectus, before making an investment decision. Unless otherwise indicated, the terms “Fluidigm,” “we,” “us” and “our” refer to Fluidigm Corporation.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FLUIDIGM CORPORATION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address critical industry needs by providing very large-scale integration of essential laboratory functions on a single microfabricated device. IFCs can measure, combine, diffuse, fold, mix, separate or pump nanoliter volumes of fluids with precise control and reproducibility. Based on their similarities to the integrated circuit that revolutionized the microelectronics industry, we often refer to our IFCs as “integrated circuits for biology.” These devices enable our customers to perform thousands of sophisticated biochemical reactions and measurements in parallel on samples smaller than the content of a single cell, while reducing the consumption of expensive laboratory chemicals. Particularly for large-scale experimentation, our IFC systems increase throughput, decrease costs and enhance sensitivity compared to conventional laboratory systems.</w:t>
      </w:r>
    </w:p>
    <w:p>
      <w:pPr>
        <w:spacing w:after="0" w:line="59" w:lineRule="exact"/>
        <w:rPr>
          <w:sz w:val="20"/>
          <w:szCs w:val="20"/>
          <w:color w:val="auto"/>
        </w:rPr>
      </w:pPr>
    </w:p>
    <w:p>
      <w:pPr>
        <w:ind w:left="860" w:right="20" w:firstLine="399"/>
        <w:spacing w:after="0" w:line="257" w:lineRule="auto"/>
        <w:rPr>
          <w:sz w:val="20"/>
          <w:szCs w:val="20"/>
          <w:color w:val="auto"/>
        </w:rPr>
      </w:pPr>
      <w:r>
        <w:rPr>
          <w:rFonts w:ascii="Arial" w:cs="Arial" w:eastAsia="Arial" w:hAnsi="Arial"/>
          <w:sz w:val="13"/>
          <w:szCs w:val="13"/>
          <w:color w:val="auto"/>
        </w:rPr>
        <w:t>We have commercialized IFC systems, consisting of instrumentation, software and single-use IFCs, for a wide range of life science applications.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high-throughput DNA sequencing and molecular diagnostics.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our success and continued growth prospects are attributable to the following:</w:t>
      </w:r>
    </w:p>
    <w:p>
      <w:pPr>
        <w:spacing w:after="0" w:line="96" w:lineRule="exact"/>
        <w:rPr>
          <w:sz w:val="20"/>
          <w:szCs w:val="20"/>
          <w:color w:val="auto"/>
        </w:rPr>
      </w:pPr>
    </w:p>
    <w:p>
      <w:pPr>
        <w:ind w:left="1460" w:right="80" w:hanging="203"/>
        <w:spacing w:after="0" w:line="264" w:lineRule="auto"/>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Disruptive Technology. </w:t>
      </w:r>
      <w:r>
        <w:rPr>
          <w:rFonts w:ascii="Arial" w:cs="Arial" w:eastAsia="Arial" w:hAnsi="Arial"/>
          <w:sz w:val="13"/>
          <w:szCs w:val="13"/>
          <w:color w:val="auto"/>
        </w:rPr>
        <w:t>We believe we have achieved a level of miniaturization in microfluidics that allows us to integrate the components required to automate a broad range of</w:t>
      </w:r>
      <w:r>
        <w:rPr>
          <w:rFonts w:ascii="Arial" w:cs="Arial" w:eastAsia="Arial" w:hAnsi="Arial"/>
          <w:sz w:val="13"/>
          <w:szCs w:val="13"/>
          <w:i w:val="1"/>
          <w:iCs w:val="1"/>
          <w:color w:val="auto"/>
        </w:rPr>
        <w:t xml:space="preserve"> </w:t>
      </w:r>
      <w:r>
        <w:rPr>
          <w:rFonts w:ascii="Arial" w:cs="Arial" w:eastAsia="Arial" w:hAnsi="Arial"/>
          <w:sz w:val="13"/>
          <w:szCs w:val="13"/>
          <w:color w:val="auto"/>
        </w:rPr>
        <w:t>life science applications in an area less than half the size of a credit card. Our IFCs deliver orders of magnitude improvements in cost and labor efficiencies, while being easily incorporated into existing laboratory workflows and allowing the use of broadly accepted chemistries.</w:t>
      </w:r>
    </w:p>
    <w:p>
      <w:pPr>
        <w:spacing w:after="0" w:line="17"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Proven Customer Adoption. </w:t>
      </w:r>
      <w:r>
        <w:rPr>
          <w:rFonts w:ascii="Arial" w:cs="Arial" w:eastAsia="Arial" w:hAnsi="Arial"/>
          <w:sz w:val="13"/>
          <w:szCs w:val="13"/>
          <w:color w:val="auto"/>
        </w:rPr>
        <w:t>We have sold our IFCs to over 100 customers. These customers include many leading biotechnology and pharmaceutical companies, academic</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and life science laboratories worldwide.</w:t>
      </w:r>
    </w:p>
    <w:p>
      <w:pPr>
        <w:spacing w:after="0" w:line="10"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Broad Application in the Life Science Market. </w:t>
      </w:r>
      <w:r>
        <w:rPr>
          <w:rFonts w:ascii="Arial" w:cs="Arial" w:eastAsia="Arial" w:hAnsi="Arial"/>
          <w:sz w:val="13"/>
          <w:szCs w:val="13"/>
          <w:color w:val="auto"/>
        </w:rPr>
        <w:t>We have developed and commercialized IFCs for several significant life science research applications and believe that the inherent</w:t>
      </w:r>
      <w:r>
        <w:rPr>
          <w:rFonts w:ascii="Arial" w:cs="Arial" w:eastAsia="Arial" w:hAnsi="Arial"/>
          <w:sz w:val="13"/>
          <w:szCs w:val="13"/>
          <w:i w:val="1"/>
          <w:iCs w:val="1"/>
          <w:color w:val="auto"/>
        </w:rPr>
        <w:t xml:space="preserve"> </w:t>
      </w:r>
      <w:r>
        <w:rPr>
          <w:rFonts w:ascii="Arial" w:cs="Arial" w:eastAsia="Arial" w:hAnsi="Arial"/>
          <w:sz w:val="13"/>
          <w:szCs w:val="13"/>
          <w:color w:val="auto"/>
        </w:rPr>
        <w:t>flexibility of our technology will enable the development of IFCs for a wide variety of additional markets and applications.</w:t>
      </w:r>
    </w:p>
    <w:p>
      <w:pPr>
        <w:spacing w:after="0" w:line="19" w:lineRule="exact"/>
        <w:rPr>
          <w:rFonts w:ascii="Arial" w:cs="Arial" w:eastAsia="Arial" w:hAnsi="Arial"/>
          <w:sz w:val="13"/>
          <w:szCs w:val="13"/>
          <w:color w:val="auto"/>
        </w:rPr>
      </w:pPr>
    </w:p>
    <w:p>
      <w:pPr>
        <w:ind w:left="1460" w:right="60" w:hanging="203"/>
        <w:spacing w:after="0" w:line="264" w:lineRule="auto"/>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Strong Research and Development Capabilities and Intellectual Property Position. </w:t>
      </w:r>
      <w:r>
        <w:rPr>
          <w:rFonts w:ascii="Arial" w:cs="Arial" w:eastAsia="Arial" w:hAnsi="Arial"/>
          <w:sz w:val="13"/>
          <w:szCs w:val="13"/>
          <w:color w:val="auto"/>
        </w:rPr>
        <w:t>We have and will continue to invest substantially in research and development to increase the</w:t>
      </w:r>
      <w:r>
        <w:rPr>
          <w:rFonts w:ascii="Arial" w:cs="Arial" w:eastAsia="Arial" w:hAnsi="Arial"/>
          <w:sz w:val="13"/>
          <w:szCs w:val="13"/>
          <w:i w:val="1"/>
          <w:iCs w:val="1"/>
          <w:color w:val="auto"/>
        </w:rPr>
        <w:t xml:space="preserve"> </w:t>
      </w:r>
      <w:r>
        <w:rPr>
          <w:rFonts w:ascii="Arial" w:cs="Arial" w:eastAsia="Arial" w:hAnsi="Arial"/>
          <w:sz w:val="13"/>
          <w:szCs w:val="13"/>
          <w:color w:val="auto"/>
        </w:rPr>
        <w:t>density, throughput and functionality of our IFCs. We have developed an extensive portfolio of intellectual property, including more than 81 issued U.S. patents and 240 patent applications pending worldwide either owned by or licensed to us.</w:t>
      </w:r>
    </w:p>
    <w:p>
      <w:pPr>
        <w:spacing w:after="0" w:line="27" w:lineRule="exact"/>
        <w:rPr>
          <w:rFonts w:ascii="Arial" w:cs="Arial" w:eastAsia="Arial" w:hAnsi="Arial"/>
          <w:sz w:val="13"/>
          <w:szCs w:val="13"/>
          <w:color w:val="auto"/>
        </w:rPr>
      </w:pPr>
    </w:p>
    <w:p>
      <w:pPr>
        <w:ind w:left="1460" w:right="280" w:hanging="203"/>
        <w:spacing w:after="0" w:line="276" w:lineRule="auto"/>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Efficient Manufacturing and Process Development. </w:t>
      </w:r>
      <w:r>
        <w:rPr>
          <w:rFonts w:ascii="Arial" w:cs="Arial" w:eastAsia="Arial" w:hAnsi="Arial"/>
          <w:sz w:val="13"/>
          <w:szCs w:val="13"/>
          <w:color w:val="auto"/>
        </w:rPr>
        <w:t>Our sophisticated manufacturing process, which combines standard semiconductor methods with proprietary techniques,</w:t>
      </w:r>
      <w:r>
        <w:rPr>
          <w:rFonts w:ascii="Arial" w:cs="Arial" w:eastAsia="Arial" w:hAnsi="Arial"/>
          <w:sz w:val="13"/>
          <w:szCs w:val="13"/>
          <w:i w:val="1"/>
          <w:iCs w:val="1"/>
          <w:color w:val="auto"/>
        </w:rPr>
        <w:t xml:space="preserve"> </w:t>
      </w:r>
      <w:r>
        <w:rPr>
          <w:rFonts w:ascii="Arial" w:cs="Arial" w:eastAsia="Arial" w:hAnsi="Arial"/>
          <w:sz w:val="13"/>
          <w:szCs w:val="13"/>
          <w:color w:val="auto"/>
        </w:rPr>
        <w:t>enables us to produce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460" w:right="360"/>
        <w:spacing w:after="0" w:line="276" w:lineRule="auto"/>
        <w:rPr>
          <w:sz w:val="20"/>
          <w:szCs w:val="20"/>
          <w:color w:val="auto"/>
        </w:rPr>
      </w:pPr>
      <w:r>
        <w:rPr>
          <w:rFonts w:ascii="Arial" w:cs="Arial" w:eastAsia="Arial" w:hAnsi="Arial"/>
          <w:sz w:val="13"/>
          <w:szCs w:val="13"/>
          <w:color w:val="auto"/>
        </w:rPr>
        <w:t>quantities of IFCs to stringent quality standards. We have established our manufacturing facility in Singapore because of the availability of a skilled workforce, an extensive supplier and partner network, lower operating costs and significant government support.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860" w:right="80" w:firstLine="399"/>
        <w:spacing w:after="0" w:line="281" w:lineRule="auto"/>
        <w:rPr>
          <w:sz w:val="20"/>
          <w:szCs w:val="20"/>
          <w:color w:val="auto"/>
        </w:rPr>
      </w:pPr>
      <w:r>
        <w:rPr>
          <w:rFonts w:ascii="Arial" w:cs="Arial" w:eastAsia="Arial" w:hAnsi="Arial"/>
          <w:sz w:val="12"/>
          <w:szCs w:val="12"/>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Developing and applying this knowledge increasingly requires performing experimentation on a scale and with a precision that can be achieved only through automation. However, the most common forms of life science automation rely on cumbersome robotic systems that are slow, expensive and labor intensive and, we believe, fundamentally constrain life science research. In much the same way that integrated circuits overcame the limitations of early computers by placing an increasing number of transistors on a single silicon chip, our IFCs are designed to overcome many of the limitations of conventional laboratory systems by integrating an increasing number of fluidic components on a single microfabricated IFC.</w:t>
      </w:r>
    </w:p>
    <w:p>
      <w:pPr>
        <w:spacing w:after="0" w:line="58"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color w:val="auto"/>
        </w:rPr>
        <w:t>Currently, researchers and clinicians use our IFCs to perform large-scale experimentation in the fields of genomics and proteomics. Genomics is the in-depth study of the genetic makeup, or genome, of microorganisms, plants, animals and people, including analyzing variations in genes and gene activity. Proteomics is the large-scale study of the structure and function of proteins. Our IFC systems support the following types of genomic and proteomic studies:</w:t>
      </w:r>
    </w:p>
    <w:p>
      <w:pPr>
        <w:spacing w:after="0" w:line="67" w:lineRule="exact"/>
        <w:rPr>
          <w:sz w:val="20"/>
          <w:szCs w:val="20"/>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Genotyping: </w:t>
      </w:r>
      <w:r>
        <w:rPr>
          <w:rFonts w:ascii="Arial" w:cs="Arial" w:eastAsia="Arial" w:hAnsi="Arial"/>
          <w:sz w:val="13"/>
          <w:szCs w:val="13"/>
          <w:color w:val="auto"/>
        </w:rPr>
        <w:t>determining the specific genetic traits of an individual or individuals.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measuring the activity of genes.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determining the three-dimensional structure of proteins.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Digital PCR: </w:t>
      </w:r>
      <w:r>
        <w:rPr>
          <w:rFonts w:ascii="Arial" w:cs="Arial" w:eastAsia="Arial" w:hAnsi="Arial"/>
          <w:sz w:val="13"/>
          <w:szCs w:val="13"/>
          <w:color w:val="auto"/>
        </w:rPr>
        <w:t>quantifying scarce genetic sequences in a biological sample.</w:t>
      </w:r>
    </w:p>
    <w:p>
      <w:pPr>
        <w:spacing w:after="0" w:line="96" w:lineRule="exact"/>
        <w:rPr>
          <w:sz w:val="20"/>
          <w:szCs w:val="20"/>
          <w:color w:val="auto"/>
        </w:rPr>
      </w:pPr>
    </w:p>
    <w:p>
      <w:pPr>
        <w:ind w:left="860" w:right="20" w:firstLine="399"/>
        <w:spacing w:after="0" w:line="289" w:lineRule="auto"/>
        <w:rPr>
          <w:sz w:val="20"/>
          <w:szCs w:val="20"/>
          <w:color w:val="auto"/>
        </w:rPr>
      </w:pPr>
      <w:r>
        <w:rPr>
          <w:rFonts w:ascii="Arial" w:cs="Arial" w:eastAsia="Arial" w:hAnsi="Arial"/>
          <w:sz w:val="12"/>
          <w:szCs w:val="12"/>
          <w:color w:val="auto"/>
        </w:rPr>
        <w:t>According to Strategic Directions International, in 2005 the principal segments of the genomic analysis market, gene expression and genotyping, accounted for $4.9 billion worldwide in expenditures and are expected to grow annually by 8% through 2010. We believe that our products may further be developed for use in high-throughput DNA sequencing and molecular diagnostics. High-throughput DNA sequencing is the large scale analysis of DNA sequences, including, for example, determining an organism’s genome. Molecular diagnostics is a rapidly growing market that seeks to apply information learned from genomic and proteomic analysis to clinical practice in diagnosing, monitoring and treating disease.</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860" w:right="220" w:firstLine="399"/>
        <w:spacing w:after="0" w:line="320" w:lineRule="auto"/>
        <w:rPr>
          <w:sz w:val="20"/>
          <w:szCs w:val="20"/>
          <w:color w:val="auto"/>
        </w:rPr>
      </w:pPr>
      <w:r>
        <w:rPr>
          <w:rFonts w:ascii="Arial" w:cs="Arial" w:eastAsia="Arial" w:hAnsi="Arial"/>
          <w:sz w:val="12"/>
          <w:szCs w:val="12"/>
          <w:color w:val="auto"/>
        </w:rPr>
        <w:t>Our IFC systems are designed to overcome many of the limitations of conventional laboratory systems by enabling researchers and clinicians to rapidly perform a large number of experiments at one time and in nanoliter volumes, significantly increasing throughput, reducing reagent costs, conserving patient samples and reducing workflow complexity.</w:t>
      </w:r>
    </w:p>
    <w:p>
      <w:pPr>
        <w:spacing w:after="0" w:line="35" w:lineRule="exact"/>
        <w:rPr>
          <w:sz w:val="20"/>
          <w:szCs w:val="20"/>
          <w:color w:val="auto"/>
        </w:rPr>
      </w:pPr>
    </w:p>
    <w:p>
      <w:pPr>
        <w:ind w:left="860" w:right="100" w:firstLine="399"/>
        <w:spacing w:after="0" w:line="260" w:lineRule="auto"/>
        <w:rPr>
          <w:sz w:val="20"/>
          <w:szCs w:val="20"/>
          <w:color w:val="auto"/>
        </w:rPr>
      </w:pPr>
      <w:r>
        <w:rPr>
          <w:rFonts w:ascii="Arial" w:cs="Arial" w:eastAsia="Arial" w:hAnsi="Arial"/>
          <w:sz w:val="13"/>
          <w:szCs w:val="13"/>
          <w:color w:val="auto"/>
        </w:rPr>
        <w:t>We commercially introduced our Topaz IFC system in the first quarter of 2003 and our BioMark IFC system in the fourth quarter of 2006. Our first IFC, the 1.96 Dynamic Array for our Topaz system, was introduced in the first quarter of 2003 and allowed researchers to test a single sample against 96 different reagents. In May 2008, we introduced the 96.96 Dynamic Array IFC for our BioMark system. This IFC is based on a matrix architecture that allows a researcher to test each of 96 different samples against each of 96 different reagents in parallel, and thus perform 9,216 individual experiments simultaneously.</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advantages of our IFC systems over conventional laboratory systems include:</w:t>
      </w:r>
    </w:p>
    <w:p>
      <w:pPr>
        <w:spacing w:after="0" w:line="96" w:lineRule="exact"/>
        <w:rPr>
          <w:sz w:val="20"/>
          <w:szCs w:val="20"/>
          <w:color w:val="auto"/>
        </w:rPr>
      </w:pPr>
    </w:p>
    <w:p>
      <w:pPr>
        <w:ind w:left="1460" w:hanging="203"/>
        <w:spacing w:after="0"/>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liquid handling steps than conventional systems for the same experiment.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Improved Throughput. </w:t>
      </w:r>
      <w:r>
        <w:rPr>
          <w:rFonts w:ascii="Arial" w:cs="Arial" w:eastAsia="Arial" w:hAnsi="Arial"/>
          <w:sz w:val="13"/>
          <w:szCs w:val="13"/>
          <w:color w:val="auto"/>
        </w:rPr>
        <w:t>Our most advanced IFCs can conduct up to 24 times more experiments than a conventional system can perform in a single run.</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Nanoliter Precision. </w:t>
      </w:r>
      <w:r>
        <w:rPr>
          <w:rFonts w:ascii="Arial" w:cs="Arial" w:eastAsia="Arial" w:hAnsi="Arial"/>
          <w:sz w:val="11"/>
          <w:szCs w:val="11"/>
          <w:color w:val="auto"/>
        </w:rPr>
        <w:t>Our IFC systems allow researchers to dispense samples and reagents in nanoliter, or billionths of a liter, volumes, which supports high sensitivity techniques.</w:t>
      </w:r>
    </w:p>
    <w:p>
      <w:pPr>
        <w:spacing w:after="0" w:line="70" w:lineRule="exact"/>
        <w:rPr>
          <w:rFonts w:ascii="Arial" w:cs="Arial" w:eastAsia="Arial" w:hAnsi="Arial"/>
          <w:sz w:val="11"/>
          <w:szCs w:val="11"/>
          <w:color w:val="auto"/>
        </w:rPr>
      </w:pPr>
    </w:p>
    <w:p>
      <w:pPr>
        <w:ind w:left="1460" w:right="20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Reduced Reagent and Sample Requirements. </w:t>
      </w:r>
      <w:r>
        <w:rPr>
          <w:rFonts w:ascii="Arial" w:cs="Arial" w:eastAsia="Arial" w:hAnsi="Arial"/>
          <w:sz w:val="13"/>
          <w:szCs w:val="13"/>
          <w:color w:val="auto"/>
        </w:rPr>
        <w:t>Our systems operate on volumes of reagents and samples that are typically less than 1% of the volumes required by conventional</w:t>
      </w:r>
      <w:r>
        <w:rPr>
          <w:rFonts w:ascii="Arial" w:cs="Arial" w:eastAsia="Arial" w:hAnsi="Arial"/>
          <w:sz w:val="13"/>
          <w:szCs w:val="13"/>
          <w:i w:val="1"/>
          <w:iCs w:val="1"/>
          <w:color w:val="auto"/>
        </w:rPr>
        <w:t xml:space="preserve"> </w:t>
      </w:r>
      <w:r>
        <w:rPr>
          <w:rFonts w:ascii="Arial" w:cs="Arial" w:eastAsia="Arial" w:hAnsi="Arial"/>
          <w:sz w:val="13"/>
          <w:szCs w:val="13"/>
          <w:color w:val="auto"/>
        </w:rPr>
        <w:t>systems.</w:t>
      </w:r>
    </w:p>
    <w:p>
      <w:pPr>
        <w:spacing w:after="0" w:line="10"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For high volume users, the cost of purchasing one BioMark system is much lower than the cost of purchasing the number of conventional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provide the same throughput.</w:t>
      </w:r>
    </w:p>
    <w:p>
      <w:pPr>
        <w:spacing w:after="0" w:line="10"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Ease of Adoption. </w:t>
      </w:r>
      <w:r>
        <w:rPr>
          <w:rFonts w:ascii="Arial" w:cs="Arial" w:eastAsia="Arial" w:hAnsi="Arial"/>
          <w:sz w:val="13"/>
          <w:szCs w:val="13"/>
          <w:color w:val="auto"/>
        </w:rPr>
        <w:t>Our IFC systems support widely-used chemistries and are compatible with standard laboratory equipment, allowing researchers to easily incorporate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into their laboratory workflow and processes.</w:t>
      </w:r>
    </w:p>
    <w:p>
      <w:pPr>
        <w:spacing w:after="0" w:line="59"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We believe that our IFC systems also offer significant advantages over other high-throughput methods for large scale experimentation. These alternative approaches have one or more limitations such as lack of flexibility, poor data quality, complex and slow workflows or high running costs. However, some of these methods are able to detect thousands of genetic markers in a single sample and may be more suitable for certain applications than our products. In addition, some of these alternative approaches are more widely adopted and better validated than our systems.</w:t>
      </w:r>
    </w:p>
    <w:p>
      <w:pPr>
        <w:spacing w:after="0" w:line="70" w:lineRule="exact"/>
        <w:rPr>
          <w:sz w:val="20"/>
          <w:szCs w:val="20"/>
          <w:color w:val="auto"/>
        </w:rPr>
      </w:pPr>
    </w:p>
    <w:p>
      <w:pPr>
        <w:ind w:left="860" w:right="40" w:firstLine="399"/>
        <w:spacing w:after="0" w:line="316" w:lineRule="auto"/>
        <w:rPr>
          <w:sz w:val="20"/>
          <w:szCs w:val="20"/>
          <w:color w:val="auto"/>
        </w:rPr>
      </w:pPr>
      <w:r>
        <w:rPr>
          <w:rFonts w:ascii="Arial" w:cs="Arial" w:eastAsia="Arial" w:hAnsi="Arial"/>
          <w:sz w:val="11"/>
          <w:szCs w:val="11"/>
          <w:color w:val="auto"/>
        </w:rPr>
        <w:t>Our IFC systems address the needs of researchers and clinicians who perform large-scale studies in the areas of genomics, proteomics and molecular diagnostics. Nevertheless, researchers and clinicians may be slow to adopt our IFC systems as they are based on technology that is not yet well-established in the industry. Moreover, many of the existing laboratories have already made substantial capital investments in their existing systems and may be hesitant to abandon that investment. In addition,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Our business is subject to numerous risks, as more fully described in the section entitled “Risk Factors” immediately following this prospectus summary, including the following:</w:t>
      </w:r>
    </w:p>
    <w:p>
      <w:pPr>
        <w:spacing w:after="0" w:line="108" w:lineRule="exact"/>
        <w:rPr>
          <w:sz w:val="20"/>
          <w:szCs w:val="20"/>
          <w:color w:val="auto"/>
        </w:rPr>
      </w:pPr>
    </w:p>
    <w:p>
      <w:pPr>
        <w:ind w:left="1460" w:hanging="203"/>
        <w:spacing w:after="0"/>
        <w:tabs>
          <w:tab w:leader="none" w:pos="146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had an accumulated deficit of $149.1 million as of June 28, 2008 and expect to incur losses for the foreseeable future.</w:t>
      </w:r>
    </w:p>
    <w:p>
      <w:pPr>
        <w:spacing w:after="0" w:line="68" w:lineRule="exact"/>
        <w:rPr>
          <w:rFonts w:ascii="Arial" w:cs="Arial" w:eastAsia="Arial" w:hAnsi="Arial"/>
          <w:sz w:val="12"/>
          <w:szCs w:val="12"/>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our products fail to achieve and sustain market acceptance, our revenue will be adversely affected.</w:t>
      </w:r>
    </w:p>
    <w:p>
      <w:pPr>
        <w:spacing w:after="0" w:line="47" w:lineRule="exact"/>
        <w:rPr>
          <w:rFonts w:ascii="Arial" w:cs="Arial" w:eastAsia="Arial" w:hAnsi="Arial"/>
          <w:sz w:val="13"/>
          <w:szCs w:val="13"/>
          <w:color w:val="auto"/>
        </w:rPr>
      </w:pPr>
    </w:p>
    <w:p>
      <w:pPr>
        <w:ind w:left="1460" w:right="52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sales cycle for the BioMark and Topaz systems is lengthy and unpredictable, which makes it difficult for us to forecast revenue and could cause significant quarterly fluctuations in revenue and other operating results.</w:t>
      </w:r>
    </w:p>
    <w:p>
      <w:pPr>
        <w:spacing w:after="0" w:line="10"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receive a substantial portion of our revenues from a limited number of customers and other entities, and the loss of, or a significant reduction in, orders or grants from one or more of our major customers or grantors would adversely affect our operations and financial condition.</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life science industry is highly competitive and subject to rapid technological change, and we may not be able to successfully compete.</w:t>
      </w:r>
    </w:p>
    <w:p>
      <w:pPr>
        <w:spacing w:after="0" w:line="47"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have limited experience in producing our products, and we may experience development or manufacturing problems or delays that could limit the growth of our revenue or increase our losses.</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are dependent on single source suppliers for some of the components and materials used in our systems, and the loss of any of these suppliers could harm our business.</w:t>
      </w:r>
    </w:p>
    <w:p>
      <w:pPr>
        <w:spacing w:after="0" w:line="58" w:lineRule="exact"/>
        <w:rPr>
          <w:rFonts w:ascii="Arial" w:cs="Arial" w:eastAsia="Arial" w:hAnsi="Arial"/>
          <w:sz w:val="12"/>
          <w:szCs w:val="12"/>
          <w:color w:val="auto"/>
        </w:rPr>
      </w:pPr>
    </w:p>
    <w:p>
      <w:pPr>
        <w:ind w:left="1460" w:hanging="203"/>
        <w:spacing w:after="0" w:line="264"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ability to protect our intellectual property and proprietary technology through patents and other means is uncertain, and we are dependent on certain licensed-in technology. In addition, our suit seeking declaratory judgments of non-infringement and invalidity against Applied BioSystems, Inc. and Applera Corporation, as well as future third-party claims of intellectual property infringement could adversely affect our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History and Information</w:t>
      </w:r>
    </w:p>
    <w:p>
      <w:pPr>
        <w:spacing w:after="0" w:line="100"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50" w:lineRule="exact"/>
        <w:rPr>
          <w:sz w:val="20"/>
          <w:szCs w:val="20"/>
          <w:color w:val="auto"/>
        </w:rPr>
      </w:pPr>
    </w:p>
    <w:p>
      <w:pPr>
        <w:ind w:left="860" w:right="80" w:firstLine="399"/>
        <w:spacing w:after="0" w:line="276" w:lineRule="auto"/>
        <w:rPr>
          <w:sz w:val="20"/>
          <w:szCs w:val="20"/>
          <w:color w:val="auto"/>
        </w:rPr>
      </w:pPr>
      <w:r>
        <w:rPr>
          <w:rFonts w:ascii="Arial" w:cs="Arial" w:eastAsia="Arial" w:hAnsi="Arial"/>
          <w:sz w:val="13"/>
          <w:szCs w:val="13"/>
          <w:color w:val="auto"/>
        </w:rPr>
        <w:t>“Fluidigm,” the Fluidigm logo, “Topaz,” “BioMark,” “AutoInspeX,” “MSL” and “NanoFlex” are trademarks or registered trademarks of Fluidigm.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5,300,000 shares</w:t>
      </w:r>
    </w:p>
    <w:p>
      <w:pPr>
        <w:spacing w:after="0" w:line="119"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24,790,535 shares</w:t>
      </w:r>
    </w:p>
    <w:p>
      <w:pPr>
        <w:spacing w:after="0" w:line="119"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3"/>
          <w:szCs w:val="13"/>
          <w:color w:val="auto"/>
        </w:rPr>
        <w:t>We intend to use the net proceeds from this offering to expand our sales force, support the commercialization of our products, continue research and development, expand our facilities and manufacturing operations and for working capital and other general corporate purposes. We may also use a portion of the net proceeds to acquire other businesses, products or technologies. However, we do not have agreements or commitments for any specific acquisitions at this time. See “Use of Proceeds.”</w:t>
      </w:r>
    </w:p>
    <w:p>
      <w:pPr>
        <w:spacing w:after="0" w:line="61"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FLDM</w:t>
      </w:r>
    </w:p>
    <w:p>
      <w:pPr>
        <w:spacing w:after="0" w:line="96"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right="30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19,490,535 shares of our common stock outstanding as of June 28, 2008, which includes 6,785 shares of common stock subject to repurchase but excludes:</w:t>
      </w:r>
    </w:p>
    <w:p>
      <w:pPr>
        <w:spacing w:after="0" w:line="59" w:lineRule="exact"/>
        <w:rPr>
          <w:sz w:val="20"/>
          <w:szCs w:val="20"/>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2,373,978 shares of common stock issuable upon exercise of options outstanding as of June 28, 2008 at a weighted average exercise price of $5.44 per share;</w:t>
      </w:r>
    </w:p>
    <w:p>
      <w:pPr>
        <w:spacing w:after="0" w:line="96"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216,409 shares of common stock issuable upon the exercise of warrants outstanding as of June 28, 2008 at a weighted average exercise price of $11.41 per share, after conversion of our convertible preferred stock;</w:t>
      </w:r>
    </w:p>
    <w:p>
      <w:pPr>
        <w:spacing w:after="0" w:line="59" w:lineRule="exact"/>
        <w:rPr>
          <w:rFonts w:ascii="Arial" w:cs="Arial" w:eastAsia="Arial" w:hAnsi="Arial"/>
          <w:sz w:val="13"/>
          <w:szCs w:val="13"/>
          <w:color w:val="auto"/>
        </w:rPr>
      </w:pPr>
    </w:p>
    <w:p>
      <w:pPr>
        <w:jc w:val="both"/>
        <w:ind w:left="1460" w:right="220" w:hanging="203"/>
        <w:spacing w:after="0" w:line="264"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2,601,584 shares of common stock reserved for future issuance under our stock-based compensation plans, including 2,000,000 shares of common stock reserved for issuance under our 2008 Equity Incentive Plan, which will become effective on the date of this prospectus, and any future automatic increase in shares reserved for issuance under such plan; and</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460" w:hanging="203"/>
        <w:spacing w:after="0"/>
        <w:tabs>
          <w:tab w:leader="none" w:pos="1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one (1)-for-three and a half (3.5) reverse split of our outstanding common stock and convertible preferred stock, to be effected prior to the completion of this offering;</w:t>
      </w:r>
    </w:p>
    <w:p>
      <w:pPr>
        <w:spacing w:after="0" w:line="107" w:lineRule="exact"/>
        <w:rPr>
          <w:rFonts w:ascii="Arial" w:cs="Arial" w:eastAsia="Arial" w:hAnsi="Arial"/>
          <w:sz w:val="12"/>
          <w:szCs w:val="12"/>
          <w:color w:val="auto"/>
        </w:rPr>
      </w:pPr>
    </w:p>
    <w:p>
      <w:pPr>
        <w:ind w:left="1460" w:hanging="203"/>
        <w:spacing w:after="0"/>
        <w:tabs>
          <w:tab w:leader="none" w:pos="1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conversion of all outstanding shares of our convertible preferred stock into an aggregate of 16,625,970 shares of common stock upon the closing of this offering;</w:t>
      </w:r>
    </w:p>
    <w:p>
      <w:pPr>
        <w:spacing w:after="0" w:line="107" w:lineRule="exact"/>
        <w:rPr>
          <w:rFonts w:ascii="Arial" w:cs="Arial" w:eastAsia="Arial" w:hAnsi="Arial"/>
          <w:sz w:val="12"/>
          <w:szCs w:val="12"/>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immediately prior to the effectiveness of this offering; and</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CONSOLIDATED FINANCIAL DATA</w:t>
      </w:r>
    </w:p>
    <w:p>
      <w:pPr>
        <w:spacing w:after="0" w:line="100" w:lineRule="exact"/>
        <w:rPr>
          <w:sz w:val="20"/>
          <w:szCs w:val="20"/>
          <w:color w:val="auto"/>
        </w:rPr>
      </w:pPr>
    </w:p>
    <w:p>
      <w:pPr>
        <w:ind w:left="860" w:right="80" w:firstLine="399"/>
        <w:spacing w:after="0" w:line="316" w:lineRule="auto"/>
        <w:rPr>
          <w:sz w:val="20"/>
          <w:szCs w:val="20"/>
          <w:color w:val="auto"/>
        </w:rPr>
      </w:pPr>
      <w:r>
        <w:rPr>
          <w:rFonts w:ascii="Arial" w:cs="Arial" w:eastAsia="Arial" w:hAnsi="Arial"/>
          <w:sz w:val="11"/>
          <w:szCs w:val="11"/>
          <w:color w:val="auto"/>
        </w:rPr>
        <w:t>We have derived the summary consolidated statement of operations data for the years ended December 31, 2005, December 31, 2006 and December 29, 2007 from our audited consolidated financial statements included elsewhere in this prospectus. We have derived the summary consolidated statement of operations data for the six months ended June 30, 2007 and June 28, 2008 and the consolidated balance sheet data as of June 28, 2008 from our unaudited consolidated financial statements included elsewhere in this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44"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Year Ended</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0"/>
                <w:szCs w:val="10"/>
                <w:b w:val="1"/>
                <w:bCs w:val="1"/>
                <w:color w:val="auto"/>
                <w:w w:val="92"/>
              </w:rPr>
              <w:t>Six Months Ended</w:t>
            </w: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right"/>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ind w:right="62"/>
              <w:spacing w:after="0" w:line="81" w:lineRule="exact"/>
              <w:rPr>
                <w:sz w:val="20"/>
                <w:szCs w:val="20"/>
                <w:color w:val="auto"/>
              </w:rPr>
            </w:pPr>
            <w:r>
              <w:rPr>
                <w:rFonts w:ascii="Arial" w:cs="Arial" w:eastAsia="Arial" w:hAnsi="Arial"/>
                <w:sz w:val="9"/>
                <w:szCs w:val="9"/>
                <w:b w:val="1"/>
                <w:bCs w:val="1"/>
                <w:color w:val="auto"/>
              </w:rPr>
              <w:t>December 29,</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Borders>
              <w:top w:val="single" w:sz="8" w:color="auto"/>
            </w:tcBorders>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June 30,</w:t>
            </w:r>
          </w:p>
        </w:tc>
        <w:tc>
          <w:tcPr>
            <w:tcW w:w="44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June 28,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6"/>
            <w:vMerge w:val="restart"/>
          </w:tcPr>
          <w:p>
            <w:pPr>
              <w:jc w:val="right"/>
              <w:ind w:right="200"/>
              <w:spacing w:after="0"/>
              <w:rPr>
                <w:sz w:val="20"/>
                <w:szCs w:val="20"/>
                <w:color w:val="auto"/>
              </w:rPr>
            </w:pPr>
            <w:r>
              <w:rPr>
                <w:rFonts w:ascii="Arial" w:cs="Arial" w:eastAsia="Arial" w:hAnsi="Arial"/>
                <w:sz w:val="10"/>
                <w:szCs w:val="10"/>
                <w:b w:val="1"/>
                <w:bCs w:val="1"/>
                <w:color w:val="auto"/>
                <w:w w:val="91"/>
              </w:rPr>
              <w:t>(in thousands, except per share amounts)</w:t>
            </w:r>
          </w:p>
        </w:tc>
        <w:tc>
          <w:tcPr>
            <w:tcW w:w="60" w:type="dxa"/>
            <w:vAlign w:val="bottom"/>
          </w:tcPr>
          <w:p>
            <w:pPr>
              <w:spacing w:after="0"/>
              <w:rPr>
                <w:sz w:val="10"/>
                <w:szCs w:val="10"/>
                <w:color w:val="auto"/>
              </w:rPr>
            </w:pPr>
          </w:p>
        </w:tc>
        <w:tc>
          <w:tcPr>
            <w:tcW w:w="94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91"/>
        </w:trPr>
        <w:tc>
          <w:tcPr>
            <w:tcW w:w="5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20"/>
                <w:szCs w:val="20"/>
                <w:color w:val="auto"/>
              </w:rPr>
            </w:pPr>
            <w:r>
              <w:rPr>
                <w:rFonts w:ascii="Arial" w:cs="Arial" w:eastAsia="Arial" w:hAnsi="Arial"/>
                <w:sz w:val="12"/>
                <w:szCs w:val="12"/>
                <w:color w:val="auto"/>
              </w:rPr>
              <w:t>Revenue: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6,076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4,451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4,382</w:t>
            </w:r>
          </w:p>
        </w:tc>
        <w:tc>
          <w:tcPr>
            <w:tcW w:w="0" w:type="dxa"/>
            <w:vAlign w:val="bottom"/>
          </w:tcPr>
          <w:p>
            <w:pPr>
              <w:spacing w:after="0"/>
              <w:rPr>
                <w:sz w:val="1"/>
                <w:szCs w:val="1"/>
                <w:color w:val="auto"/>
              </w:rPr>
            </w:pPr>
          </w:p>
        </w:tc>
      </w:tr>
      <w:tr>
        <w:trPr>
          <w:trHeight w:val="147"/>
        </w:trPr>
        <w:tc>
          <w:tcPr>
            <w:tcW w:w="5800" w:type="dxa"/>
            <w:vAlign w:val="bottom"/>
          </w:tcPr>
          <w:p>
            <w:pPr>
              <w:ind w:left="120"/>
              <w:spacing w:after="0"/>
              <w:rPr>
                <w:sz w:val="20"/>
                <w:szCs w:val="20"/>
                <w:color w:val="auto"/>
              </w:rPr>
            </w:pPr>
            <w:r>
              <w:rPr>
                <w:rFonts w:ascii="Arial" w:cs="Arial" w:eastAsia="Arial" w:hAnsi="Arial"/>
                <w:sz w:val="12"/>
                <w:szCs w:val="12"/>
                <w:color w:val="auto"/>
              </w:rPr>
              <w:t>Collaboration revenue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1,568</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1,376</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460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310</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Grant revenue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2,364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40"/>
              <w:spacing w:after="0"/>
              <w:rPr>
                <w:sz w:val="20"/>
                <w:szCs w:val="20"/>
                <w:color w:val="auto"/>
              </w:rPr>
            </w:pPr>
            <w:r>
              <w:rPr>
                <w:rFonts w:ascii="Arial" w:cs="Arial" w:eastAsia="Arial" w:hAnsi="Arial"/>
                <w:sz w:val="12"/>
                <w:szCs w:val="12"/>
                <w:color w:val="auto"/>
              </w:rPr>
              <w:t>Total revenue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6,398</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7,275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2,997</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5,520</w:t>
            </w: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Cost and expenses:</w:t>
            </w: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ind w:left="120"/>
              <w:spacing w:after="0"/>
              <w:rPr>
                <w:sz w:val="20"/>
                <w:szCs w:val="20"/>
                <w:color w:val="auto"/>
              </w:rPr>
            </w:pPr>
            <w:r>
              <w:rPr>
                <w:rFonts w:ascii="Arial" w:cs="Arial" w:eastAsia="Arial" w:hAnsi="Arial"/>
                <w:sz w:val="12"/>
                <w:szCs w:val="12"/>
                <w:color w:val="auto"/>
              </w:rPr>
              <w:t>Cost of product revenue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4,764</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2,773</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3,514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1,490</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2,988</w:t>
            </w: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11,449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15,589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14,389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7,053</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7,151</w:t>
            </w:r>
          </w:p>
        </w:tc>
        <w:tc>
          <w:tcPr>
            <w:tcW w:w="0" w:type="dxa"/>
            <w:vAlign w:val="bottom"/>
          </w:tcPr>
          <w:p>
            <w:pPr>
              <w:spacing w:after="0"/>
              <w:rPr>
                <w:sz w:val="1"/>
                <w:szCs w:val="1"/>
                <w:color w:val="auto"/>
              </w:rPr>
            </w:pPr>
          </w:p>
        </w:tc>
      </w:tr>
      <w:tr>
        <w:trPr>
          <w:trHeight w:val="147"/>
        </w:trPr>
        <w:tc>
          <w:tcPr>
            <w:tcW w:w="5800" w:type="dxa"/>
            <w:vAlign w:val="bottom"/>
          </w:tcPr>
          <w:p>
            <w:pPr>
              <w:ind w:left="120"/>
              <w:spacing w:after="0"/>
              <w:rPr>
                <w:sz w:val="20"/>
                <w:szCs w:val="20"/>
                <w:color w:val="auto"/>
              </w:rPr>
            </w:pPr>
            <w:r>
              <w:rPr>
                <w:rFonts w:ascii="Arial" w:cs="Arial" w:eastAsia="Arial" w:hAnsi="Arial"/>
                <w:sz w:val="12"/>
                <w:szCs w:val="12"/>
                <w:color w:val="auto"/>
              </w:rPr>
              <w:t>Selling, general and administrative</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9,699</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12,898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6,183</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9,843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costs and expenses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28,061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30,801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14,726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19,982</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20"/>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(16,494)</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(21,663)</w:t>
            </w:r>
          </w:p>
        </w:tc>
        <w:tc>
          <w:tcPr>
            <w:tcW w:w="100" w:type="dxa"/>
            <w:vAlign w:val="bottom"/>
          </w:tcPr>
          <w:p>
            <w:pPr>
              <w:spacing w:after="0"/>
              <w:rPr>
                <w:sz w:val="12"/>
                <w:szCs w:val="12"/>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(23,526)</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(11,729)</w:t>
            </w: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(14,462)</w:t>
            </w:r>
          </w:p>
        </w:tc>
        <w:tc>
          <w:tcPr>
            <w:tcW w:w="0" w:type="dxa"/>
            <w:vAlign w:val="bottom"/>
          </w:tcPr>
          <w:p>
            <w:pPr>
              <w:spacing w:after="0"/>
              <w:rPr>
                <w:sz w:val="1"/>
                <w:szCs w:val="1"/>
                <w:color w:val="auto"/>
              </w:rPr>
            </w:pPr>
          </w:p>
        </w:tc>
      </w:tr>
      <w:tr>
        <w:trPr>
          <w:trHeight w:val="153"/>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(898)</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(2,261)</w:t>
            </w:r>
          </w:p>
        </w:tc>
        <w:tc>
          <w:tcPr>
            <w:tcW w:w="1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(2,790)</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(1,790)</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7"/>
        </w:trPr>
        <w:tc>
          <w:tcPr>
            <w:tcW w:w="5800" w:type="dxa"/>
            <w:vAlign w:val="bottom"/>
          </w:tcPr>
          <w:p>
            <w:pPr>
              <w:ind w:left="120"/>
              <w:spacing w:after="0"/>
              <w:rPr>
                <w:sz w:val="20"/>
                <w:szCs w:val="20"/>
                <w:color w:val="auto"/>
              </w:rPr>
            </w:pPr>
            <w:r>
              <w:rPr>
                <w:rFonts w:ascii="Arial" w:cs="Arial" w:eastAsia="Arial" w:hAnsi="Arial"/>
                <w:sz w:val="12"/>
                <w:szCs w:val="12"/>
                <w:color w:val="auto"/>
              </w:rPr>
              <w:t>Interest income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340</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1,140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565</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7"/>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(170)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20"/>
              <w:spacing w:after="0"/>
              <w:rPr>
                <w:sz w:val="20"/>
                <w:szCs w:val="20"/>
                <w:color w:val="auto"/>
              </w:rPr>
            </w:pPr>
            <w:r>
              <w:rPr>
                <w:rFonts w:ascii="Arial" w:cs="Arial" w:eastAsia="Arial" w:hAnsi="Arial"/>
                <w:sz w:val="12"/>
                <w:szCs w:val="12"/>
                <w:color w:val="auto"/>
              </w:rPr>
              <w:t>Loss before provision for income taxes and cumulative effect of change in accounting principle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(25,346)</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(12,917)</w:t>
            </w: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(15,219)</w:t>
            </w:r>
          </w:p>
        </w:tc>
        <w:tc>
          <w:tcPr>
            <w:tcW w:w="0" w:type="dxa"/>
            <w:vAlign w:val="bottom"/>
          </w:tcPr>
          <w:p>
            <w:pPr>
              <w:spacing w:after="0"/>
              <w:rPr>
                <w:sz w:val="1"/>
                <w:szCs w:val="1"/>
                <w:color w:val="auto"/>
              </w:rPr>
            </w:pPr>
          </w:p>
        </w:tc>
      </w:tr>
      <w:tr>
        <w:trPr>
          <w:trHeight w:val="153"/>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20"/>
              <w:spacing w:after="0"/>
              <w:rPr>
                <w:sz w:val="20"/>
                <w:szCs w:val="20"/>
                <w:color w:val="auto"/>
              </w:rPr>
            </w:pPr>
            <w:r>
              <w:rPr>
                <w:rFonts w:ascii="Arial" w:cs="Arial" w:eastAsia="Arial" w:hAnsi="Arial"/>
                <w:sz w:val="12"/>
                <w:szCs w:val="12"/>
                <w:color w:val="auto"/>
              </w:rPr>
              <w:t>Loss before cumulative effect of change in accounting principle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(25,451)</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(12,969)</w:t>
            </w: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(15,262)</w:t>
            </w:r>
          </w:p>
        </w:tc>
        <w:tc>
          <w:tcPr>
            <w:tcW w:w="0" w:type="dxa"/>
            <w:vAlign w:val="bottom"/>
          </w:tcPr>
          <w:p>
            <w:pPr>
              <w:spacing w:after="0"/>
              <w:rPr>
                <w:sz w:val="1"/>
                <w:szCs w:val="1"/>
                <w:color w:val="auto"/>
              </w:rPr>
            </w:pPr>
          </w:p>
        </w:tc>
      </w:tr>
      <w:tr>
        <w:trPr>
          <w:trHeight w:val="153"/>
        </w:trPr>
        <w:tc>
          <w:tcPr>
            <w:tcW w:w="5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20"/>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(16,385)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(23,553)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3"/>
          </w:tcPr>
          <w:p>
            <w:pPr>
              <w:jc w:val="right"/>
              <w:ind w:right="160"/>
              <w:spacing w:after="0"/>
              <w:rPr>
                <w:sz w:val="20"/>
                <w:szCs w:val="20"/>
                <w:color w:val="auto"/>
              </w:rPr>
            </w:pPr>
            <w:r>
              <w:rPr>
                <w:rFonts w:ascii="Arial" w:cs="Arial" w:eastAsia="Arial" w:hAnsi="Arial"/>
                <w:sz w:val="12"/>
                <w:szCs w:val="12"/>
                <w:color w:val="auto"/>
              </w:rPr>
              <w:t>(25,451)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3"/>
          </w:tcPr>
          <w:p>
            <w:pPr>
              <w:jc w:val="right"/>
              <w:spacing w:after="0"/>
              <w:rPr>
                <w:sz w:val="20"/>
                <w:szCs w:val="20"/>
                <w:color w:val="auto"/>
              </w:rPr>
            </w:pPr>
            <w:r>
              <w:rPr>
                <w:rFonts w:ascii="Arial" w:cs="Arial" w:eastAsia="Arial" w:hAnsi="Arial"/>
                <w:sz w:val="12"/>
                <w:szCs w:val="12"/>
                <w:color w:val="auto"/>
                <w:w w:val="91"/>
              </w:rPr>
              <w:t xml:space="preserve">(12,969) </w:t>
            </w:r>
            <w:r>
              <w:rPr>
                <w:rFonts w:ascii="Arial" w:cs="Arial" w:eastAsia="Arial" w:hAnsi="Arial"/>
                <w:sz w:val="12"/>
                <w:szCs w:val="12"/>
                <w:u w:val="single" w:color="auto"/>
                <w:color w:val="auto"/>
                <w:w w:val="91"/>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(15,262)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shd w:val="clear" w:color="auto" w:fill="CCEEFF"/>
          </w:tcPr>
          <w:p>
            <w:pPr>
              <w:ind w:left="120"/>
              <w:spacing w:after="0" w:line="163" w:lineRule="exact"/>
              <w:rPr>
                <w:sz w:val="20"/>
                <w:szCs w:val="20"/>
                <w:color w:val="auto"/>
              </w:rPr>
            </w:pPr>
            <w:r>
              <w:rPr>
                <w:rFonts w:ascii="Arial" w:cs="Arial" w:eastAsia="Arial" w:hAnsi="Arial"/>
                <w:sz w:val="11"/>
                <w:szCs w:val="11"/>
                <w:color w:val="auto"/>
              </w:rPr>
              <w:t>Net loss per share of common stock, basic and diluted</w:t>
            </w:r>
            <w:r>
              <w:rPr>
                <w:rFonts w:ascii="Arial" w:cs="Arial" w:eastAsia="Arial" w:hAnsi="Arial"/>
                <w:sz w:val="18"/>
                <w:szCs w:val="18"/>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(8.82)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(9.21)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(4.74)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(5.39)</w:t>
            </w:r>
          </w:p>
        </w:tc>
        <w:tc>
          <w:tcPr>
            <w:tcW w:w="0" w:type="dxa"/>
            <w:vAlign w:val="bottom"/>
          </w:tcPr>
          <w:p>
            <w:pPr>
              <w:spacing w:after="0"/>
              <w:rPr>
                <w:sz w:val="1"/>
                <w:szCs w:val="1"/>
                <w:color w:val="auto"/>
              </w:rPr>
            </w:pPr>
          </w:p>
        </w:tc>
      </w:tr>
      <w:tr>
        <w:trPr>
          <w:trHeight w:val="29"/>
        </w:trPr>
        <w:tc>
          <w:tcPr>
            <w:tcW w:w="5800" w:type="dxa"/>
            <w:vAlign w:val="bottom"/>
            <w:vMerge w:val="restart"/>
          </w:tcPr>
          <w:p>
            <w:pPr>
              <w:ind w:left="120"/>
              <w:spacing w:after="0" w:line="186" w:lineRule="exact"/>
              <w:rPr>
                <w:sz w:val="20"/>
                <w:szCs w:val="20"/>
                <w:color w:val="auto"/>
              </w:rPr>
            </w:pPr>
            <w:r>
              <w:rPr>
                <w:rFonts w:ascii="Arial" w:cs="Arial" w:eastAsia="Arial" w:hAnsi="Arial"/>
                <w:sz w:val="12"/>
                <w:szCs w:val="12"/>
                <w:color w:val="auto"/>
              </w:rPr>
              <w:t>Shares used in computing net loss per share of common stock, basic and diluted</w:t>
            </w:r>
            <w:r>
              <w:rPr>
                <w:rFonts w:ascii="Arial" w:cs="Arial" w:eastAsia="Arial" w:hAnsi="Arial"/>
                <w:sz w:val="20"/>
                <w:szCs w:val="20"/>
                <w:color w:val="auto"/>
                <w:vertAlign w:val="superscript"/>
              </w:rPr>
              <w:t>(1)</w:t>
            </w: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2,580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2,671</w:t>
            </w:r>
          </w:p>
        </w:tc>
        <w:tc>
          <w:tcPr>
            <w:tcW w:w="10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2,765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2,736</w:t>
            </w:r>
          </w:p>
        </w:tc>
        <w:tc>
          <w:tcPr>
            <w:tcW w:w="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2,832</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5800" w:type="dxa"/>
            <w:vAlign w:val="bottom"/>
            <w:shd w:val="clear" w:color="auto" w:fill="CCEEFF"/>
          </w:tcPr>
          <w:p>
            <w:pPr>
              <w:ind w:left="120"/>
              <w:spacing w:after="0" w:line="157" w:lineRule="exact"/>
              <w:rPr>
                <w:sz w:val="20"/>
                <w:szCs w:val="20"/>
                <w:color w:val="auto"/>
              </w:rPr>
            </w:pPr>
            <w:r>
              <w:rPr>
                <w:rFonts w:ascii="Arial" w:cs="Arial" w:eastAsia="Arial" w:hAnsi="Arial"/>
                <w:sz w:val="11"/>
                <w:szCs w:val="11"/>
                <w:color w:val="auto"/>
              </w:rPr>
              <w:t>Pro forma net loss per share of common stock, basic and diluted</w:t>
            </w:r>
            <w:r>
              <w:rPr>
                <w:rFonts w:ascii="Arial" w:cs="Arial" w:eastAsia="Arial" w:hAnsi="Arial"/>
                <w:sz w:val="18"/>
                <w:szCs w:val="18"/>
                <w:color w:val="auto"/>
                <w:vertAlign w:val="superscript"/>
              </w:rPr>
              <w:t>(1)</w:t>
            </w:r>
            <w:r>
              <w:rPr>
                <w:rFonts w:ascii="Arial" w:cs="Arial" w:eastAsia="Arial" w:hAnsi="Arial"/>
                <w:sz w:val="11"/>
                <w:szCs w:val="11"/>
                <w:color w:val="auto"/>
              </w:rPr>
              <w:t xml:space="preserve"> (unaudited)</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(1.52)</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(0.78)</w:t>
            </w:r>
          </w:p>
        </w:tc>
        <w:tc>
          <w:tcPr>
            <w:tcW w:w="0" w:type="dxa"/>
            <w:vAlign w:val="bottom"/>
          </w:tcPr>
          <w:p>
            <w:pPr>
              <w:spacing w:after="0"/>
              <w:rPr>
                <w:sz w:val="1"/>
                <w:szCs w:val="1"/>
                <w:color w:val="auto"/>
              </w:rPr>
            </w:pPr>
          </w:p>
        </w:tc>
      </w:tr>
      <w:tr>
        <w:trPr>
          <w:trHeight w:val="167"/>
        </w:trPr>
        <w:tc>
          <w:tcPr>
            <w:tcW w:w="5800" w:type="dxa"/>
            <w:vAlign w:val="bottom"/>
          </w:tcPr>
          <w:p>
            <w:pPr>
              <w:ind w:left="120"/>
              <w:spacing w:after="0"/>
              <w:rPr>
                <w:sz w:val="20"/>
                <w:szCs w:val="20"/>
                <w:color w:val="auto"/>
              </w:rPr>
            </w:pPr>
            <w:r>
              <w:rPr>
                <w:rFonts w:ascii="Arial" w:cs="Arial" w:eastAsia="Arial" w:hAnsi="Arial"/>
                <w:sz w:val="12"/>
                <w:szCs w:val="12"/>
                <w:color w:val="auto"/>
              </w:rPr>
              <w:t>Shares used in computing pro forma net loss per share of common stock, basic and diluted (unaudited)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16,577</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19,149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80" w:right="20" w:hanging="226"/>
        <w:spacing w:after="0" w:line="259" w:lineRule="auto"/>
        <w:tabs>
          <w:tab w:leader="none" w:pos="1080" w:val="left"/>
        </w:tabs>
        <w:numPr>
          <w:ilvl w:val="0"/>
          <w:numId w:val="9"/>
        </w:numPr>
        <w:rPr>
          <w:rFonts w:ascii="Arial" w:cs="Arial" w:eastAsia="Arial" w:hAnsi="Arial"/>
          <w:sz w:val="10"/>
          <w:szCs w:val="10"/>
          <w:color w:val="auto"/>
        </w:rPr>
      </w:pPr>
      <w:r>
        <w:rPr>
          <w:rFonts w:ascii="Arial" w:cs="Arial" w:eastAsia="Arial" w:hAnsi="Arial"/>
          <w:sz w:val="10"/>
          <w:szCs w:val="10"/>
          <w:color w:val="auto"/>
        </w:rPr>
        <w:t>Please see Note 2 to our consolidated financial statements included elsewhere in this prospectus for an explanation of the method used to calculate basic and diluted net loss per share of common stock and pro forma net loss per share of common stock.</w:t>
      </w:r>
    </w:p>
    <w:p>
      <w:pPr>
        <w:spacing w:after="0" w:line="62"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w w:val="99"/>
              </w:rPr>
              <w:t>As of June 28, 2008</w:t>
            </w: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80" w:type="dxa"/>
            <w:vAlign w:val="bottom"/>
          </w:tcPr>
          <w:p>
            <w:pPr>
              <w:spacing w:after="0"/>
              <w:rPr>
                <w:sz w:val="7"/>
                <w:szCs w:val="7"/>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6"/>
              </w:rPr>
              <w:t>Pro Forma</w:t>
            </w:r>
            <w:r>
              <w:rPr>
                <w:rFonts w:ascii="Arial" w:cs="Arial" w:eastAsia="Arial" w:hAnsi="Arial"/>
                <w:sz w:val="8"/>
                <w:szCs w:val="8"/>
                <w:b w:val="1"/>
                <w:bCs w:val="1"/>
                <w:color w:val="auto"/>
                <w:w w:val="96"/>
              </w:rPr>
              <w:t>(1)</w:t>
            </w:r>
          </w:p>
        </w:tc>
        <w:tc>
          <w:tcPr>
            <w:tcW w:w="120" w:type="dxa"/>
            <w:vAlign w:val="bottom"/>
          </w:tcPr>
          <w:p>
            <w:pPr>
              <w:spacing w:after="0"/>
              <w:rPr>
                <w:sz w:val="7"/>
                <w:szCs w:val="7"/>
                <w:color w:val="auto"/>
              </w:rPr>
            </w:pPr>
          </w:p>
        </w:tc>
        <w:tc>
          <w:tcPr>
            <w:tcW w:w="980" w:type="dxa"/>
            <w:vAlign w:val="bottom"/>
          </w:tcPr>
          <w:p>
            <w:pPr>
              <w:jc w:val="center"/>
              <w:ind w:right="58"/>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As Adjusted</w:t>
            </w:r>
            <w:r>
              <w:rPr>
                <w:rFonts w:ascii="Arial" w:cs="Arial" w:eastAsia="Arial" w:hAnsi="Arial"/>
                <w:sz w:val="8"/>
                <w:szCs w:val="8"/>
                <w:b w:val="1"/>
                <w:bCs w:val="1"/>
                <w:color w:val="auto"/>
                <w:w w:val="97"/>
              </w:rPr>
              <w:t>(2)(3)</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(unaudited)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Cash and cash equivalents and available-for-sale securities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32,469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32,469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103,304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28,644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29,913</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100,748</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49,768</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49,678</w:t>
            </w: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120,513</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 long-term debt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16,558</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16,558</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16,558</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Convertible preferred stock warrant liabilities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1,269</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167,538</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(144,908)</w:t>
            </w: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23,899</w:t>
            </w: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94,734</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080" w:right="40" w:hanging="226"/>
        <w:spacing w:after="0" w:line="259" w:lineRule="auto"/>
        <w:tabs>
          <w:tab w:leader="none" w:pos="108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pro forma balance sheet data in the table above reflects (i) the conversion of all outstanding shares of convertible preferred stock into common stock and (ii) the reclassification of the convertible preferred stock warrant liabilities to additional paid-in capital, each effective upon the closing of this offering.</w:t>
      </w:r>
    </w:p>
    <w:p>
      <w:pPr>
        <w:spacing w:after="0" w:line="56" w:lineRule="exact"/>
        <w:rPr>
          <w:rFonts w:ascii="Arial" w:cs="Arial" w:eastAsia="Arial" w:hAnsi="Arial"/>
          <w:sz w:val="10"/>
          <w:szCs w:val="10"/>
          <w:color w:val="auto"/>
        </w:rPr>
      </w:pPr>
    </w:p>
    <w:p>
      <w:pPr>
        <w:ind w:left="1080" w:right="40" w:hanging="226"/>
        <w:spacing w:after="0" w:line="242" w:lineRule="auto"/>
        <w:tabs>
          <w:tab w:leader="none" w:pos="108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pro forma as adjusted balance sheet data in the table above also reflects the pro forma conversions and reclassifications described immediately above plus the sale of 5,300,000 shares of our common stock in this offering and the application of the net proceeds at an initial public offering price of $15.00 per share, the midpoint of the range set forth on the cover page of this prospectus, after deducting estimated underwriting discounts and commissions and estimated offering expenses payable by us.</w:t>
      </w:r>
    </w:p>
    <w:p>
      <w:pPr>
        <w:spacing w:after="0" w:line="64" w:lineRule="exact"/>
        <w:rPr>
          <w:rFonts w:ascii="Arial" w:cs="Arial" w:eastAsia="Arial" w:hAnsi="Arial"/>
          <w:sz w:val="10"/>
          <w:szCs w:val="10"/>
          <w:color w:val="auto"/>
        </w:rPr>
      </w:pPr>
    </w:p>
    <w:p>
      <w:pPr>
        <w:ind w:left="1080" w:right="40" w:hanging="226"/>
        <w:spacing w:after="0" w:line="233" w:lineRule="auto"/>
        <w:tabs>
          <w:tab w:leader="none" w:pos="108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 $1.00 increase (decrease) in the assumed initial public offering price of $15.00 per share, the midpoint of the range set forth on the cover page of this prospectus, would increase (decrease) cash, cash equivalents and available-for-sale securities and each of working capital, total assets and total stockholders’ equity by $4.9 million,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would increase cash, cash equivalents, available-for-sale securities and each of working capital, total assets and total stockholders’ equity by approximately $14.0 million. Similarly, each decrease of 1.0 million shares in the number of shares offered by us would decrease cash, cash equivalents and available-for-sale securities and each of working capital, total assets and total stockholders’ equity by approximately $14.0 million.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have a limited operating history and have incurred significant losses in each fiscal year since our inception, including net losses of $16.4 million, $23.6 million, $25.5 million and $15.3 million during 2005, 2006, 2007 and the six months ended June 28, 2008. As of June 28, 2008, we had an accumulated deficit of $149.1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our products fail to achieve and sustain sufficient market acceptance, our revenue will be adversely affected.</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instrument systems will depend on many factors, including our ability to convince potential customers that our systems are an attractive alternative to existing technologies. Compared to other technologies, our Integrated Fluidic Circuit, or IFC, technology is new and unproven, and most potential customers have limited knowledge of, or experience with, our products. Prior to adopting our technology, potential customers generally need to devote significant effort to testing and validating our systems and benchmarking them against their current systems and performance requirements. Any failure of our systems to meet these customer benchmarks could result in customers choosing to retain their existing systems or to purchase systems other than ours.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A significant part of our sales and marketing efforts have been directed at convincing industry leaders of the advantages of our systems and encouraging such leaders to publish or present the results of their evaluation of our system. If we are unable to induce leading researchers to use our system or if such researchers are unable to achieve and publish or present significant experimental results using our system, acceptance and adoption of our systems will be slowed.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Our sales cycle is lengthy and unpredictable, which makes it difficult for us to forecast revenue and could cause significant quarterly fluctuations in revenue and other operating</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results.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sales cycles for our instrument systems is lengthy, which makes it difficult for us to accurately forecast revenues in a given period, and may cause revenue and operating results to vary significantly from period to period.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Due in part to the high up-front cost associated with our systems, potential customers for our instrument systems typically need to commit significant time and resources to evaluate our technology and their decision to purchase our instruments may be further limited by budgetary constraints and several layers of internal review and approval, which are beyond our control.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in many instances, installed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sales efforts require significant time and effort and could hinder our ability to increase sales.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Before purchasing one of our systems, customers typically require input from one or more scientific evaluators, as well as a review by personnel with finance or operational expertise. As a result, during our sales effort, we must identify all persons involved in the purchasing decision and devote a sufficient amount of time to presenting our systems to those individuals. The newness and complexity of our products often requires us to spend substantial time and effort assisting potential customers in evaluating our instruments, including providing demonstrations and benchmarking our products against other available technologies. This process can be costly and time consuming. We expect that our sales process will become less burdensome as our products become more widely known and used. However, if this change does not occur, we will not be able to expand our sales effort as quickly as anticipated and our sales will be adversely affected.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success is dependent upon our ability to expand our customer base and introduce new applications.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customer base is primarily composed of pharmaceutical and biotechnology companies, academic institutions and life science laboratories that perform large-scale experimentation for life science research purposes. Our success will depend in part upon our ability to increase our market share amongst these customers, attract life science research customers who do not currently perform large-scale experimentation, attract customers outside the life science research market and market new applications to existing and new customers as we develop such applications. Attracting new customers and introducing new applications requires substantial time and expense. For example, it may be difficult to identify, engage and market to customers who do not currently perform large-scale experimentation or are unfamiliar with our current applications. In addition, certain new applications that we are considering developing are not practical to perform with conventional techniques. Any failure to expand our existing customer base or launch new applications would adversely affect our ability to increase our revenues.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Our inability to develop new systems and enhance the capabilities of our IFC systems to keep pace with rapidly changing technology and customer requirements could adversely affect our business.</w:t>
      </w:r>
    </w:p>
    <w:p>
      <w:pPr>
        <w:spacing w:after="0" w:line="5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Our success depends on our ability to develop new applications for our IFC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proteomics, as well as potential markets for our products such as high-throughput DNA sequencing and molecular diagnostics,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While we have planned substantial improvements to the BioMark system, including enhancing the capabilities of our IFCs, we may not be able to successfully implement these improvements. Even if we successfully implement some or all of these planned improvements, we could incur substantial development costs in doing so. We may not have adequate resources available to develop new technologies or be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able to successfully introduce new applications of, or enhancements to, our systems. We cannot guarantee that we will be able to maintain technological advantages over emerging technologies in the future. If we fail to keep pace with emerging technologies, demand for our systems will not grow and may decline, and our business, revenue, financial condition and operating results could suffer materially.</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We have limited resources for marketing, selling and distributing our products and we may not be able to develop a direct sales and marketing force or distribution capabilities that can meet our customers’ needs.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have limited marketing, sales and distribution resources and capabilities. We sell our products primarily through our own sales force and through distributors in certain territories.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first product line, the Topaz system for protein crystallization, was introduced for commercial sale in 2002. Our BioMark system was introduced for commercial sale in 2006.</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Our future sales will depend in large part on our ability to develop and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we may seek to enlist one or more additional parties to assist with sales, distribution and customer support globally or in certain regions of the world. If we do seek to enter into such arrangements, we may not be successful in attracting desirable sales and distribution partners, or we may not be able to enter into such arrangements on favorable terms. If our sales and marketing efforts, or those of any third-party sales and distribution partners, are not successful, our technologies and products may not gain market acceptance, which would materially impact our business operations.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life science industry is highly competitive and subject to rapid technological change, and we may not be able to successfully compete.</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companies that design, manufacture and market instruments for gene expression analysis, genotyping,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 existing installed bases, substantial intellectual property portfolios and greater experience in research and development, manufacturing and marketing than we do. For example, companies such as Affymetrix, Applied Biosystems, BioTrove, Illumina, Roche Diagnostics and Sequenom have products that compete in certain segments of the market in which we sell our BioMark system.</w:t>
      </w:r>
    </w:p>
    <w:p>
      <w:pPr>
        <w:spacing w:after="0" w:line="58"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b w:val="1"/>
          <w:bCs w:val="1"/>
          <w:i w:val="1"/>
          <w:iCs w:val="1"/>
          <w:color w:val="auto"/>
        </w:rPr>
        <w:t>We receive a substantial portion of our revenue from a limited number of customers and other entities, and the loss of, or a significant reduction in, orders or grants from one or more of our major customers or grantors would adversely affect our operations and financial condition.</w:t>
      </w:r>
    </w:p>
    <w:p>
      <w:pPr>
        <w:spacing w:after="0" w:line="59"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We receive a substantial portion of our revenue from a limited number of customers and grantors. We received an aggregate of approximately 37%, 44%, 38% and 27% of our total revenue from our top three customers in 2005, 2006, 2007 and the six months ended June 28, 2008. Grant revenue from the Singapore Economic Development Board, or EDB, represented 0%, 14%, 24% and 15% of our total revenue in 2005, 2006 and 2007 and the six months ended June 28, 2008. We anticipate that we will continue to be dependent on a limited number of customers and grantors for a significant portion of our revenue in the near future and in some cases the portion of our revenue attributable to certain customers or grantors may increase in the future. However, we may not be able to maintain or increase sales to our top customers or grants from our top grantors for a variety of reasons, including the following:</w:t>
      </w:r>
    </w:p>
    <w:p>
      <w:pPr>
        <w:spacing w:after="0" w:line="42"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agreements with our customers and grantors do not require them to purchase a minimum quantity of our products or make a minimum amount of grants in any year;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customers can stop using our products with limited notice to us and suffer little or no payment penalty;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grants are subject to the achievement of milestones that we may not meet;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many of our customers have pre-existing or concurrent relationships with our current or potential competitors that may affect the customers’ decisions to purchase our products.</w:t>
      </w:r>
    </w:p>
    <w:p>
      <w:pPr>
        <w:spacing w:after="0" w:line="10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the past, we have relied in significant part on our strategic relationships with customers that are technology leaders in our target markets. We intend to pursue the expansion of such relationships and the formation of new strategic relationships, but we cannot assure you that we will be able to do so. These relationships often require us to develop new products that may involve significant technological challenges. Our customers frequently place considerable pressure on us to meet their tight development schedules. Our grantors frequently condition their present and future grants on our compliance with certain development, hiring and local investment milestones. Accordingly, we may have to devote a substantial amount of our resources to our strategic relationships, which could detract from or delay our completion of other important development projects. Delays in development could impair our relationships with our strategic customers and grantors and negatively impact sales of the products under development or future grant activity. The loss of a key customer or grantor, a reduction in sales to any key customer, a reduction in grants from a key grantor, or our inability to attract new significant customers could seriously impact our revenue and materially and adversely affect our results of operations.</w:t>
      </w:r>
    </w:p>
    <w:p>
      <w:pPr>
        <w:spacing w:after="0" w:line="7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b w:val="1"/>
          <w:bCs w:val="1"/>
          <w:i w:val="1"/>
          <w:iCs w:val="1"/>
          <w:color w:val="auto"/>
        </w:rPr>
        <w:t>Our business depends on research and development spending levels of pharmaceutical and biotechnology companies and academic, clinical and governmental research institutions and any reduction in such spending could limit our ability to sell our products.</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expect that our revenue in the foreseeable future will be derived primarily from sales of instruments and IFCs to academic institutions, biotechnology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IFCs. These reductions and delays may result from factors that are not within our control, such as:</w:t>
      </w:r>
    </w:p>
    <w:p>
      <w:pPr>
        <w:spacing w:after="0" w:line="48"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government programs that provide funding to research institutions and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the regulatory environment affecting life science companies and life science research;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market-driven pressures on companies to consolidate operations and reduce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mergers and acquisitions in the life science industry;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other factors affecting research and development spending.</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Any decrease in our customers’ budgets or expenditures or in the size, scope or frequency of capital or operating expenditures as a result of the foregoing or other factors could materially adversely affect our operations or financial condition.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cannot provide quality technical support, we could lose customers and our operating results could suffer.</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We are currently expanding our technical support staff and will need to increase it further to support expected new customers as well as the expanding needs of existing customers. If we are unable to attract, train or retain the number of highly qualified technical services personnel that our business needs, our business and prospects will suffer.</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To use our products, customers typically need to purchase specialized reagents. Any interruption in the availability of these reagents for use in our products could limit our ability to market our products.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products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5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43% of our product revenue in 2007, involve real-time polymerase chain reaction, or PCR. The primary producers of reagents for PCR reactions are Applied Biosystems and Roche Diagnostics, who are our direct competitors, and their licensees. These PCR reagents are typically sold pursuant to limited licenses or covenants not to sue with respect to patents held by these companies. We do not have any contractual relationship with Roche Diagnostics or Applied Biosystems regarding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are dependent on single source suppliers for some of the components and materials used in our systems, and the loss of any of these suppliers could harm our business.</w:t>
      </w:r>
    </w:p>
    <w:p>
      <w:pPr>
        <w:spacing w:after="0" w:line="11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9" w:lineRule="exact"/>
        <w:rPr>
          <w:sz w:val="20"/>
          <w:szCs w:val="20"/>
          <w:color w:val="auto"/>
        </w:rPr>
      </w:pPr>
    </w:p>
    <w:p>
      <w:pPr>
        <w:ind w:left="1280" w:right="24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essential component of our BioMark system is a specialized thermal cycler that is available from a limited number of suppliers. We purchase this thermal cycler from one supplier, Eppendorf AG, which customizes it to our specifications pursuant to a supply agreement.</w:t>
      </w:r>
    </w:p>
    <w:p>
      <w:pPr>
        <w:spacing w:after="0" w:line="49" w:lineRule="exact"/>
        <w:rPr>
          <w:rFonts w:ascii="Arial" w:cs="Arial" w:eastAsia="Arial" w:hAnsi="Arial"/>
          <w:sz w:val="13"/>
          <w:szCs w:val="13"/>
          <w:color w:val="auto"/>
        </w:rPr>
      </w:pPr>
    </w:p>
    <w:p>
      <w:pPr>
        <w:ind w:left="1280" w:right="300" w:hanging="190"/>
        <w:spacing w:after="0" w:line="320"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IFCs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25" w:lineRule="exact"/>
        <w:rPr>
          <w:rFonts w:ascii="Arial" w:cs="Arial" w:eastAsia="Arial" w:hAnsi="Arial"/>
          <w:sz w:val="12"/>
          <w:szCs w:val="12"/>
          <w:color w:val="auto"/>
        </w:rPr>
      </w:pPr>
    </w:p>
    <w:p>
      <w:pPr>
        <w:ind w:left="1280" w:right="20" w:hanging="190"/>
        <w:spacing w:after="0" w:line="371" w:lineRule="auto"/>
        <w:tabs>
          <w:tab w:leader="none" w:pos="12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plastic carriers that hold the core components of our IFCs need to be produced to specifications and tolerances that few manufacturers are able to meet. We have experienced quality issues in the past and, as a result, have recently switched suppliers. We do not have a long term contract with either of our current sole suppliers for particular carriers.</w:t>
      </w:r>
    </w:p>
    <w:p>
      <w:pPr>
        <w:spacing w:after="0" w:line="2" w:lineRule="exact"/>
        <w:rPr>
          <w:rFonts w:ascii="Arial" w:cs="Arial" w:eastAsia="Arial" w:hAnsi="Arial"/>
          <w:sz w:val="11"/>
          <w:szCs w:val="11"/>
          <w:color w:val="auto"/>
        </w:rPr>
      </w:pPr>
    </w:p>
    <w:p>
      <w:pPr>
        <w:ind w:left="1280" w:right="14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reader for our BioMark system requires specialized high resolution camera lenses that are available from a limited number of sources. We do not have a long term contract with our current sole supplier.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reliance on these suppliers also subjects us to other risks that could harm our business, including the following:</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be subject to increased component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are not a major customer of many of our suppliers, and these suppliers may therefore give other customers’ needs higher priority than ours;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not be able to obtain adequate supply in a timely manner or on commercially reasonable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suppliers may make errors in manufacturing components that could negatively affect the efficacy of our systems or cause delays in shipment of our systems;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suppliers may encounter financial hardships unrelated to our demand for components, which could inhibit their ability to fulfill our orders and meet our requirements.</w:t>
      </w:r>
    </w:p>
    <w:p>
      <w:pPr>
        <w:spacing w:after="0" w:line="1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in the past experienced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b w:val="1"/>
          <w:bCs w:val="1"/>
          <w:i w:val="1"/>
          <w:iCs w:val="1"/>
          <w:color w:val="auto"/>
        </w:rPr>
        <w:t>We have limited experience in producing our products, and we may experience development or manufacturing problems or delays that could limit the growth of our revenue or increase our losses.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limited experience manufacturing and assembling our products in commercial quantities and we may encounter unforeseen situations that would result in delays or shortfalls.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5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first produced the IFCs used in our current Topaz system in June 2002 at our facility in South San Francisco. We have since moved our commercial production of IFCs to our facility in Singapore, which first produced commercial IFCs for our Topaz systems in October 2006 and first produced commercial IFCs for our BioMark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system in December 2007.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Such a drop in yield can greatly increase our cost to manufacture our IFCs or, in more severe cases, require us to halt the manufacture of IFCs until the problem is resolved. Identifying and resolving the cause of a drop in yield can require substantial time and resources. We have had significant yield problems in the past and cannot assure you that these types of yield issues will not occur again. Sustained yield problems would have a material adverse affect on our business, financial condition and results of operations.</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developing an IFC for a new application typically requires developing a specific production process for that type of IFC. While all of our IFCs are produced using the same basic processes, significant variations are required to ensure adequate yield of any particular type of IFC. Developing such a process can be very time consuming, and any unexpected difficulty in doing so can delay the introduction of a product. For example, in the second quarter of 2006, our ability to conduct demonstrations for potential customers for our BioMark system was impaired because we were unable to produce sufficient quantities of that IFC. Though these production problems were resolved, the delay in conducting customer demonstrations resulted in the loss and delay of orders from potential customers. We cannot assure you that we will not face similar difficulties in developing new processes in the future.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are unable to recruit and retain key executives and scientists, we may be unable to achieve our goals.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71"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may be unable to manage our anticipated growth effectively.</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rapid growth of our business has placed a significant strain on our managerial, operational and financial resources and systems. We have increased the number of our employees from 78 at December 31, 2005 to 143 at June 28, 2008. In addition, since October 2006 we have commenced manufacturing operations in Singapore and opened sales offices in Europe and Japan.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believe our primary commercial manufacturing facility located in Singapore is sufficient to meet our short-term manufacturing needs. The current lease for our manufacturing facility in Singapore expires in October 2011. In order to meet the long-term demand for our IFC systems, we believe that we will need to add to our existing manufacturing space in Singapore or move all of our manufacturing facilities to a new location in Singapore.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Further, our anticipated growth will place additional strain on our suppliers and manufacturing facilities, resulting in an increased need for us to carefully monitor quality assurance.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failure by us to manage our growth effectively could have an adverse effect on our ability to achieve our development and commercialization goals.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IFC technology. Our IFC technology is new and complex and the behavior of fluids and surrounding compounds in a nanoscale environment is difficult to predict in advance. Though we have developed design rules for the implementation of our IFC technology, these are frequently revised to reflect new insights we have gained about the technology. In addition, we have discovered that biological or chemical reactions sometimes behave differently when implemented on IFCs rather than in a standard laboratory environment. As a result, significant research and development efforts may be required to transfer even well-understood reactions to our technology. In the past, product development projects have been significantly delayed when we encountered unanticipated difficulties in implementing a process on our IFCs.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Our products, although not currently regulated, could in the future be subject to regulation by the U.S. Food and Drug Administration or other regulatory agencies.</w:t>
      </w:r>
    </w:p>
    <w:p>
      <w:pPr>
        <w:spacing w:after="0" w:line="10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products are currently labeled and sold for research purposes only and are not subject to U.S. Food and Drug Administration, or FDA, clearance or approval.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FDA clearance or approval would be required. Even where a product is exempted from FDA clearance or approval, the FDA may impose restrictions on how and to whom we can market and sell our products. Obtaining FDA approval can be expensive and uncertain, generally takes several years to obtain and requires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 As a result, these regulations and restrictions could materially and adversely affect our business, financial condition and results of operations. Similar laws and regulations are also in effect in many foreign countries that could affect our ability to market certain products. The number and scope of these requirements are increasing. We may not be able to obtain regulatory approvals in such countries or may incur significant costs in obtaining or maintaining our foreign regulatory approvals.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capital needs are uncertain and we may need to raise additional funds in the future.</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believe that the net proceeds from this offering, together with our existing cash and cash equivalents, available for sale securities balances and cash receipts generated from sales of our products, will be sufficient to meet our anticipated cash requirements for at least the next 18 months. However, we may need to raise substantial additional capital to:</w:t>
      </w:r>
    </w:p>
    <w:p>
      <w:pPr>
        <w:spacing w:after="0" w:line="35"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expand the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fund our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continue our research and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defend,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commercialize new products;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acquire companies and in-license products or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funding requirements will depend on many factors, including:</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market acceptance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our research and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filing and prosecuting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defending,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and timing of regulatory clearances or approvals, if 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and timing of establishing additional sales, marketing and distribution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and timing of establishing additional technical support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effect of competing technological and market developments; and</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require additional funds in the future, such funds may not be available on acceptable terms, or at all.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products could have unknown defects or errors, which may give rise to claims against us and adversely affect market adoption of our systems.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IFCs, these risks may increase. While we do not provide express warranties that our IFCs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IFC systems. The costs incurred in correcting any defects or errors may be substantial and could adversely affect our operating margins.</w:t>
      </w:r>
    </w:p>
    <w:p>
      <w:pPr>
        <w:spacing w:after="0" w:line="5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our products contain defects, we may experience:</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failure to achieve market acceptance or expansion of our product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loss of customer orders and delay in order fulfillment;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damage to our brand reputation;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increased cost of our warranty program due to product repair or replacement;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product recalls or replacements;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inability to attract new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diversion of resources from our manufacturing and research and development departments into our service department; and</w:t>
      </w:r>
    </w:p>
    <w:p>
      <w:pPr>
        <w:spacing w:after="0" w:line="86" w:lineRule="exact"/>
        <w:rPr>
          <w:rFonts w:ascii="Arial" w:cs="Arial" w:eastAsia="Arial" w:hAnsi="Arial"/>
          <w:sz w:val="13"/>
          <w:szCs w:val="13"/>
          <w:color w:val="auto"/>
        </w:rPr>
      </w:pPr>
    </w:p>
    <w:p>
      <w:pPr>
        <w:ind w:left="1080" w:right="1720" w:firstLine="10"/>
        <w:spacing w:after="0" w:line="427"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680" w:right="400" w:firstLine="399"/>
        <w:spacing w:after="0" w:line="276" w:lineRule="auto"/>
        <w:rPr>
          <w:sz w:val="20"/>
          <w:szCs w:val="20"/>
          <w:color w:val="auto"/>
        </w:rPr>
      </w:pPr>
      <w:r>
        <w:rPr>
          <w:rFonts w:ascii="Arial" w:cs="Arial" w:eastAsia="Arial" w:hAnsi="Arial"/>
          <w:sz w:val="13"/>
          <w:szCs w:val="13"/>
          <w:b w:val="1"/>
          <w:bCs w:val="1"/>
          <w:i w:val="1"/>
          <w:i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During 2005, 2006, 2007 and the six months ended June 28, 2008, approximately 28%, 40%, 52% and 54% of our total revenue was generated outside of North America. We believe that a significant percentage of our future revenue will come from international sources as we expand our overseas operations and develop opportunities in additional international areas.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6"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required compliance with existing and changing foreign regulatory requirements and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export or import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laws and business practices favoring local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longer payment cycles and difficulties in enforcing agreements and collecting receivables through certain foreign legal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potentially adverse tax consequences, tariffs, customs charges, bureaucratic requirements and other trade barriers;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and costs of staffing and managing foreign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protecting or procuring intellectual property rights.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one or more of these risks occurs, it could require us to dedicate significant resources to remedy, and if we are unsuccessful in finding a solution, our financial results will suffer.</w:t>
      </w:r>
    </w:p>
    <w:p>
      <w:pPr>
        <w:spacing w:after="0" w:line="10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IFC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If our facilities become inoperable, we will be unable to continue manufacturing our products and as a result, our business will be harmed until we are able to secure a new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w:t>
      </w:r>
    </w:p>
    <w:p>
      <w:pPr>
        <w:spacing w:after="0" w:line="8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manufacture and assemble our IFCs for commercial sale at our facility in Singapore and assemble our instrument platforms at our facilities in Singapore and South San Francisco, California. No other manufacturing or assembly facilities are currently available to us. Our facilities and the equipment we use to manufacture our products would be costly to replace and could require substantial lead time to repair or replace. The facilities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If we fail to maintain effective internal control over financial reporting in the future, the accuracy and timing of our financial reporting may be adversely affected.</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connection with the audit of our consolidated financial statements for the years ended December 31, 2005 and 2006 we, together with our independent registered public accounting firm identified material weaknesses in our internal control over financial reporting.</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material weaknesses related to our financial statement close process, revenue recognition and accrual processes and inventory costing, cost of sales, purchases cut-off and stock-based compensation. These material weaknesses resulted in the recording of numerous audit adjustments over the two year period ending December 31, 2006. Since the date of our independent registered public accounting firm’s reports on our consolidated financial statements for the years ended December 31, 2005 and 2006 and through the date of this prospectus, we have taken steps intended to remediate these material weaknesses, primarily through the hiring of additional accounting and finance personnel with technical accounting and financial reporting experience. In addition, we have implemented procedures and controls in the financial statement close process designed to improve the accuracy and timeliness in financial accounting and reporting.</w:t>
      </w:r>
    </w:p>
    <w:p>
      <w:pPr>
        <w:spacing w:after="0" w:line="72"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 April and May 2008, we reviewed our internal control over financial reporting and concluded that we had certain significant deficiencies.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 significant deficiencies identified by us related to: our controls for the consolidation and elimination entries relating to intercompany transfer pricing and elimination of intercompany profits embedded in deferred costs of our Japanese subsidiary; our controls for applying SFAS 123R to option grants with non-standard vesting terms and validation of stock compensation expenses calculated by our option tracking software; and our controls and procedures for the valuation of inventory.</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that we will require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of 2002, or Sarbanes-Oxley Act, we may be unable to report our financial results accurately and prevent fraud. While we expect to remediate the significant deficiencies, we cannot assure you that we will be able to do so in a timely manner, which could impair our ability to accurately and timely report our financial position, results of operations or cash flows.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No material weaknesses in internal control over financial reporting were identified in our April and May 2008 review. However, our management and independent registered public accounting firm did not perform an evaluation of our internal control over financial reporting as of any date in accordance with the provisions of Section 404 of the Sarbanes-Oxley Act. Had we and our independent registered public accounting firm performed an evaluation of our internal control over financial reporting in accordance with the provisions of Section 404 of the Sarbanes-Oxley Act, additional control deficiencies may have been identified by management or our independent registered public accounting firm.</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7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addition, the Sarbanes-Oxley Act requires, among other things, that we maintain effective internal control over financial reporting and disclosure controls and procedures. In particular, commencing in 2009,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Some of our programs are partially supported by government grants, which may be reduced, withdrawn, delayed or reclaimed.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June 28, 2008.</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certain limitations.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general, under Section 382 of the Internal Revenue Code, a corporation that undergoes an “ownership change” is subject to limitations on its ability to utilize its pre-change net operating losses or NOLs to offset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commercial success may depend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advantageous to us.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3"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patent positions of life science companies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4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might not have been the first to make the inventions covered by each of our pending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might not have been the first to file patent applications for these inventions.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products and technologies or duplicate any of our products and technologies.</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not develop additional proprietary products and technologies that are patentable.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patents of others may have an adverse effect on our business.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apply for patents covering our products and technologies and uses thereof, as we deem appropriate. However, we may fail to apply for patents on important products and technologies in a timely fashion or at all.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depend on certain technologies that are licensed to us. We do not control these technologies and any loss of our rights to them could prevent us from selling our products.</w:t>
      </w:r>
    </w:p>
    <w:p>
      <w:pPr>
        <w:spacing w:after="0" w:line="11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these technologies and employ the inventions claimed in the licensed patents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Enforcement of our licensed patents or defense or any claims asserting the invalidity of these patents is often subject to the control or cooperation of our licensors. 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67"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are subject to certain U.S. government regulations because we have licensed technologies that were developed with U.S. government grants. In accordance with these regulations, these licenses provide that products embodying the technologies will be manufactured substantially in the United States.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As of June 28, 2008, most of the instrumentation components of our IFC systems were manufactured in the United States and all commercial IFC components were manufactured in Singapore, though this division of manufacturing activities could change in the future. All of our IFC system revenue is dependent upon the availability of IFCs, which incorporate technology developed with U.S. government grants. As there is limited judicial or administrative guidance with respect to the interpretation or application of the U.S. manufacturing requirement, we are uncertain as to whether the current division of manufacturing for our IFC systems is in compliance with the requirement. The federal regulations allow the funding government agency to grant, at the request of the licensors of such technology, a waiver of the domestic manufacturing requirement. Waivers may be requested prior to any government notification. We are assisting the licensors of these technologies with the analysis of the domestic manufacturing requirement, and we believe that at least one of our licensors will be requesting a</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waiver with our assistance. If it were to be determined that we are in violation of the domestic manufacturing requirement and a waiver of such requirement was either not requested or not granted, then the U.S. government could exercise its march-in rights. In addition, these licenses contain provisions relating to compliance with this domestic manufacturing requirement. If it were to be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and proprietary rights and to determine the scope, coverage and validity of others’ proprietary rights.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Litigation may be necessary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and re-examination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and opposition proceedings against our patents. The outcome of any litigation or interference proceeding might not be favorable to us, and we might not be able to obtain licenses to technology that we require. Even if such licenses are obtainable, they may not be available at a reasonable cost.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For example, on June 4, 2008 we received a letter from Applied Biosystems, Inc., one of our competitors, asserting that our BioMark System for gene expression analysis infringes upon U.S. Patent No. 6,814,934, or the ’934 patent, and its foreign counterparts in Europe and Canada, owned by Applied Biosystems’ parent company, Applera Corporation. In response to this letter, we filed suit against Applied Biosystems and Applera in federal district court in the Southern District of New York seeking declaratory judgments of non-infringement and invalidity of the ’934 patent. In response to our action, Applied Biosystems and Applera may file suit against us in this and other jurisdictions asserting that our products infringe the ’934 patent or other proprietary rights held by them, or they may seek to dismiss or move our suit. Applied Biosystems has recently announced that it expects to be acquired by Invitrogen Corporation. This may make it more difficult for us to predict the direction of discussions and litigation among the parties.</w:t>
      </w:r>
    </w:p>
    <w:p>
      <w:pPr>
        <w:spacing w:after="0" w:line="59"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We have entered into an agreement with Applied Biosystems that provides for a stay of our proceedings against Applied Biosystems and Applera and provides further that neither party may initiate or expressly threaten to initiate any further patent litigation proceedings against the other during the term of the agreement. Either party may terminate the agreement and request that the stay be lifted anytime after September 20, 2008 by providing seven business days prior written notice to the other. The deadline for Applied Biosystems and Applera to respond to our complaint is extended to 14 calendar days after the lifting of the stay. If the agreement is not terminated sooner by one or both of the parties, the agreement will terminate on December 15, 2008.</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Litigation, other proceedings or third party claims of intellectual property infringement could require us to spend significant time and money and could prevent us from selling our products or services or impact our stock price.</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commercial success may depend in part on our non-infringement of the patents or proprietary rights of third parties. Applied Biosystems, one of our competitors, has asserted that our BioMark System for gene expression analysis infringes upon Applera’s ’934 patent, and we have filed suit against Applied Biosystems and Applera seeking declaratory judgments of non-infringement and invalidity of the Applera patent. Other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For example, numerous significant intellectual property issues have been litigated between existing and new participants in the PCR market, including litigation initiated by Applied Biosystems, Inc. In addition, our competitors and others may have patents or may in the future obtain patents and claim that use of our products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Patent infringement suits can be expensive, lengthy and disruptive to business operations. We could incur substantial costs and divert the attention of our management and technical personnel in prosecuting or defending against any claims. There can be no assurance that we will prevail in our suit against Applied Biosystems and Applera in our defense of any claims brought against us by Applied Biosystems or Applera or in any other suit initiated against us by third parties. If we do not prevail in our suit against Applied Biosystems and Applera and we are unable to secure any required licenses from such parties, we could be precluded from selling our BioMark products, which comprised 43% of our total product revenue in 2007 and 61% of our total product revenue for the six months ended June 28, 2008.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 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61"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may be subject to damages resulting from claims that we or our employees have wrongfully used or disclosed alleged trade secrets of our employees’ former employers.</w:t>
      </w:r>
    </w:p>
    <w:p>
      <w:pPr>
        <w:spacing w:after="0" w:line="11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Many of our employees were previously employed at universities or other life science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 and this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expect that our stock price will fluctuate significantly, and you may not be able to resell your shares at or above the initial public offering price.</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59"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actual or anticipated quarterly variation in our results of operations or the results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announcements by us or our competitors of new commercial products, significant contracts, commercial relationships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 for our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commencement of, or our involvement 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market conditions in the life science sector;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any major change in our Board or management;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general economic conditions and slow or negative growth of our markets.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trading market for our common stock will rely in part on the research and reports that equity research analysts publish about us and our business. We do not control these analysts or the content and opinions included in their reports. Securities analysts may elect not to provide research coverage of our common stock after the completion of this offering, and such lack of research coverage may adversely affect the market price of our common stock. The price of our stock could decline if one or more equity research analysts downgrade our stock or if those analysts issue other unfavorable commentary or cease publishing reports about us or our business. If one or more equity research analysts ceases coverage of our company, we could lose visibility in the market, which in turn could cause our stock price to decline.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Purchasers in this offering will experience immediate and substantial dilution in the book value of their investment.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$11.18 in net tangible book value per share as of June 28, 2008 from the price you paid, based on an assumed initial public offering price of $15.00 per share, the mid-point of the range set forth on the cover page of this prospectus. In addition, new investors who purchase shares in this offering will contribute approximately 32% of the total amount of equity capital raised by us through the date of this offering, but will only own approximately 21% of the outstanding share capital and approximately 21% of the voting rights. The exercise of outstanding options and warrants will result in further dilution. For a further description of the dilution that you will experience immediately after this offering, see “Dilution.”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Future sales of shares by existing stockholders could cause our stock price to decline.</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June 28, 2008, upon completion of this offering, we will have outstanding a total of 24,790,535 shares of common stock, assuming no exercise of the underwriters’ over-allotment option. Of these shares, only the 5,300,000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June 28, 2008, up to an additional 19,490,535 shares of common stock will be eligible for sale in the public market, 5,849,026 of which are held by directors and executive officers and will be subject to volume limitations under Rule 144 under the Securities Act and various vesting agreements. In addition, 2,373,978 shares of common stock</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that are subject to outstanding options as of June 28, 2008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executive officers, directors and their affiliates will beneficially own or control approximately 22.79% of the outstanding shares of our common stock, following the completion of this offering.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6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58"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provide that our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directors;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broad discretion in the use of the net proceeds from this offering and may not use them effectively.</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60"/>
          </w:cols>
          <w:pgMar w:left="220" w:top="343" w:right="13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5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We estimate that the net proceeds from the sale of 5,300,000 shares of our common stock that we are selling in this offering will be $70.8 million, based on an assumed initial public offering price of $15.00 per share, the midpoint of the range set forth on the cover page of this prospectus, after deducting estimated underwriting discounts and commissions and estimated offering expenses payable by us. A $1.00 increase (decrease) in the assumed initial public offering price would increase (decrease) the net proceeds to us by $4.9 million, after deducting 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 the net proceeds to us by $14.0 million. Similarly, a decrease of 1.0 million shares in the number of shares offered by us would decrease the net proceeds to us by $14.0 million. If the underwriters’ over-allotment option is exercised in full, we estimate that we will receive net proceeds of $81.9 million.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net proceeds that we will receive from this offering, we expect to use approximately:</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$26.0 million for sales and marketing initiatives, including significantly expanding our sales force, to support the ongoing commercialization of our products;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$16.0 million for research and product development activities;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$2.0 million to expand our facilities and manufacturing operations;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balance for working capital and other general corporate purposes.</w:t>
      </w:r>
    </w:p>
    <w:p>
      <w:pPr>
        <w:spacing w:after="0" w:line="96" w:lineRule="exact"/>
        <w:rPr>
          <w:sz w:val="20"/>
          <w:szCs w:val="20"/>
          <w:color w:val="auto"/>
        </w:rPr>
      </w:pPr>
    </w:p>
    <w:p>
      <w:pPr>
        <w:ind w:left="680" w:right="520" w:firstLine="399"/>
        <w:spacing w:after="0" w:line="264" w:lineRule="auto"/>
        <w:rPr>
          <w:sz w:val="20"/>
          <w:szCs w:val="20"/>
          <w:color w:val="auto"/>
        </w:rPr>
      </w:pPr>
      <w:r>
        <w:rPr>
          <w:rFonts w:ascii="Arial" w:cs="Arial" w:eastAsia="Arial" w:hAnsi="Arial"/>
          <w:sz w:val="13"/>
          <w:szCs w:val="13"/>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June 28, 2008:</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56" w:lineRule="exact"/>
        <w:rPr>
          <w:rFonts w:ascii="Arial" w:cs="Arial" w:eastAsia="Arial" w:hAnsi="Arial"/>
          <w:sz w:val="13"/>
          <w:szCs w:val="13"/>
          <w:color w:val="auto"/>
        </w:rPr>
      </w:pPr>
    </w:p>
    <w:p>
      <w:pPr>
        <w:jc w:val="both"/>
        <w:ind w:left="1280" w:right="260" w:hanging="190"/>
        <w:spacing w:after="0" w:line="264"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a pro forma basis to give effect to (1) the conversion of all outstanding shares of convertible preferred stock into common stock pursuant to an action by written consent to such conversion we have obtained from the holders of our preferred stock and (2) the reclassification of the convertible preferred stock warrant liabilities to additional paid-in capital, each effective upon the closing of this offering; and</w:t>
      </w:r>
    </w:p>
    <w:p>
      <w:pPr>
        <w:spacing w:after="0" w:line="27" w:lineRule="exact"/>
        <w:rPr>
          <w:rFonts w:ascii="Arial" w:cs="Arial" w:eastAsia="Arial" w:hAnsi="Arial"/>
          <w:sz w:val="13"/>
          <w:szCs w:val="13"/>
          <w:color w:val="auto"/>
        </w:rPr>
      </w:pPr>
    </w:p>
    <w:p>
      <w:pPr>
        <w:jc w:val="both"/>
        <w:ind w:left="1280" w:right="200" w:hanging="190"/>
        <w:spacing w:after="0" w:line="296" w:lineRule="auto"/>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on a pro forma as adjusted basis to also give effect to the pro forma conversions and reclassifications described above and the sale of 5,300,000 shares of our common stock in this offering and the application of the net proceeds at the assumed initial public offering price of $15.00 per share, the midpoint of the range set forth on the cover page of this prospectus, after deducting estimated underwriting discounts and commissions and estimated offering expenses payable by us.</w:t>
      </w:r>
    </w:p>
    <w:p>
      <w:pPr>
        <w:spacing w:after="0" w:line="1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As of June 28, 2008</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100" w:type="dxa"/>
            <w:vAlign w:val="bottom"/>
          </w:tcPr>
          <w:p>
            <w:pPr>
              <w:spacing w:after="0"/>
              <w:rPr>
                <w:sz w:val="7"/>
                <w:szCs w:val="7"/>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5"/>
              </w:rPr>
              <w:t>Pro Forma</w:t>
            </w:r>
          </w:p>
        </w:tc>
        <w:tc>
          <w:tcPr>
            <w:tcW w:w="100" w:type="dxa"/>
            <w:vAlign w:val="bottom"/>
          </w:tcPr>
          <w:p>
            <w:pPr>
              <w:spacing w:after="0"/>
              <w:rPr>
                <w:sz w:val="7"/>
                <w:szCs w:val="7"/>
                <w:color w:val="auto"/>
              </w:rPr>
            </w:pPr>
          </w:p>
        </w:tc>
        <w:tc>
          <w:tcPr>
            <w:tcW w:w="780" w:type="dxa"/>
            <w:vAlign w:val="bottom"/>
          </w:tcPr>
          <w:p>
            <w:pPr>
              <w:jc w:val="right"/>
              <w:ind w:right="137"/>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(unaudited)</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gridSpan w:val="8"/>
          </w:tcPr>
          <w:p>
            <w:pPr>
              <w:jc w:val="right"/>
              <w:ind w:right="720"/>
              <w:spacing w:after="0"/>
              <w:rPr>
                <w:sz w:val="20"/>
                <w:szCs w:val="20"/>
                <w:color w:val="auto"/>
              </w:rPr>
            </w:pPr>
            <w:r>
              <w:rPr>
                <w:rFonts w:ascii="Arial" w:cs="Arial" w:eastAsia="Arial" w:hAnsi="Arial"/>
                <w:sz w:val="10"/>
                <w:szCs w:val="10"/>
                <w:b w:val="1"/>
                <w:bCs w:val="1"/>
                <w:color w:val="auto"/>
              </w:rPr>
              <w:t>(in thousands, except per share amounts)</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10,477</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10,477</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Convertible preferred stock warrant liabilities</w:t>
            </w: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8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Convertible preferred stock issuable in series, $0.001 par value: 17,655 shares authorized, 16,626 shares issued and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outstanding (actual); no shares authorized, issued or outstanding (pro forma and pro forma as adjusted)</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167,538</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Stockholders’ equity (deficit):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3"/>
                <w:szCs w:val="13"/>
                <w:color w:val="auto"/>
                <w:w w:val="94"/>
              </w:rPr>
              <w:t>Common stock, $0.001 par value: 24,967 shares authorized, 2,858 shares issued and outstanding (actual); 24,967 shares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6"/>
              </w:rPr>
              <w:t>authorized, 19,484 shares issued and outstanding (pro forma); 300,000 shares authorized, 24,784 shares issued and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outstanding (pro forma as adjusted)</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8"/>
        </w:trPr>
        <w:tc>
          <w:tcPr>
            <w:tcW w:w="6800" w:type="dxa"/>
            <w:vAlign w:val="bottom"/>
            <w:gridSpan w:val="2"/>
          </w:tcPr>
          <w:p>
            <w:pPr>
              <w:ind w:left="140"/>
              <w:spacing w:after="0" w:line="149" w:lineRule="exact"/>
              <w:rPr>
                <w:sz w:val="20"/>
                <w:szCs w:val="20"/>
                <w:color w:val="auto"/>
              </w:rPr>
            </w:pPr>
            <w:r>
              <w:rPr>
                <w:rFonts w:ascii="Arial" w:cs="Arial" w:eastAsia="Arial" w:hAnsi="Arial"/>
                <w:sz w:val="13"/>
                <w:szCs w:val="13"/>
                <w:color w:val="auto"/>
                <w:w w:val="98"/>
              </w:rPr>
              <w:t>Preferred stock, $0.001 par value: no shares authorized, issued or outstanding (actual and pro forma); 20,000 shares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0" w:type="dxa"/>
            <w:vAlign w:val="bottom"/>
            <w:gridSpan w:val="2"/>
          </w:tcPr>
          <w:p>
            <w:pPr>
              <w:ind w:left="280"/>
              <w:spacing w:after="0"/>
              <w:rPr>
                <w:sz w:val="20"/>
                <w:szCs w:val="20"/>
                <w:color w:val="auto"/>
              </w:rPr>
            </w:pPr>
            <w:r>
              <w:rPr>
                <w:rFonts w:ascii="Arial" w:cs="Arial" w:eastAsia="Arial" w:hAnsi="Arial"/>
                <w:sz w:val="13"/>
                <w:szCs w:val="13"/>
                <w:color w:val="auto"/>
              </w:rPr>
              <w:t>authorized, no shares issued or outstanding (pro forma as adjusted)</w:t>
            </w: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173,181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244,010</w:t>
            </w:r>
          </w:p>
        </w:tc>
        <w:tc>
          <w:tcPr>
            <w:tcW w:w="0" w:type="dxa"/>
            <w:vAlign w:val="bottom"/>
          </w:tcPr>
          <w:p>
            <w:pPr>
              <w:spacing w:after="0"/>
              <w:rPr>
                <w:sz w:val="1"/>
                <w:szCs w:val="1"/>
                <w:color w:val="auto"/>
              </w:rPr>
            </w:pPr>
          </w:p>
        </w:tc>
      </w:tr>
      <w:tr>
        <w:trPr>
          <w:trHeight w:val="157"/>
        </w:trPr>
        <w:tc>
          <w:tcPr>
            <w:tcW w:w="6800" w:type="dxa"/>
            <w:vAlign w:val="bottom"/>
            <w:gridSpan w:val="2"/>
          </w:tcPr>
          <w:p>
            <w:pPr>
              <w:ind w:left="140"/>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(149,060)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(149,060)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(149,060)</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(1)</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(144,908)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23,899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94,734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capitalization</w:t>
            </w:r>
            <w:r>
              <w:rPr>
                <w:rFonts w:ascii="Arial" w:cs="Arial" w:eastAsia="Arial" w:hAnsi="Arial"/>
                <w:sz w:val="11"/>
                <w:szCs w:val="11"/>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34,376</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105,211</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00" w:right="20" w:hanging="213"/>
        <w:spacing w:after="0" w:line="233" w:lineRule="auto"/>
        <w:tabs>
          <w:tab w:leader="none" w:pos="900" w:val="left"/>
        </w:tabs>
        <w:numPr>
          <w:ilvl w:val="0"/>
          <w:numId w:val="26"/>
        </w:numPr>
        <w:rPr>
          <w:rFonts w:ascii="Arial" w:cs="Arial" w:eastAsia="Arial" w:hAnsi="Arial"/>
          <w:sz w:val="10"/>
          <w:szCs w:val="10"/>
          <w:color w:val="auto"/>
        </w:rPr>
      </w:pPr>
      <w:r>
        <w:rPr>
          <w:rFonts w:ascii="Arial" w:cs="Arial" w:eastAsia="Arial" w:hAnsi="Arial"/>
          <w:sz w:val="10"/>
          <w:szCs w:val="10"/>
          <w:color w:val="auto"/>
        </w:rPr>
        <w:t>A $1.00 increase (decrease) in the assumed initial public offering price of $15.00 per share, the midpoint of the range set forth on the cover page of this prospectus, would increase (decrease) each of additional paid-in capital, total stockholders’ equity and total capitalization by $4.9 million,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together with a $1.00 increase in the assumed offering price of $15.00 per share, would increase additional paid-in capital, total stockholders’ equity and total capitalization by approximately $19.8 million. Similarly, each decrease of 1.0 million shares in the number of shares offered by us, together with a $1.00 decrease in the assumed offering price of $15.00 per share, would decrease additional paid-in capital, total stockholders’ equity and total capitalization by approximately $17.9 million. The pro forma as adjusted information discussed above is illustrative only and will be adjusted based on the actual public offering price and terms of this offering determined at pricing.</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2,373,978 shares of common stock issuable upon exercise of options outstanding as of June 28, 2008 at a weighted average exercise price of $5.44 per share;</w:t>
      </w:r>
    </w:p>
    <w:p>
      <w:pPr>
        <w:spacing w:after="0" w:line="9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216,409 shares of common stock issuable upon the exercise of warrants outstanding as of June 28, 2008 at a weighted average exercise price of $11.41 per share, after conversion of our convertible preferred stock;</w:t>
      </w:r>
    </w:p>
    <w:p>
      <w:pPr>
        <w:spacing w:after="0" w:line="5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2,601,584 shares of common stock reserved for future issuance under our stock-based compensation plans, including 2,000,000 shares of common stock reserved for issuance under our 2008 Equity Incentive Plan, and any future increase in shares reserved for issuance under such plan, each of which will become effective on the date of this prospectus; and</w:t>
      </w:r>
    </w:p>
    <w:p>
      <w:pPr>
        <w:spacing w:after="0" w:line="6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6,785 shares of common stock that were legally issued and outstanding but were not included in stockholders’ deficit as of June 28, 2008 pursuant to accounting principles generally accepted in the United States, as these shares were subject to a right of repurchase by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59"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Our pro forma net tangible book value as of June 28, 2008 in the amount of $23.9 million, or $1.23 per share, was based on the total number of shares of our common stock outstanding as of June 28, 2008, after giving effect to (1) the conversion of all outstanding shares of our convertible preferred stock into common stock and (2) the reclassification of the convertible preferred stock warrant liabilities to additional paid-in capital, each effective upon the closing of this offering.</w:t>
      </w:r>
    </w:p>
    <w:p>
      <w:pPr>
        <w:spacing w:after="0" w:line="67"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After giving effect to our sale of 5,300,000 shares of common stock in this offering at an assumed initial public offering price of $15.00 per share, the midpoint of the range set forth on the cover page of this prospectus, and after deducting the estimated underwriting discounts and commissions and estimated offering expenses, our pro forma as adjusted net tangible book value as of June 28, 2008 would have been $94.7 million, or $3.82 per share. This represents an immediate increase in net tangible book value of $2.59 per share to existing stockholders and an immediate dilution in net tangible book value of $11.18 per share to purchasers of common stock in this offering, as illustrated in the following table:</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18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w:t>
            </w:r>
          </w:p>
        </w:tc>
      </w:tr>
      <w:tr>
        <w:trPr>
          <w:trHeight w:val="157"/>
        </w:trPr>
        <w:tc>
          <w:tcPr>
            <w:tcW w:w="6880" w:type="dxa"/>
            <w:vAlign w:val="bottom"/>
          </w:tcPr>
          <w:p>
            <w:pPr>
              <w:ind w:left="140"/>
              <w:spacing w:after="0"/>
              <w:rPr>
                <w:sz w:val="20"/>
                <w:szCs w:val="20"/>
                <w:color w:val="auto"/>
              </w:rPr>
            </w:pPr>
            <w:r>
              <w:rPr>
                <w:rFonts w:ascii="Arial" w:cs="Arial" w:eastAsia="Arial" w:hAnsi="Arial"/>
                <w:sz w:val="13"/>
                <w:szCs w:val="13"/>
                <w:color w:val="auto"/>
              </w:rPr>
              <w:t>Pro forma net tangible book value per share as of June 28, 2008</w:t>
            </w: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4"/>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in pro forma as adjusted net tangible book value per share attributable to new investors</w:t>
            </w:r>
          </w:p>
        </w:tc>
        <w:tc>
          <w:tcPr>
            <w:tcW w:w="18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80" w:type="dxa"/>
            <w:vAlign w:val="bottom"/>
          </w:tcPr>
          <w:p>
            <w:pPr>
              <w:spacing w:after="0"/>
              <w:rPr>
                <w:sz w:val="20"/>
                <w:szCs w:val="20"/>
                <w:color w:val="auto"/>
              </w:rPr>
            </w:pPr>
            <w:r>
              <w:rPr>
                <w:rFonts w:ascii="Arial" w:cs="Arial" w:eastAsia="Arial" w:hAnsi="Arial"/>
                <w:sz w:val="13"/>
                <w:szCs w:val="13"/>
                <w:color w:val="auto"/>
              </w:rPr>
              <w:t>Pro forma as adjusted net tangible book value per share after this offering</w:t>
            </w:r>
          </w:p>
        </w:tc>
        <w:tc>
          <w:tcPr>
            <w:tcW w:w="1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r>
      <w:tr>
        <w:trPr>
          <w:trHeight w:val="20"/>
        </w:trPr>
        <w:tc>
          <w:tcPr>
            <w:tcW w:w="6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80" w:type="dxa"/>
            <w:vAlign w:val="bottom"/>
            <w:shd w:val="clear" w:color="auto" w:fill="CCEEFF"/>
          </w:tcPr>
          <w:p>
            <w:pPr>
              <w:spacing w:after="0"/>
              <w:rPr>
                <w:sz w:val="20"/>
                <w:szCs w:val="20"/>
                <w:color w:val="auto"/>
              </w:rPr>
            </w:pPr>
            <w:r>
              <w:rPr>
                <w:rFonts w:ascii="Arial" w:cs="Arial" w:eastAsia="Arial" w:hAnsi="Arial"/>
                <w:sz w:val="13"/>
                <w:szCs w:val="13"/>
                <w:color w:val="auto"/>
              </w:rPr>
              <w:t>Pro forma dilution per share to new investors in this offering</w:t>
            </w:r>
          </w:p>
        </w:tc>
        <w:tc>
          <w:tcPr>
            <w:tcW w:w="18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11.18</w:t>
            </w:r>
          </w:p>
        </w:tc>
      </w:tr>
    </w:tbl>
    <w:p>
      <w:pPr>
        <w:spacing w:after="0" w:line="80"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Each $1.00 increase (decrease) in the assumed public offering price of $15.00 per share, the midpoint of the range set forth on the cover of this prospectus, would increase (decrease) our pro forma as adjusted net tangible book value by approximately $4.9 million, or approximately $0.20 per share, and the pro forma dilution per share to investors in this offering by approximately $0.80 per share, 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of 1.0 million shares in the number of shares offered by us, together with a $1.00 increase in the assumed offering price of $15.00 per share, would result in a pro forma as adjusted net tangible book value of approximately $114.5 million, or $4.44 per share, and the pro forma dilution per share to investors in this offering would be $11.56 per share. Similarly, a decrease of 1.0 million shares in the number of shares offered by us, together with a $1.00 decrease in the assumed public offering price of $15.00 per share, would result in an pro forma as adjusted net tangible book value of approximately $76.8 million, or $3.23 per share, and the pro forma dilution per share to investors in this offering would be $10.77 per share. The pro forma as adjusted information discussed above is illustrative only and will be adjusted based on the actual public offering price and other terms of this offering determined at pricing.</w:t>
      </w:r>
    </w:p>
    <w:p>
      <w:pPr>
        <w:spacing w:after="0" w:line="6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If the underwriters’ over-allotment option is exercised in full, the pro forma as adjusted net tangible book value per share after this offering would be $4.14 per share, the increase in pro forma as adjusted net tangible book value per share to existing stockholders would be $2.91 per share and the dilution to new investors purchasing shares in this offering would be $10.86 per share.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right="240" w:firstLine="399"/>
        <w:spacing w:after="0" w:line="258" w:lineRule="auto"/>
        <w:rPr>
          <w:sz w:val="20"/>
          <w:szCs w:val="20"/>
          <w:color w:val="auto"/>
        </w:rPr>
      </w:pPr>
      <w:r>
        <w:rPr>
          <w:rFonts w:ascii="Arial" w:cs="Arial" w:eastAsia="Arial" w:hAnsi="Arial"/>
          <w:sz w:val="13"/>
          <w:szCs w:val="13"/>
          <w:color w:val="auto"/>
        </w:rPr>
        <w:t>The following table presents on a pro forma as adjusted basis as of June 28, 2008, after giving effect to the automatic conversion of all outstanding shares of convertible preferred stock into common stock,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0"/>
                <w:szCs w:val="10"/>
                <w:b w:val="1"/>
                <w:bCs w:val="1"/>
                <w:color w:val="auto"/>
              </w:rPr>
              <w:t>Shares Purchased</w:t>
            </w:r>
          </w:p>
        </w:tc>
        <w:tc>
          <w:tcPr>
            <w:tcW w:w="120" w:type="dxa"/>
            <w:vAlign w:val="bottom"/>
          </w:tcPr>
          <w:p>
            <w:pPr>
              <w:spacing w:after="0"/>
              <w:rPr>
                <w:sz w:val="10"/>
                <w:szCs w:val="10"/>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8"/>
              </w:rPr>
              <w:t>Average Price</w:t>
            </w:r>
          </w:p>
        </w:tc>
      </w:tr>
      <w:tr>
        <w:trPr>
          <w:trHeight w:val="98"/>
        </w:trPr>
        <w:tc>
          <w:tcPr>
            <w:tcW w:w="10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900" w:type="dxa"/>
            <w:vAlign w:val="bottom"/>
            <w:tcBorders>
              <w:top w:val="single" w:sz="8" w:color="auto"/>
            </w:tcBorders>
            <w:gridSpan w:val="2"/>
          </w:tcPr>
          <w:p>
            <w:pPr>
              <w:jc w:val="right"/>
              <w:ind w:right="46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50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360"/>
              <w:spacing w:after="0" w:line="98" w:lineRule="exact"/>
              <w:rPr>
                <w:sz w:val="20"/>
                <w:szCs w:val="20"/>
                <w:color w:val="auto"/>
              </w:rPr>
            </w:pPr>
            <w:r>
              <w:rPr>
                <w:rFonts w:ascii="Arial" w:cs="Arial" w:eastAsia="Arial" w:hAnsi="Arial"/>
                <w:sz w:val="10"/>
                <w:szCs w:val="10"/>
                <w:b w:val="1"/>
                <w:bCs w:val="1"/>
                <w:color w:val="auto"/>
              </w:rPr>
              <w:t>Per Share</w:t>
            </w:r>
          </w:p>
        </w:tc>
      </w:tr>
      <w:tr>
        <w:trPr>
          <w:trHeight w:val="29"/>
        </w:trPr>
        <w:tc>
          <w:tcPr>
            <w:tcW w:w="1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19,484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170,570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8.75</w:t>
            </w: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New investors</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5,300</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79,500</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31.8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15.00</w:t>
            </w:r>
          </w:p>
        </w:tc>
      </w:tr>
      <w:tr>
        <w:trPr>
          <w:trHeight w:val="20"/>
        </w:trPr>
        <w:tc>
          <w:tcPr>
            <w:tcW w:w="1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24,784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250,070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right="60" w:hanging="207"/>
        <w:spacing w:after="0" w:line="235" w:lineRule="auto"/>
        <w:tabs>
          <w:tab w:leader="none" w:pos="900" w:val="left"/>
        </w:tabs>
        <w:numPr>
          <w:ilvl w:val="0"/>
          <w:numId w:val="28"/>
        </w:numPr>
        <w:rPr>
          <w:rFonts w:ascii="Arial" w:cs="Arial" w:eastAsia="Arial" w:hAnsi="Arial"/>
          <w:sz w:val="10"/>
          <w:szCs w:val="10"/>
          <w:color w:val="auto"/>
        </w:rPr>
      </w:pPr>
      <w:r>
        <w:rPr>
          <w:rFonts w:ascii="Arial" w:cs="Arial" w:eastAsia="Arial" w:hAnsi="Arial"/>
          <w:sz w:val="10"/>
          <w:szCs w:val="10"/>
          <w:color w:val="auto"/>
        </w:rPr>
        <w:t>Each $1.00 increase (decrease) in the assumed initial public offering price of $15.00 per share, the midpoint of the range set forth on the cover page of this prospectus, would increase (decrease) the total consideration paid to us by new investors and total consideration paid to us by all stockholders by $5.3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stockholders by $15.0 million. Similarly, a decrease of 1.0 million shares in the number of shares offered by us would decrease the total consideration paid to us by new investors and total consideration paid to us by all stockholders by $15.0 million.</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If the underwriters exercise their over-allotment option in full, our existing stockholders would own 76.2% and our new investors would own 23.8% of the total number of shares of our common stock outstanding after this offering.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2,373,978 shares of common stock issuable upon exercise of options outstanding as of June 28, 2008 at a weighted average exercise price of $5.44 per share;</w:t>
      </w:r>
    </w:p>
    <w:p>
      <w:pPr>
        <w:spacing w:after="0" w:line="9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216,409 shares of common stock issuable upon the exercise of warrants outstanding as of June 28, 2008 at a weighted average exercise price of $11.41 per share, after conversion of our convertible preferred stock;</w:t>
      </w:r>
    </w:p>
    <w:p>
      <w:pPr>
        <w:spacing w:after="0" w:line="5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2,601,584 shares of common stock reserved for future issuance under our stock-based compensation plans, including 2,000,000 shares of common stock reserved for issuance under our 2008 Equity Incentive Plan, and any future increase in shares reserved for issuance under such plan, each of which will become effective on the date of this prospectus; and</w:t>
      </w:r>
    </w:p>
    <w:p>
      <w:pPr>
        <w:spacing w:after="0" w:line="66"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6,785 shares of common stock that were legally issued and outstanding but were not included in stockholders’ deficit as of June 28, 2008 pursuant to accounting principles generally accepted in the United States, as these shares were subject to a right of repurchase by us.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SELECTED CONSOLIDATED FINANCIAL DATA</w:t>
      </w:r>
    </w:p>
    <w:p>
      <w:pPr>
        <w:spacing w:after="0" w:line="81"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We have derived the selected consolidated statement of operations data for the years ended December 31, 2005, December 31, 2006 and December 29, 2007 and the selected consolidated balance sheet data as of December 31, 2006 and December 29, 2007 from our audited consolidated financial statements included elsewhere in this prospectus. We have derived the summary consolidated statement of operations data for the six months ended June 30, 2007 and June 28, 2008 and the consolidated balance sheet data as of June 28, 2008 from our unaudited consolidated financial statements included elsewhere in this prospectus. We have derived the selected consolidated statement of operations data for the years ended December 31, 2003 and 2004 and the selected consolidated balance sheet data as of December 31, 2003, 2004 and 2005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2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jc w:val="right"/>
              <w:ind w:right="278"/>
              <w:spacing w:after="0"/>
              <w:rPr>
                <w:sz w:val="20"/>
                <w:szCs w:val="20"/>
                <w:color w:val="auto"/>
              </w:rPr>
            </w:pPr>
            <w:r>
              <w:rPr>
                <w:rFonts w:ascii="Arial" w:cs="Arial" w:eastAsia="Arial" w:hAnsi="Arial"/>
                <w:sz w:val="9"/>
                <w:szCs w:val="9"/>
                <w:b w:val="1"/>
                <w:bCs w:val="1"/>
                <w:color w:val="auto"/>
              </w:rPr>
              <w:t>Six Months Ended</w:t>
            </w:r>
          </w:p>
        </w:tc>
        <w:tc>
          <w:tcPr>
            <w:tcW w:w="0" w:type="dxa"/>
            <w:vAlign w:val="bottom"/>
          </w:tcPr>
          <w:p>
            <w:pPr>
              <w:spacing w:after="0"/>
              <w:rPr>
                <w:sz w:val="1"/>
                <w:szCs w:val="1"/>
                <w:color w:val="auto"/>
              </w:rPr>
            </w:pPr>
          </w:p>
        </w:tc>
      </w:tr>
      <w:tr>
        <w:trPr>
          <w:trHeight w:val="75"/>
        </w:trPr>
        <w:tc>
          <w:tcPr>
            <w:tcW w:w="10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3"/>
          </w:tcPr>
          <w:p>
            <w:pPr>
              <w:jc w:val="right"/>
              <w:ind w:right="36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right"/>
              <w:ind w:right="69"/>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2"/>
          </w:tcPr>
          <w:p>
            <w:pPr>
              <w:jc w:val="right"/>
              <w:ind w:right="238"/>
              <w:spacing w:after="0" w:line="75"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ind w:right="29"/>
              <w:spacing w:after="0" w:line="75" w:lineRule="exact"/>
              <w:rPr>
                <w:sz w:val="20"/>
                <w:szCs w:val="20"/>
                <w:color w:val="auto"/>
              </w:rPr>
            </w:pPr>
            <w:r>
              <w:rPr>
                <w:rFonts w:ascii="Arial" w:cs="Arial" w:eastAsia="Arial" w:hAnsi="Arial"/>
                <w:sz w:val="8"/>
                <w:szCs w:val="8"/>
                <w:b w:val="1"/>
                <w:bCs w:val="1"/>
                <w:color w:val="auto"/>
                <w:w w:val="99"/>
              </w:rPr>
              <w:t>June 28,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89"/>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restart"/>
          </w:tcPr>
          <w:p>
            <w:pPr>
              <w:jc w:val="right"/>
              <w:ind w:right="120"/>
              <w:spacing w:after="0"/>
              <w:rPr>
                <w:sz w:val="20"/>
                <w:szCs w:val="20"/>
                <w:color w:val="auto"/>
              </w:rPr>
            </w:pPr>
            <w:r>
              <w:rPr>
                <w:rFonts w:ascii="Arial" w:cs="Arial" w:eastAsia="Arial" w:hAnsi="Arial"/>
                <w:sz w:val="9"/>
                <w:szCs w:val="9"/>
                <w:b w:val="1"/>
                <w:bCs w:val="1"/>
                <w:color w:val="auto"/>
                <w:w w:val="98"/>
              </w:rPr>
              <w:t>(in thousands, except per share amounts)</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jc w:val="right"/>
              <w:ind w:right="398"/>
              <w:spacing w:after="0"/>
              <w:rPr>
                <w:sz w:val="20"/>
                <w:szCs w:val="20"/>
                <w:color w:val="auto"/>
              </w:rPr>
            </w:pPr>
            <w:r>
              <w:rPr>
                <w:rFonts w:ascii="Arial" w:cs="Arial" w:eastAsia="Arial" w:hAnsi="Arial"/>
                <w:sz w:val="9"/>
                <w:szCs w:val="9"/>
                <w:b w:val="1"/>
                <w:bCs w:val="1"/>
                <w:color w:val="auto"/>
              </w:rPr>
              <w:t>(Unaudited)</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Statement of Operations Data:</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Revenue: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Product revenue</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3,133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4,603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3,959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4,451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1,489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4,382</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Collaboration revenue</w:t>
            </w:r>
          </w:p>
        </w:tc>
        <w:tc>
          <w:tcPr>
            <w:tcW w:w="100" w:type="dxa"/>
            <w:vAlign w:val="bottom"/>
          </w:tcPr>
          <w:p>
            <w:pPr>
              <w:spacing w:after="0"/>
              <w:rPr>
                <w:sz w:val="9"/>
                <w:szCs w:val="9"/>
                <w:color w:val="auto"/>
              </w:rPr>
            </w:pPr>
          </w:p>
        </w:tc>
        <w:tc>
          <w:tcPr>
            <w:tcW w:w="9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366</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1,568</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460</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310</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Grant revenue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2,364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1,198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1,068</w:t>
            </w: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revenue</w:t>
            </w: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3,133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5,039</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7,674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6,398</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7,275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2,997</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Cost of product revenue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1,918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3,362</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4,764</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2,773</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3,514</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1,490</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2,988</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Research and development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11,218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9,608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11,449</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15,589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14,389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7,053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7,151</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1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7,263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8,690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7,955</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9,699</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12,898</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6,183</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9,843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20,399</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21,660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24,168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28,061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30,801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14,726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19,982</w:t>
            </w:r>
          </w:p>
        </w:tc>
        <w:tc>
          <w:tcPr>
            <w:tcW w:w="0" w:type="dxa"/>
            <w:vAlign w:val="bottom"/>
          </w:tcPr>
          <w:p>
            <w:pPr>
              <w:spacing w:after="0"/>
              <w:rPr>
                <w:sz w:val="1"/>
                <w:szCs w:val="1"/>
                <w:color w:val="auto"/>
              </w:rPr>
            </w:pPr>
          </w:p>
        </w:tc>
      </w:tr>
      <w:tr>
        <w:trPr>
          <w:trHeight w:val="108"/>
        </w:trPr>
        <w:tc>
          <w:tcPr>
            <w:tcW w:w="37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Loss from operations</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(17,266)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(16,621)</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(16,494)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(21,663)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(23,526)</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(11,729)</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(14,462)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(898)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(2,790)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(1,790)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(1,100)</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Interest income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340</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565</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1,140</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565</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557</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Other income (expense), net</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37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95"/>
        </w:trPr>
        <w:tc>
          <w:tcPr>
            <w:tcW w:w="3720" w:type="dxa"/>
            <w:vAlign w:val="bottom"/>
            <w:gridSpan w:val="2"/>
          </w:tcPr>
          <w:p>
            <w:pPr>
              <w:spacing w:after="0" w:line="95" w:lineRule="exact"/>
              <w:rPr>
                <w:sz w:val="20"/>
                <w:szCs w:val="20"/>
                <w:color w:val="auto"/>
              </w:rPr>
            </w:pPr>
            <w:r>
              <w:rPr>
                <w:rFonts w:ascii="Arial" w:cs="Arial" w:eastAsia="Arial" w:hAnsi="Arial"/>
                <w:sz w:val="10"/>
                <w:szCs w:val="10"/>
                <w:color w:val="auto"/>
              </w:rPr>
              <w:t>Loss before provision for income taxes and cumulative of change in accounting</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ind w:left="120"/>
              <w:spacing w:after="0"/>
              <w:rPr>
                <w:sz w:val="20"/>
                <w:szCs w:val="20"/>
                <w:color w:val="auto"/>
              </w:rPr>
            </w:pPr>
            <w:r>
              <w:rPr>
                <w:rFonts w:ascii="Arial" w:cs="Arial" w:eastAsia="Arial" w:hAnsi="Arial"/>
                <w:sz w:val="10"/>
                <w:szCs w:val="10"/>
                <w:color w:val="auto"/>
              </w:rPr>
              <w:t>principle</w:t>
            </w:r>
          </w:p>
        </w:tc>
        <w:tc>
          <w:tcPr>
            <w:tcW w:w="100" w:type="dxa"/>
            <w:vAlign w:val="bottom"/>
          </w:tcPr>
          <w:p>
            <w:pPr>
              <w:spacing w:after="0"/>
              <w:rPr>
                <w:sz w:val="10"/>
                <w:szCs w:val="1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0"/>
                <w:szCs w:val="10"/>
                <w:color w:val="auto"/>
              </w:rPr>
              <w:t>(17,304)</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(16,838)</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(17,022)</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(23,553)</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(25,346)</w:t>
            </w:r>
          </w:p>
        </w:tc>
        <w:tc>
          <w:tcPr>
            <w:tcW w:w="80" w:type="dxa"/>
            <w:vAlign w:val="bottom"/>
          </w:tcPr>
          <w:p>
            <w:pPr>
              <w:spacing w:after="0"/>
              <w:rPr>
                <w:sz w:val="10"/>
                <w:szCs w:val="10"/>
                <w:color w:val="auto"/>
              </w:rPr>
            </w:pPr>
          </w:p>
        </w:tc>
        <w:tc>
          <w:tcPr>
            <w:tcW w:w="620" w:type="dxa"/>
            <w:vAlign w:val="bottom"/>
            <w:gridSpan w:val="2"/>
          </w:tcPr>
          <w:p>
            <w:pPr>
              <w:jc w:val="right"/>
              <w:ind w:right="118"/>
              <w:spacing w:after="0"/>
              <w:rPr>
                <w:sz w:val="20"/>
                <w:szCs w:val="20"/>
                <w:color w:val="auto"/>
              </w:rPr>
            </w:pPr>
            <w:r>
              <w:rPr>
                <w:rFonts w:ascii="Arial" w:cs="Arial" w:eastAsia="Arial" w:hAnsi="Arial"/>
                <w:sz w:val="10"/>
                <w:szCs w:val="10"/>
                <w:color w:val="auto"/>
              </w:rPr>
              <w:t>(12,917)</w:t>
            </w:r>
          </w:p>
        </w:tc>
        <w:tc>
          <w:tcPr>
            <w:tcW w:w="60" w:type="dxa"/>
            <w:vAlign w:val="bottom"/>
          </w:tcPr>
          <w:p>
            <w:pPr>
              <w:spacing w:after="0"/>
              <w:rPr>
                <w:sz w:val="10"/>
                <w:szCs w:val="10"/>
                <w:color w:val="auto"/>
              </w:rPr>
            </w:pPr>
          </w:p>
        </w:tc>
        <w:tc>
          <w:tcPr>
            <w:tcW w:w="520" w:type="dxa"/>
            <w:vAlign w:val="bottom"/>
            <w:gridSpan w:val="2"/>
          </w:tcPr>
          <w:p>
            <w:pPr>
              <w:jc w:val="right"/>
              <w:ind w:right="18"/>
              <w:spacing w:after="0"/>
              <w:rPr>
                <w:sz w:val="20"/>
                <w:szCs w:val="20"/>
                <w:color w:val="auto"/>
              </w:rPr>
            </w:pPr>
            <w:r>
              <w:rPr>
                <w:rFonts w:ascii="Arial" w:cs="Arial" w:eastAsia="Arial" w:hAnsi="Arial"/>
                <w:sz w:val="10"/>
                <w:szCs w:val="10"/>
                <w:color w:val="auto"/>
              </w:rPr>
              <w:t>(15,219)</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Provision for income taxes</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(52)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Loss before cumulative effect of change in accounting principle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(17,022)</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(12,969)</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(15,262)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637</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(16,385)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(12,969</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(15,262</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3"/>
        </w:trPr>
        <w:tc>
          <w:tcPr>
            <w:tcW w:w="372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Net loss per share of common stock, basic and diluted</w:t>
            </w:r>
            <w:r>
              <w:rPr>
                <w:rFonts w:ascii="Arial" w:cs="Arial" w:eastAsia="Arial" w:hAnsi="Arial"/>
                <w:sz w:val="8"/>
                <w:szCs w:val="8"/>
                <w:color w:val="auto"/>
              </w:rPr>
              <w:t>(1)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3"/>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(7.77)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(6.93)</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(6.35)</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(8.82)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(9.21)</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18"/>
              <w:spacing w:after="0" w:line="113" w:lineRule="exact"/>
              <w:rPr>
                <w:sz w:val="20"/>
                <w:szCs w:val="20"/>
                <w:color w:val="auto"/>
              </w:rPr>
            </w:pPr>
            <w:r>
              <w:rPr>
                <w:rFonts w:ascii="Arial" w:cs="Arial" w:eastAsia="Arial" w:hAnsi="Arial"/>
                <w:sz w:val="10"/>
                <w:szCs w:val="10"/>
                <w:color w:val="auto"/>
              </w:rPr>
              <w:t>(4.74)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
              <w:spacing w:after="0" w:line="113" w:lineRule="exact"/>
              <w:rPr>
                <w:sz w:val="20"/>
                <w:szCs w:val="20"/>
                <w:color w:val="auto"/>
              </w:rPr>
            </w:pPr>
            <w:r>
              <w:rPr>
                <w:rFonts w:ascii="Arial" w:cs="Arial" w:eastAsia="Arial" w:hAnsi="Arial"/>
                <w:sz w:val="10"/>
                <w:szCs w:val="10"/>
                <w:color w:val="auto"/>
              </w:rPr>
              <w:t>(5.39)</w:t>
            </w:r>
          </w:p>
        </w:tc>
        <w:tc>
          <w:tcPr>
            <w:tcW w:w="0" w:type="dxa"/>
            <w:vAlign w:val="bottom"/>
          </w:tcPr>
          <w:p>
            <w:pPr>
              <w:spacing w:after="0"/>
              <w:rPr>
                <w:sz w:val="1"/>
                <w:szCs w:val="1"/>
                <w:color w:val="auto"/>
              </w:rPr>
            </w:pPr>
          </w:p>
        </w:tc>
      </w:tr>
      <w:tr>
        <w:trPr>
          <w:trHeight w:val="127"/>
        </w:trPr>
        <w:tc>
          <w:tcPr>
            <w:tcW w:w="3720" w:type="dxa"/>
            <w:vAlign w:val="bottom"/>
            <w:gridSpan w:val="2"/>
          </w:tcPr>
          <w:p>
            <w:pPr>
              <w:spacing w:after="0"/>
              <w:rPr>
                <w:sz w:val="20"/>
                <w:szCs w:val="20"/>
                <w:color w:val="auto"/>
              </w:rPr>
            </w:pPr>
            <w:r>
              <w:rPr>
                <w:rFonts w:ascii="Arial" w:cs="Arial" w:eastAsia="Arial" w:hAnsi="Arial"/>
                <w:sz w:val="10"/>
                <w:szCs w:val="10"/>
                <w:color w:val="auto"/>
              </w:rPr>
              <w:t>Shares used in computing net loss per share of common stock, basic and diluted</w:t>
            </w:r>
            <w:r>
              <w:rPr>
                <w:rFonts w:ascii="Arial" w:cs="Arial" w:eastAsia="Arial" w:hAnsi="Arial"/>
                <w:sz w:val="8"/>
                <w:szCs w:val="8"/>
                <w:color w:val="auto"/>
              </w:rPr>
              <w:t>(1)</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2,227</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2,430</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2,580</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2,671</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2,765</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2,736</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000" w:type="dxa"/>
            <w:vAlign w:val="bottom"/>
            <w:tcBorders>
              <w:bottom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Please see Note 2 to our consolidated financial statements for an explanation of the method used to calculate basic and diluted net loss per share of common stock.</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0"/>
                <w:szCs w:val="10"/>
                <w:b w:val="1"/>
                <w:bCs w:val="1"/>
                <w:color w:val="auto"/>
                <w:w w:val="95"/>
              </w:rPr>
              <w:t>As of</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20" w:type="dxa"/>
            <w:vAlign w:val="bottom"/>
          </w:tcPr>
          <w:p>
            <w:pPr>
              <w:spacing w:after="0"/>
              <w:rPr>
                <w:sz w:val="7"/>
                <w:szCs w:val="7"/>
                <w:color w:val="auto"/>
              </w:rPr>
            </w:pPr>
          </w:p>
        </w:tc>
        <w:tc>
          <w:tcPr>
            <w:tcW w:w="96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29,</w:t>
            </w:r>
          </w:p>
        </w:tc>
        <w:tc>
          <w:tcPr>
            <w:tcW w:w="60" w:type="dxa"/>
            <w:vAlign w:val="bottom"/>
          </w:tcPr>
          <w:p>
            <w:pPr>
              <w:spacing w:after="0"/>
              <w:rPr>
                <w:sz w:val="7"/>
                <w:szCs w:val="7"/>
                <w:color w:val="auto"/>
              </w:rPr>
            </w:pPr>
          </w:p>
        </w:tc>
        <w:tc>
          <w:tcPr>
            <w:tcW w:w="620" w:type="dxa"/>
            <w:vAlign w:val="bottom"/>
          </w:tcPr>
          <w:p>
            <w:pPr>
              <w:jc w:val="center"/>
              <w:ind w:right="8"/>
              <w:spacing w:after="0" w:line="81" w:lineRule="exact"/>
              <w:rPr>
                <w:sz w:val="20"/>
                <w:szCs w:val="20"/>
                <w:color w:val="auto"/>
              </w:rPr>
            </w:pPr>
            <w:r>
              <w:rPr>
                <w:rFonts w:ascii="Arial" w:cs="Arial" w:eastAsia="Arial" w:hAnsi="Arial"/>
                <w:sz w:val="9"/>
                <w:szCs w:val="9"/>
                <w:b w:val="1"/>
                <w:bCs w:val="1"/>
                <w:color w:val="auto"/>
                <w:w w:val="99"/>
              </w:rPr>
              <w:t>June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2003</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center"/>
              <w:ind w:left="388"/>
              <w:spacing w:after="0"/>
              <w:rPr>
                <w:sz w:val="20"/>
                <w:szCs w:val="20"/>
                <w:color w:val="auto"/>
              </w:rPr>
            </w:pPr>
            <w:r>
              <w:rPr>
                <w:rFonts w:ascii="Arial" w:cs="Arial" w:eastAsia="Arial" w:hAnsi="Arial"/>
                <w:sz w:val="10"/>
                <w:szCs w:val="10"/>
                <w:b w:val="1"/>
                <w:bCs w:val="1"/>
                <w:color w:val="auto"/>
                <w:w w:val="92"/>
              </w:rPr>
              <w:t>(in thousands)</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w w:val="95"/>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Balance Sheet Data:</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Cash and cash equivalents and available-for-sale securities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28,874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12,520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19,659</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25,518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40,363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32,469</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Working capital</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23,689</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9,710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14,764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23,939</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38,754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28,644</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34,908</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20,150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27,750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36,493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54,776</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49,678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5,261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6,111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16,800</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12,838</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9,362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16,558</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promissory notes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13,072</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4,997</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preferred stock warrant liabilities</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814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223</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1,269</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preferred stock</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75,072</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76,596</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88,966</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112,295</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162,082</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167,538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stockholder’s deficit</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(49,812)</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(65,471)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(83,154)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(106,172)</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(130,331)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(144,908)</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89"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enable the simultaneous performance of thousands of biochemical measurements in extremely minute volumes. We created this “integrated circuit for biology” by miniaturizing, integrating and automating sophisticated liquid handling processes on a single microfabricated device. Particularly in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to help achieve breakthroughs in the fields of genetic variation, cellular function and structural biology. We believe that the broad applicability of our IFC technology will lead to the development of IFC systems for a wide variety of additional markets and applications, including high-throughput DNA sequencing and molecular diagnostics.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were founded in 1999. In the first quarter of 2003, we introduced our first product line, the Topaz system for protein crystallization based on our first generation Topaz IFC. In subsequent years, we enhanced the capability of the Topaz system by introducing IFCs with increased throughput. Prior to 2007, Topaz system products accounted for substantially all of our product revenue. In the fourth quarter of 2006, we announced the commercial availability of our BioMark system. We currently sell two types of single-use IFCs for use with the BioMark system, the Dynamic Array for gene expression and genotyping and the Digital Array for digital PCR.</w:t>
      </w:r>
    </w:p>
    <w:p>
      <w:pPr>
        <w:spacing w:after="0" w:line="70" w:lineRule="exact"/>
        <w:rPr>
          <w:sz w:val="20"/>
          <w:szCs w:val="20"/>
          <w:color w:val="auto"/>
        </w:rPr>
      </w:pPr>
    </w:p>
    <w:p>
      <w:pPr>
        <w:ind w:left="680" w:right="100" w:firstLine="399"/>
        <w:spacing w:after="0" w:line="303" w:lineRule="auto"/>
        <w:rPr>
          <w:sz w:val="20"/>
          <w:szCs w:val="20"/>
          <w:color w:val="auto"/>
        </w:rPr>
      </w:pPr>
      <w:r>
        <w:rPr>
          <w:rFonts w:ascii="Arial" w:cs="Arial" w:eastAsia="Arial" w:hAnsi="Arial"/>
          <w:sz w:val="11"/>
          <w:szCs w:val="11"/>
          <w:color w:val="auto"/>
        </w:rPr>
        <w:t>We have incurred significant losses since our inception, including net losses of $16.4 million, $23.6 million, $25.5 million and $15.3 million in 2005, 2006, 2007 and the six months ended June 28, 2008. As of June 28, 2008, we had an accumulated deficit of $149.1 million. We sell our IFC systems around the world. For 2007 and the six months ended June 28, 2008, customers in North America accounted for approximately 48% and 46% of our total revenue, European customers accounted for 10% and 17% and Asia-Pacific customers accounted for</w:t>
      </w:r>
    </w:p>
    <w:p>
      <w:pPr>
        <w:ind w:left="680" w:right="20"/>
        <w:spacing w:after="0" w:line="284" w:lineRule="auto"/>
        <w:rPr>
          <w:sz w:val="20"/>
          <w:szCs w:val="20"/>
          <w:color w:val="auto"/>
        </w:rPr>
      </w:pPr>
      <w:r>
        <w:rPr>
          <w:rFonts w:ascii="Arial" w:cs="Arial" w:eastAsia="Arial" w:hAnsi="Arial"/>
          <w:sz w:val="12"/>
          <w:szCs w:val="12"/>
          <w:color w:val="auto"/>
        </w:rPr>
        <w:t>42% and 37%. We distribute our systems through our direct field sales and support organizations located in North America, Europe and Asia-Pacific and through distributors or sales agents in several European and Asia-Pacific countries. Our manufacturing operations are located in Singapore and South San Francisco. Our facility in Singapore fabricates all of our IFCs for commercial sale and some IFCs for our own research and development purposes and assembles certain elements of our BioMark and Topaz instrumentation. Our South San Francisco facility also assembles certain elements of our BioMark and Topaz instrumentation and fabricates IFCs for our own research and development purposes.</w:t>
      </w:r>
    </w:p>
    <w:p>
      <w:pPr>
        <w:spacing w:after="0" w:line="5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Since 2002, we have received significant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agreed upon targets for increasing levels of research, development and manufacturing activity in Singapore, including the use of local service providers, the hiring of personnel in Singapore, local spending in Singapore, our receipt of new equity investment, and our achievement of agreed upon targets relating to new product development or completion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specific manufacturing process objectives. If we satisfy the grant conditions, we receive incentive grant payments equal to a portion of the qualifying expenses we incur in Singapore, relating to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 Together these agreements provide for incentive funding eligibility through 2011, subject to our compliance with the requirements of these agreements.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we have entered into collaboration and license agreements with other parties that generally provide us with up-front and periodic milestone fees or fees based on agreed upon rates for time incurred by our research staff.</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Year Presentation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the year ended December 29, 2007, we adopted a 52 or 53 week year convention for our fiscal years and, therefore, our 2007 fiscal year ended on December 29, 2007 and the first six month periods of 2007 and 2008 ended on June 30, 2007 and June 28, 2008. Future fiscal years will end on the last Saturday in December of each year. Prior to the adoption of this method, we reported our fiscal years on a calendar basis. The fiscal years discussed in this management’s discussion and analysis of financial condition and results of operations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Significant Judgments and Estimates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We generate revenue from sales of our products and services, collaboration agreements and government grants. Our products consist of single-use IFCs, various instruments and software related to our BioMark and Topaz systems. Our services include system installation, training and customer support services. We also have entered into a number of research and development contracts and have received government grants to conduct research and development activities.</w:t>
      </w:r>
    </w:p>
    <w:p>
      <w:pPr>
        <w:spacing w:after="0" w:line="67"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 xml:space="preserve">We record revenue in accordance with the guidelines established by the Securities and Exchange Commission, or SEC,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or SAB 104. In addition, we have concluded that software included with certain of our instruments is essential to their functionality. In these instances, we apply AICPA Statement of Position 97-2, </w:t>
      </w:r>
      <w:r>
        <w:rPr>
          <w:rFonts w:ascii="Arial" w:cs="Arial" w:eastAsia="Arial" w:hAnsi="Arial"/>
          <w:sz w:val="12"/>
          <w:szCs w:val="12"/>
          <w:i w:val="1"/>
          <w:iCs w:val="1"/>
          <w:color w:val="auto"/>
        </w:rPr>
        <w:t>Software Revenue Recognition</w:t>
      </w:r>
      <w:r>
        <w:rPr>
          <w:rFonts w:ascii="Arial" w:cs="Arial" w:eastAsia="Arial" w:hAnsi="Arial"/>
          <w:sz w:val="12"/>
          <w:szCs w:val="12"/>
          <w:color w:val="auto"/>
        </w:rPr>
        <w:t xml:space="preserve">, or SOP 97-2. If the arrangement includes IFCs, we use the separation criteria in EITF Issue No. 00-21, </w:t>
      </w:r>
      <w:r>
        <w:rPr>
          <w:rFonts w:ascii="Arial" w:cs="Arial" w:eastAsia="Arial" w:hAnsi="Arial"/>
          <w:sz w:val="12"/>
          <w:szCs w:val="12"/>
          <w:i w:val="1"/>
          <w:iCs w:val="1"/>
          <w:color w:val="auto"/>
        </w:rPr>
        <w:t>Revenue Arrangements with Multiple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Deliverables, </w:t>
      </w:r>
      <w:r>
        <w:rPr>
          <w:rFonts w:ascii="Arial" w:cs="Arial" w:eastAsia="Arial" w:hAnsi="Arial"/>
          <w:sz w:val="12"/>
          <w:szCs w:val="12"/>
          <w:color w:val="auto"/>
        </w:rPr>
        <w:t>to separate revenues related to IFCs, which are non-software related deliverables, from software related deliverables. Revenue is recognized when all of the following criteria</w:t>
      </w:r>
      <w:r>
        <w:rPr>
          <w:rFonts w:ascii="Arial" w:cs="Arial" w:eastAsia="Arial" w:hAnsi="Arial"/>
          <w:sz w:val="12"/>
          <w:szCs w:val="12"/>
          <w:i w:val="1"/>
          <w:iCs w:val="1"/>
          <w:color w:val="auto"/>
        </w:rPr>
        <w:t xml:space="preserve"> </w:t>
      </w:r>
      <w:r>
        <w:rPr>
          <w:rFonts w:ascii="Arial" w:cs="Arial" w:eastAsia="Arial" w:hAnsi="Arial"/>
          <w:sz w:val="12"/>
          <w:szCs w:val="12"/>
          <w:color w:val="auto"/>
        </w:rPr>
        <w:t>are met: persuasive evidence of an arrangement exists, delivery has occurred or services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recognition is deferred until the time collection becomes reasonably assured, which is generally upon receipt of payment. We also use judgment to assess whether a price is fixed or determinable by reviewing contractual terms and conditions related to payment terms.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2007, and thereafter, no right of return existed for our products. In prior years, if an agreement included a right of return, the related revenue was deferred until the right had lapsed. Historically, we have not experienced any significant returns of our products. Also, accruals are provided for estimated warranty expenses at the time that the associated revenue is recognized. We use judgment to estimate these accruals and, if we were to experience an increase in warranty claims or if costs of servicing our products under warranty were greater than our estimates, our gross margins could be adversely affected in future periods.</w:t>
      </w:r>
    </w:p>
    <w:p>
      <w:pPr>
        <w:spacing w:after="0" w:line="7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Some of our sales contracts which include items such as our BioMark instrument systems or our Topaz readers involve the delivery or performance of multiple products and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price should be allocated among the elements, when to recognize revenue for each element, and the period over which revenue should be recognized. We use judgment to evaluate whether a delivered item has value on a stand-alone basis prior to delivery of the remaining items by determining whether we have made separate sales of such items or whether the undelivered items are essential to the functionality of the delivered items. Further, we use judgment to evaluate whether there is vendor-specific objective evidence, or VSOE, of fair value of the undelivered items, determined by reference to stand-alone sales of such items. We recognize revenue for delivered elements only when we determine that the fair values of undelivered elements are known. For a multiple element arrangement that includes both IFCs and instruments we separate these elements into separate units of accounting as we consider these elements to have standalone value to the customer. We recognize revenue for the IFCs under SAB 104 and the instruments under SAB 104 or SOP 97-2, as applicable. If the fair value of any undelivered item related to instruments and software included in a multiple element arrangement cannot be objectively determined, revenue will be deferred until all items are delivered, or until fair value can objectively be determined for any remaining undelivered items. However, if the only such undelivered element is post-contract customer support services, such as maintenance agreements for which VSOE has not been established, the entire revenue is recognized ratably over the service period. Recognition of revenue from these arrangements generally begins upon installation of the instruments as installation is deemed essential to the functionality of the instruments. The corresponding costs of products sold related to multiple element arrangements are also deferred and amortized over the same period.</w:t>
      </w:r>
    </w:p>
    <w:p>
      <w:pPr>
        <w:spacing w:after="0" w:line="5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Our deferred revenue balance increased by $1.6 million during 2007 and decreased by $0.3 million during the six months ended June 28, 2008. The increase during 2007 was primarily due to the increase in sales of our BioMark instrument systems, all of which included maintenance agreements. We expect to establish VSOE for post-contract customer support during the second half of 2008 as we enter into renewal agreements for maintenance with our customers upon the expiration of the initial agreements. If we are able to establish VSOE for post-contract customer support, our deferred revenue balance will decrease in future periods.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Changes in judgments and estimates regarding application of these revenue recognition guidelines as well as changes in facts and circumstances including the establishment of VSOE of fair value could result in a change in the timing or amount of revenue recognized in future periods.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Revenue from the sales of our products that are not part of a multiple element arrangement is recognized when no significant obligations remain undelivered and collection of the receivables is reasonably assured, which is generally upon shipment of the product and transfer of title to the customer.</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entered into collaboration research and development arrangements that generally provide us with up-front and periodic milestone fees or fees based on agreed upon rates for time incurred by our research staff. Revenue is recognized either ratably over the term of the agreement or as time is incurred on the project. Revenue from government grants is for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Prior to January 1, 2006, we accounted for our stock options granted to employees using the intrinsic value method prescribed by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or APB 25, and related interpretations as permitted by Statement of Financial Accounting Standards, or SFAS No. 123,</w:t>
      </w:r>
      <w:r>
        <w:rPr>
          <w:rFonts w:ascii="Arial" w:cs="Arial" w:eastAsia="Arial" w:hAnsi="Arial"/>
          <w:sz w:val="12"/>
          <w:szCs w:val="12"/>
          <w:i w:val="1"/>
          <w:iCs w:val="1"/>
          <w:color w:val="auto"/>
        </w:rPr>
        <w:t xml:space="preserve"> Accounting for Stock-Based Compensation</w:t>
      </w:r>
      <w:r>
        <w:rPr>
          <w:rFonts w:ascii="Arial" w:cs="Arial" w:eastAsia="Arial" w:hAnsi="Arial"/>
          <w:sz w:val="12"/>
          <w:szCs w:val="12"/>
          <w:color w:val="auto"/>
        </w:rPr>
        <w:t>, or SFAS 123, and SFAS No. 148,</w:t>
      </w:r>
      <w:r>
        <w:rPr>
          <w:rFonts w:ascii="Arial" w:cs="Arial" w:eastAsia="Arial" w:hAnsi="Arial"/>
          <w:sz w:val="12"/>
          <w:szCs w:val="12"/>
          <w:i w:val="1"/>
          <w:iCs w:val="1"/>
          <w:color w:val="auto"/>
        </w:rPr>
        <w:t xml:space="preserve"> Accounting for Stock-Based Compensation — Transaction and Disclosure</w:t>
      </w:r>
      <w:r>
        <w:rPr>
          <w:rFonts w:ascii="Arial" w:cs="Arial" w:eastAsia="Arial" w:hAnsi="Arial"/>
          <w:sz w:val="12"/>
          <w:szCs w:val="12"/>
          <w:color w:val="auto"/>
        </w:rPr>
        <w:t>, or SFAS 148. Accordingly, any compensation cost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relating to stock options was recorded on the date of the grant in stockholders’ equity as deferred compensation and was thereafter amortized to expense over the vesting period of the grant, which was generally four years. We amortized deferred stock-based compensation using the multiple option method as prescribed by FASB Interpretation No. 28, </w:t>
      </w:r>
      <w:r>
        <w:rPr>
          <w:rFonts w:ascii="Arial" w:cs="Arial" w:eastAsia="Arial" w:hAnsi="Arial"/>
          <w:sz w:val="12"/>
          <w:szCs w:val="12"/>
          <w:i w:val="1"/>
          <w:iCs w:val="1"/>
          <w:color w:val="auto"/>
        </w:rPr>
        <w:t>Accounting for Stock</w:t>
      </w:r>
      <w:r>
        <w:rPr>
          <w:rFonts w:ascii="Arial" w:cs="Arial" w:eastAsia="Arial" w:hAnsi="Arial"/>
          <w:sz w:val="12"/>
          <w:szCs w:val="12"/>
          <w:color w:val="auto"/>
        </w:rPr>
        <w:t xml:space="preserve"> </w:t>
      </w:r>
      <w:r>
        <w:rPr>
          <w:rFonts w:ascii="Arial" w:cs="Arial" w:eastAsia="Arial" w:hAnsi="Arial"/>
          <w:sz w:val="12"/>
          <w:szCs w:val="12"/>
          <w:i w:val="1"/>
          <w:iCs w:val="1"/>
          <w:color w:val="auto"/>
        </w:rPr>
        <w:t>Appreciation Rights and Other Variable Stock Option or Award Plans</w:t>
      </w:r>
      <w:r>
        <w:rPr>
          <w:rFonts w:ascii="Arial" w:cs="Arial" w:eastAsia="Arial" w:hAnsi="Arial"/>
          <w:sz w:val="12"/>
          <w:szCs w:val="12"/>
          <w:color w:val="auto"/>
        </w:rPr>
        <w:t>, or FIN 28, over the option vesting period using an accelerated amortization schedule.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Effective January 1, 2006, we adopted the fair value recognition provisions of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or SFAS 123(R), which requires companies to measure the cost of employee services received in exchange for an award of equity instruments, including stock options, based on the grant date fair value of the award. The fair value is estimated using the Black-Scholes option-pricing model. The resulting cost is recognized over the period during which an employee is required to provide service in exchange for the award, usually the vesting period.</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adopted SFAS 123(R) using the prospective-transition method as all prior grants were measured using the minimum value method for the pro forma disclosures previously required by SFAS 123. The prospective-transition method requires us to continue to apply APB 25 in future periods to equity awards outstanding at the date of our adoption of SFAS 123(R) on January 1, 2006. Under the prospective-transition method, any compensation costs that will be recognized from January 1, 2006 will include only: (a) compensation cost for all stock-based awards granted prior to, but not yet vested as of, December 31, 2005, based on the intrinsic value method in accordance with the provisions of ABP 25; and (b) compensation cost for all stock-based awards granted or modified subsequent to December 31, 2005, net of estimated forfeitures, based on the grant date fair value estimated in accordance with the provisions of SFAS 123(R). We amortize the fair value of stock-based compensation under SFAS 123(R) on a straight-line basis. In accordance with the prospective-transition method as prescribed under SFAS 123(R), results for prior periods are not restated.</w:t>
      </w:r>
    </w:p>
    <w:p>
      <w:pPr>
        <w:spacing w:after="0" w:line="73"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account for stock options issued to nonemployees in accordance with the provisions of SFAS 123(R) and EITF Issue No.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Issued to Other Than Employees for Acquiring, or in Conjunction with Selling, Goods or Services, </w:t>
      </w:r>
      <w:r>
        <w:rPr>
          <w:rFonts w:ascii="Arial" w:cs="Arial" w:eastAsia="Arial" w:hAnsi="Arial"/>
          <w:sz w:val="12"/>
          <w:szCs w:val="12"/>
          <w:color w:val="auto"/>
        </w:rPr>
        <w:t>or EITF 96-18. In accordance with SFAS 123(R) and EITF 96-18, stock options issued to</w:t>
      </w:r>
      <w:r>
        <w:rPr>
          <w:rFonts w:ascii="Arial" w:cs="Arial" w:eastAsia="Arial" w:hAnsi="Arial"/>
          <w:sz w:val="12"/>
          <w:szCs w:val="12"/>
          <w:i w:val="1"/>
          <w:iCs w:val="1"/>
          <w:color w:val="auto"/>
        </w:rPr>
        <w:t xml:space="preserve"> </w:t>
      </w:r>
      <w:r>
        <w:rPr>
          <w:rFonts w:ascii="Arial" w:cs="Arial" w:eastAsia="Arial" w:hAnsi="Arial"/>
          <w:sz w:val="12"/>
          <w:szCs w:val="12"/>
          <w:color w:val="auto"/>
        </w:rPr>
        <w:t>nonemployees are accounted for at their estimated fair value determined using the Black-Scholes option-pricing model. The fair value of the options granted to nonemployees is remeasured as they vest, and the resulting increase in value, if any, is recognized as expense during the period the related services are rendered.</w:t>
      </w:r>
    </w:p>
    <w:p>
      <w:pPr>
        <w:spacing w:after="0" w:line="53"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use the Black-Scholes option-pricing model to calculate the fair value of our options on the grant date. This model requires inputs such as expected term, expected volatility and risk-free interest rate. Further, the forfeiture rate also affects the amount of aggregate compensation. These inputs are subjective and generally require significant judgment.</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Our historical volatility is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Given our limited history to accurately estimate the expected lives for the various employee groups, we used the ‘simplified’ method as provided by Staff Accounting Bulletin No. 107, </w:t>
      </w:r>
      <w:r>
        <w:rPr>
          <w:rFonts w:ascii="Arial" w:cs="Arial" w:eastAsia="Arial" w:hAnsi="Arial"/>
          <w:sz w:val="12"/>
          <w:szCs w:val="12"/>
          <w:i w:val="1"/>
          <w:iCs w:val="1"/>
          <w:color w:val="auto"/>
        </w:rPr>
        <w:t>Share Based Payment</w:t>
      </w:r>
      <w:r>
        <w:rPr>
          <w:rFonts w:ascii="Arial" w:cs="Arial" w:eastAsia="Arial" w:hAnsi="Arial"/>
          <w:sz w:val="12"/>
          <w:szCs w:val="12"/>
          <w:color w:val="auto"/>
        </w:rPr>
        <w:t>. The ‘simplified’ method is calculated as the average of the time-to-vesting and the contractual life of the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Beginning on January 1, 2006 upon the adoption of SFAS 123(R), the fair value of each new employee option awarded was estimated on the grant date for the periods below using the Black-Scholes option-pricing model with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8"/>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6"/>
              </w:rPr>
              <w:t>Six Months Ended</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2"/>
              </w:rPr>
              <w:t>June 28, 2008</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63.0%</w:t>
            </w:r>
          </w:p>
        </w:tc>
        <w:tc>
          <w:tcPr>
            <w:tcW w:w="178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53.8%</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8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6.0 years</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4.8%</w:t>
            </w:r>
          </w:p>
        </w:tc>
        <w:tc>
          <w:tcPr>
            <w:tcW w:w="11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4.4%</w:t>
            </w:r>
          </w:p>
        </w:tc>
        <w:tc>
          <w:tcPr>
            <w:tcW w:w="17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4"/>
              </w:rPr>
              <w:t>3.2%</w:t>
            </w:r>
          </w:p>
        </w:tc>
        <w:tc>
          <w:tcPr>
            <w:tcW w:w="0" w:type="dxa"/>
            <w:vAlign w:val="bottom"/>
          </w:tcPr>
          <w:p>
            <w:pPr>
              <w:spacing w:after="0"/>
              <w:rPr>
                <w:sz w:val="1"/>
                <w:szCs w:val="1"/>
                <w:color w:val="auto"/>
              </w:rPr>
            </w:pP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c>
          <w:tcPr>
            <w:tcW w:w="1780" w:type="dxa"/>
            <w:vAlign w:val="bottom"/>
            <w:gridSpan w:val="2"/>
          </w:tcPr>
          <w:p>
            <w:pPr>
              <w:jc w:val="center"/>
              <w:ind w:left="234"/>
              <w:spacing w:after="0"/>
              <w:rPr>
                <w:sz w:val="20"/>
                <w:szCs w:val="20"/>
                <w:color w:val="auto"/>
              </w:rPr>
            </w:pPr>
            <w:r>
              <w:rPr>
                <w:rFonts w:ascii="Arial" w:cs="Arial" w:eastAsia="Arial" w:hAnsi="Arial"/>
                <w:sz w:val="13"/>
                <w:szCs w:val="13"/>
                <w:color w:val="auto"/>
                <w:w w:val="84"/>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If in the future we determine that another method is more reasonable, or if another method for calculating these input assumptions is prescribed by authoritative guidance, and, therefore, should be used to estimate 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revenue, research and development expense, and selling, general and administrative expense.</w:t>
      </w:r>
    </w:p>
    <w:p>
      <w:pPr>
        <w:spacing w:after="0" w:line="7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during 2006, 2007 and the six months ended June 28, 2008 was insignificant. We will continue to use judgment in evaluating the expected term, volatility and forfeiture rate related to our own stock-based compensation on a prospective basis and incorporating these factors into the Black-Scholes option-pricing model.</w:t>
      </w:r>
    </w:p>
    <w:p>
      <w:pPr>
        <w:spacing w:after="0" w:line="7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Also required for the fair value calculation of the options is the fair value of the underlying common stock. We have historically granted stock options with exercise prices no less than the fair market value of our common stock as determined at the date of grant by our Board of Directors with input from management. The following table summarizes, by grant date, the number of stock options granted since January 1, 2007 and the associated per share exercise price, which equaled the fair value of our common stock for each of these grants.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 of</w:t>
            </w:r>
          </w:p>
        </w:tc>
        <w:tc>
          <w:tcPr>
            <w:tcW w:w="0" w:type="dxa"/>
            <w:vAlign w:val="bottom"/>
          </w:tcPr>
          <w:p>
            <w:pPr>
              <w:spacing w:after="0"/>
              <w:rPr>
                <w:sz w:val="1"/>
                <w:szCs w:val="1"/>
                <w:color w:val="auto"/>
              </w:rPr>
            </w:pPr>
          </w:p>
        </w:tc>
      </w:tr>
      <w:tr>
        <w:trPr>
          <w:trHeight w:val="125"/>
        </w:trPr>
        <w:tc>
          <w:tcPr>
            <w:tcW w:w="7700" w:type="dxa"/>
            <w:vAlign w:val="bottom"/>
            <w:gridSpan w:val="2"/>
            <w:vMerge w:val="continue"/>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6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460,966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28,766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93,705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February 7, 2008</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206,709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24, 2008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546,711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65"/>
        </w:trPr>
        <w:tc>
          <w:tcPr>
            <w:tcW w:w="7700" w:type="dxa"/>
            <w:vAlign w:val="bottom"/>
            <w:gridSpan w:val="2"/>
          </w:tcPr>
          <w:p>
            <w:pPr>
              <w:spacing w:after="0"/>
              <w:rPr>
                <w:sz w:val="20"/>
                <w:szCs w:val="20"/>
                <w:color w:val="auto"/>
              </w:rPr>
            </w:pPr>
            <w:r>
              <w:rPr>
                <w:rFonts w:ascii="Arial" w:cs="Arial" w:eastAsia="Arial" w:hAnsi="Arial"/>
                <w:sz w:val="13"/>
                <w:szCs w:val="13"/>
                <w:color w:val="auto"/>
              </w:rPr>
              <w:t>June 26, 2008</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24,426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11.97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Given the absence of an active market for our common stock prior to this offering, our Board of Directors determined the fair value of our common stock for our grants of stock options. Our Board of Directors determined the estimated fair value of our common stock based in part on an analysis of relevant metrics, including the following:</w:t>
      </w:r>
    </w:p>
    <w:p>
      <w:pPr>
        <w:spacing w:after="0" w:line="35"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prices of our convertible preferred stock sold to outside investors in arms-length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rights, preferences and privileges of our convertible preferred stock relative to those of our common stock;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rights of freestanding warrants and other similar instruments related to shares that are redeemable;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operating and financial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hiring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introduction of new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stage of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fact that the option grants involve illiquid securities in a private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risks inherent in the development and expansion of our products and services;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likelihood of achieving a liquidity event, such as an initial public offering or sale of our company given prevailing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January 2007 through June 2008, our Board of Directors performed contemporaneous valuations of our common stock for each grant of stock options during this period.</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valuations were prepared using the market approach and the income approach to estimate our aggregate enterprise value at each valuation date. The market approach measures the value of a company through the analysis of recent sales of comparable companies. Consideration is given to the financial condition and operating performance of the company being valued relative to those of publicly traded companies operating in the same or similar lines of business. When choosing the comparable companies to be used for the market approach, we focused on companies in the life science industry. Some of the specific criteria used to select comparable companies within this industry include the business description, business size, projected growth, financial condition and historical earnings. The income approach measures the value of a company as the present value of its future economic benefits by applying an appropriate risk-adjusted discount rate to expected cash flows, based on forecasted revenue and costs. We prepared a financial forecast for each valuation report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 xml:space="preserve">In assessing the fair value of our common stock, our Board of Directors applied an equal weighting to the value indications presented by the income approach and market approach. In order to arrive at the estimated fair value of our common stock, the indicated enterprise value of our company calculated at each valuation date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2"/>
          <w:szCs w:val="12"/>
          <w:i w:val="1"/>
          <w:iCs w:val="1"/>
          <w:color w:val="auto"/>
        </w:rPr>
        <w:t>Valuation of Privately-Held-Company Equity Securities Issued as Compensation</w:t>
      </w:r>
      <w:r>
        <w:rPr>
          <w:rFonts w:ascii="Arial" w:cs="Arial" w:eastAsia="Arial" w:hAnsi="Arial"/>
          <w:sz w:val="12"/>
          <w:szCs w:val="12"/>
          <w:color w:val="auto"/>
        </w:rPr>
        <w:t>. Also, we considered the fact that our stockholders cannot freely trade our common stock in the public markets. Therefore, the estimated</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common stock at each grant date reflected a non-marketability discount.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is inherent uncertainty in these estimates and if we had made different assumptions than those described above, the amount of our stock-based compensation expense, net loss and net loss per share amounts could have been significantly different.</w:t>
      </w:r>
    </w:p>
    <w:p>
      <w:pPr>
        <w:spacing w:after="0" w:line="59" w:lineRule="exact"/>
        <w:rPr>
          <w:sz w:val="20"/>
          <w:szCs w:val="20"/>
          <w:color w:val="auto"/>
        </w:rPr>
      </w:pPr>
    </w:p>
    <w:p>
      <w:pPr>
        <w:ind w:left="680" w:right="40" w:firstLine="399"/>
        <w:spacing w:after="0" w:line="304" w:lineRule="auto"/>
        <w:rPr>
          <w:sz w:val="20"/>
          <w:szCs w:val="20"/>
          <w:color w:val="auto"/>
        </w:rPr>
      </w:pPr>
      <w:r>
        <w:rPr>
          <w:rFonts w:ascii="Arial" w:cs="Arial" w:eastAsia="Arial" w:hAnsi="Arial"/>
          <w:sz w:val="11"/>
          <w:szCs w:val="11"/>
          <w:color w:val="auto"/>
        </w:rPr>
        <w:t>Our Board of Directors performed a contemporaneous valuation in order to determine the fair value of our common stock for the grant of options on May 8, 2007 which indicated a fair value of $4.76 per share for our common stock. Our Board of Directors performed a second contemporaneous valuation in order to update the determination of the fair value of our common stock for the grant of options on September 20, 2007 which indicated a fair value of $4.83 per share for our common stock. The increase in the fair value between the contemporaneous valuation performed for the grant of options on May 8, 2007 and the date of this contemporaneous valuation was minimal, however, it relates mostly to a slight decrease in the non-marketability discount rate and the time to a liquidity event. Our Board of Directors performed another contemporaneous valuation in order to update the determination of the fair value of our common stock for the grant of options on December 28, 2007 which indicated a fair value of $8.40 per share for our common stock. The increase in the fair value between the contemporaneous valuation performed for the grant of options on September 20, 2007 and December 28, 2007 valuation relates mostly to the decrease in the non-marketability discount rate, the risk-adjusted discount and the time to a liquidity event. Our Board of Directors performed contemporaneous valuations in order to update the determination of the fair value of our common stock for the grant of options on April 24, 2008, which indicated a fair value of $11.16 per share for our common stock, and for the grant of options on June 26, 2008, which indicated a fair value of $11.97 per share for our common stock. The increase in fair value between the contemporaneous valuation performed for the grant of options on December 28, 2007 and April 24, 2008 relates primarily to the increase in our enterprise value as we moved closer to achieving our projected financial goals, achieved significant milestones in new product developments and expanded into new market applications. In addition, in April 2008, our Board of Directors approved the filing of a registration statement for the initial public offering of our common stock. The increase in fair value between the contemporaneous valuation performed for the grant of options on April 24, 2008 and June 26, 2008 relates to the increase in our enterprise value reflecting continued progression toward achieving our projected financial goals, significant new product launches and geographical expansion of our sales capabilities.</w:t>
      </w:r>
    </w:p>
    <w:p>
      <w:pPr>
        <w:spacing w:after="0" w:line="20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recorded stock-based compensation of $5,000, $0.1 million, $0.7 million and $1.0 million during 2005, 2006, 2007 and the six months ended June 28, 2008. Included in these amounts was employee stock-based compensation of $0, $0.1 million, $0.5 million and $0.9 million, and nonemployee stock-based compensation of $5,000, $59,000, $0.2 million and $0.1 million during 2005, 2006, 2007 and the six months ended June 28, 2008. In future periods, stock-based compensation expense is expected to increase as a result of our existing unrecognized stock-based compensation and as we issue additional stock-based awards to continue to attract and retain employees and nonemployee directors. Certain of our stock options are granted to officers with vesting acceleration features based upon the achievement of certain performance milestones. The timing of the attainment of these milestones may affect the timing of expense recognition under SFAS No. 123(R). Additionally, SFAS 123(R) requires that we recognize compensation expense only for the portion of stock options that are expected to vest. If the actual rate of forfeitures differs from that estimated by management, we may be required to record adjustments to stock-based compensation expense in future periods. As of December 29, 2007 and June 28, 2008, we had $1.7 million and $5.1 million of unrecognized stock-based compensation costs related to stock options granted under our 1999 Stock Option Plan, which is expected to be recognized over an average period of 2.9 years for both periods.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for Income Taxes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management judgment is required in determining our provision for income taxes, our deferred tax assets and liabilities and any valuation allowance recorded against our net deferred tax assets. We have recorded a full valuation allowance on our net deferred tax assets as of December 31, 2006, December 29, 2007 and June 28, 2008 due to uncertainties related to our ability to utilize our deferred tax assets in the foreseeable future. These deferred tax assets primarily consist of certain net operating loss carryforwards and research and development tax credits.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 xml:space="preserve">We adopted FASB Interpretation No. 48, </w:t>
      </w:r>
      <w:r>
        <w:rPr>
          <w:rFonts w:ascii="Arial" w:cs="Arial" w:eastAsia="Arial" w:hAnsi="Arial"/>
          <w:sz w:val="13"/>
          <w:szCs w:val="13"/>
          <w:i w:val="1"/>
          <w:iCs w:val="1"/>
          <w:color w:val="auto"/>
        </w:rPr>
        <w:t>Accounting for Uncertainties in Income Taxes — an interpretation of FASB Statement No. 109</w:t>
      </w:r>
      <w:r>
        <w:rPr>
          <w:rFonts w:ascii="Arial" w:cs="Arial" w:eastAsia="Arial" w:hAnsi="Arial"/>
          <w:sz w:val="13"/>
          <w:szCs w:val="13"/>
          <w:color w:val="auto"/>
        </w:rPr>
        <w:t>, or FIN 48, effective January 1, 2007. FIN 48 requires us to recognize the financial statement effects of a tax position when it is more likely than not, based on the technical merits, that the position will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be sustained upon examination. Upon adoption, the Company recorded a charge of $75,000 as a cumulative effect of a change in accounting principle in the accumulated deficit during 2007.</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record adjustments to inventory for potentially excess, obsolete or impaired goods in order to state inventory at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Warrants to Purchase Convertible Preferred Stock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We account for freestanding warrants related to shares that are redeemable in accordance with FASB Staff Position No. 150-5, </w:t>
      </w:r>
      <w:r>
        <w:rPr>
          <w:rFonts w:ascii="Arial" w:cs="Arial" w:eastAsia="Arial" w:hAnsi="Arial"/>
          <w:sz w:val="12"/>
          <w:szCs w:val="12"/>
          <w:i w:val="1"/>
          <w:iCs w:val="1"/>
          <w:color w:val="auto"/>
        </w:rPr>
        <w:t>Issuer’s Accounting Under FASB Statement No. 150 for</w:t>
      </w:r>
      <w:r>
        <w:rPr>
          <w:rFonts w:ascii="Arial" w:cs="Arial" w:eastAsia="Arial" w:hAnsi="Arial"/>
          <w:sz w:val="12"/>
          <w:szCs w:val="12"/>
          <w:color w:val="auto"/>
        </w:rPr>
        <w:t xml:space="preserve"> </w:t>
      </w:r>
      <w:r>
        <w:rPr>
          <w:rFonts w:ascii="Arial" w:cs="Arial" w:eastAsia="Arial" w:hAnsi="Arial"/>
          <w:sz w:val="12"/>
          <w:szCs w:val="12"/>
          <w:i w:val="1"/>
          <w:iCs w:val="1"/>
          <w:color w:val="auto"/>
        </w:rPr>
        <w:t>Freestanding Warrants and Other Similar Instruments on Shares That Are Redeemable</w:t>
      </w:r>
      <w:r>
        <w:rPr>
          <w:rFonts w:ascii="Arial" w:cs="Arial" w:eastAsia="Arial" w:hAnsi="Arial"/>
          <w:sz w:val="12"/>
          <w:szCs w:val="12"/>
          <w:color w:val="auto"/>
        </w:rPr>
        <w:t>, or 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shares of our convertible preferred stock are classified as liabilities on the consolidated</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sheets at fair value because the warrants may conditionally obligate us to transfer assets at some point in the future. The warrants are subject to remeasurement at each balance sheet date, and any change in fair value will be recognized as a component of other income (expense), net in the consolidated statements of operations. We estimated the fair value of these warrants at the respective balance sheet dates using the Black-Scholes option-pricing model. A number of our assumptions used in the Black-Scholes option-pricing model, especially the market value and the expected volatility, are highly judgmental and could differ materially in the future.</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will continue to record adjustments to the fair value of the warrants until they are exercised, expire or, upon the closing of this offering, become warrants to purchase shares of our common stock, wherein the warrants will no longer be subject to FSP 150-5. At that time, the then-current aggregate fair value of these warrants will be reclassified from current liabilities to additional paid-in capital, a component of stockholders’ equity, and we will cease to record any related periodic fair value adjustments. Upon the closing of this offering, the preferred stock warrants will be converted into common stock warrants with the same exercise prices and expiration 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revenue by source for each period presented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9"/>
                <w:szCs w:val="9"/>
                <w:color w:val="auto"/>
              </w:rPr>
            </w:pPr>
          </w:p>
        </w:tc>
        <w:tc>
          <w:tcPr>
            <w:tcW w:w="9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June 30,</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b w:val="1"/>
                <w:bCs w:val="1"/>
                <w:color w:val="auto"/>
                <w:w w:val="99"/>
              </w:rPr>
              <w:t>June 28,</w:t>
            </w: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4,451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4,382</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Grant revenue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1,063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2,364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5,520</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generate revenue from sales of our products, collaboration agreements and government grants. Our products consist of single-use IFCs, various instruments, software and service related to our BioMark and Topaz systems. We also have entered into a number of research and development contracts and have received government grants to conduct research and development activities.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Total Revenue</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total revenue increased $2.5 million, or 84%, for the six months ended June 28, 2008 compared to the six months ended June 30, 2007. Total revenue increased $0.9 million, or 14%, for 2007 as compared to 2006, and decreased by $1.3 million, or 17%, for 2006 as compared to 2005. Total revenue from our five largest customers comprised 48%, 56%, 47% and 37% of revenue in 2005, 2006, 2007 and the six months ended June 28, 2008.</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we expand our business through Europe and Asia, we expect our sales from outside of North America to increase as a percentage of our revenue. The following table presents our revenue by geography based on the billing address of our customers for each period presented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42"/>
              <w:spacing w:after="0"/>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Six Months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180"/>
              <w:spacing w:after="0"/>
              <w:rPr>
                <w:sz w:val="20"/>
                <w:szCs w:val="20"/>
                <w:color w:val="auto"/>
              </w:rPr>
            </w:pPr>
            <w:r>
              <w:rPr>
                <w:rFonts w:ascii="Arial" w:cs="Arial" w:eastAsia="Arial" w:hAnsi="Arial"/>
                <w:sz w:val="10"/>
                <w:szCs w:val="10"/>
                <w:b w:val="1"/>
                <w:bCs w:val="1"/>
                <w:color w:val="auto"/>
              </w:rPr>
              <w:t>June 30, 2007</w:t>
            </w:r>
          </w:p>
        </w:tc>
        <w:tc>
          <w:tcPr>
            <w:tcW w:w="100" w:type="dxa"/>
            <w:vAlign w:val="bottom"/>
          </w:tcPr>
          <w:p>
            <w:pPr>
              <w:spacing w:after="0"/>
              <w:rPr>
                <w:sz w:val="10"/>
                <w:szCs w:val="10"/>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June 28, 2008</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5,557</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3,807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3,492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3"/>
              </w:rPr>
              <w:t>1,231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6"/>
              </w:rPr>
              <w:t>2,530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Singapore</w:t>
            </w:r>
          </w:p>
        </w:tc>
        <w:tc>
          <w:tcPr>
            <w:tcW w:w="80" w:type="dxa"/>
            <w:vAlign w:val="bottom"/>
          </w:tcPr>
          <w:p>
            <w:pPr>
              <w:spacing w:after="0"/>
              <w:rPr>
                <w:sz w:val="12"/>
                <w:szCs w:val="1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879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1,972</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889</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1,027</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1,274</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1,492</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543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Europe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545</w:t>
            </w:r>
          </w:p>
        </w:tc>
        <w:tc>
          <w:tcPr>
            <w:tcW w:w="38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189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735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631</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953</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31</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344</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84</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467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7,674</w:t>
            </w:r>
          </w:p>
        </w:tc>
        <w:tc>
          <w:tcPr>
            <w:tcW w:w="3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6,398</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7,275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2,997</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5,520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2"/>
        </w:trPr>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We derive product revenue from sales to biotechnology and pharmaceutical companies, academic institutions and life science laboratories worldwide. These sales are generally made through direct sales personnel to customers in North America, Asia Pacific and most of Europe and through distributors in parts of Europe and the Asia-Pacific region.</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Product revenue increased by $2.9 million, or 194%, for the six months ended June 28, 2008 compared to the six months ended June 30, 2007. Revenue from our BioMark instrument</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systems and related IFCs increased by $2.4 million, and revenue from our Topaz instrument systems and related IFCs increased by $0.5 million. We sold 10 BioMark instrument systems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 Topaz instrument systems in the six months ended June 28, 2008 compared to 6 BioMark instrument systems and 6 Topaz instrument systems in the six months ended June 30, 2007. Our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deferred product revenue balance decreased from $2.7 million as of December 29, 2007 to $2.6 million as of June 28, 2008 and increased from $0.6 million as of December 31, 2006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 million as of June 30, 2007. We recognized $1.8 million of the deferred product revenue balance as of December 29, 2007 during the six months ended June 28, 2008 and $0.3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deferred product revenue balance as of December 31, 2006 during the six months ended June 30, 2007.</w:t>
      </w:r>
    </w:p>
    <w:p>
      <w:pPr>
        <w:spacing w:after="0" w:line="8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Product revenue for 2007 increased by $0.5 million, or 12%, compared to 2006. Revenues from our BioMark instrument systems and related IFCs which were introduced in late 2006 increased by $1.3 million, as we sold 14 BioMark instrument systems during 2007 compared to three BioMark instrument systems during 2006. This increase, however, was mostly offset by a decrease of $1.2 million related to a decrease in the sales of our Topaz IFCs. The unit sales of our Topaz instrument systems remained constant as we sold 10 Topaz instrument systems during both 2006 and 2007. In addition, our deferred product revenue balance increased from $0.6 million at December 31, 2006 to $2.7 million at December 29, 2007 as we sold more BioMark instrument systems as part of multiple element arrangements for which we did not have VSOE on post-contract support. We recognized $0.4 million of the deferred product revenue balance at December 31, 2006 during 2007. We expect the current portion of our deferred product revenue balance as of December 29, 2007 in the amount of $2.3 million will be recognized as product revenue during 2008. Product revenue for 2006 decreased by $2.1 million, or 35%, when compared to 2005. The decrease was primarily due to a decrease in the sales of our Topaz instrument systems as we sold 10 Topaz instrument systems during 2006 compared to 16 Topaz instrument systems during 2005; however, sales of our Topaz IFCs remained relatively consistent with 2005.</w:t>
      </w:r>
    </w:p>
    <w:p>
      <w:pPr>
        <w:spacing w:after="0" w:line="74"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increase in sales of our BioMark instrument systems in 2007 and the concurrent decrease in sales of our Topaz systems reflect the refocusing of our product development and sales and marketing efforts, beginning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2005, to focus on the larger markets served by our BioMark instrument systems. Since then, we have reduced new Topaz product introductions. We will continue to manufacture and sell our Topaz instrument systems and IFCs and we expect unit sales of Topaz instrument systems and IFCs in 2008 and future periods to be consistent with or slightly lower than the 2006 and 2007 levels. We expect unit sales of our BioMark instrument systems and IFCs to increase in 2008.</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We receive payments from third parties under research and development contracts. Fixed-fee research and development contracts generally provide us with up-front and periodic milestone-based fees. Variable-fee research and development contracts generally provide us with fees based on an agreed-upon rate for time incurred by our research staff.</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Collaboration revenue decreased $0.2 million, or 77%, for the six months ended June 28, 2008 compared to the six months ended June 30, 2007. The decrease relates to the completion of one of our development agreements in the first quarter of 2007. Collaboration revenue for 2007 decreased by $0.9 million, or 67%, compared to 2006. This decrease was primarily due to the completion of one of our collaboration agreements during 2006 that accounted for $1.0 million of our 2006 collaboration revenue. Collaboration revenue for 2006 decreased by $0.2 million, or 12%, compared to 2005. The decrease was primarily due to the termination of one of our collaboration agreements in December 2005. We expect collaboration revenue to continue to decrease due to the completion of our current collaboration agreements during 2008.</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receive payments in the form of grants from certain government entities. Government grants are agreements that generally provide incentive grant payments for specified research and development activities over a contractually defined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Grant revenue decreased $0.1 million, or 11%, for the six months ended June 28, 2008 compared to the six months ended June 30, 2007. The decrease relates to the reduction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activity for the National Institutes of Health, or NIH, grant agreement that terminated in June 2008. Grant revenue for 2007 increased by $1.3 million, or 122%, when compared to 2006,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grant revenue for 2006 increased by $1.0 million when compared to 2005. These increases were primarily due to the addition of a grant from the NIH, which was entered into in June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2006, and grants from EDB, which were entered into in October 2005 and February 2007. We recognized revenue from the 2005 EDB grant in the amount of $0.9 million during 2006,</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 million during 2007 and $0.6 million for the six months ended June 28, 2008. In addition, we recognized revenue in the amount of $0.6 million during 2007 and $0.2 million during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six months ended June 28, 2008 from the 2007 EDB grant. Under our incentive grant agreements with EDB, eligible expenses incurred by us in Singapore were $4.0 million in 2006,</w:t>
      </w:r>
    </w:p>
    <w:p>
      <w:pPr>
        <w:spacing w:after="0" w:line="19"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$4.5 million in 2007 and $1.9 million in the six months ended June 28, 2008. Also, we recognized revenue from the NIH grant in the amount of $0.2 million during 2006 and $0.6 million during 2007.</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agreements with EDB provide that grants extended to us in the past and future grants are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during the three years ended December 29, 2007 included completion of feasibility studies and prototype development, establishment of manufacturing lines, implementation of quality control improvements, manufacturing process simplification and cost improvements and manufacturing yield improvements for our Topaz and BioMark IFCs and related systems. These agreements further provide EDB with the right to demand repayment of a portion of past grants in the event that we did not meet our obligations under the applicable agreements. Based on correspondence with EDB, we believe we have satisfied the conditions applicable to our EDB grant revenue through June 28, 2008.</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Although the NIH grant is scheduled to terminate in June 2008, we expect grant revenue from the EDB research grants to increase in 2008 and remain at such levels through 2011. As a result, we expect our total grant revenue in 2008 through 2011 to be consistent with 2007 levels.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of Product Revenue and Gross Margin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cost of revenue and gross margin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5760" w:type="dxa"/>
            <w:vAlign w:val="bottom"/>
          </w:tcPr>
          <w:p>
            <w:pPr>
              <w:spacing w:after="0"/>
              <w:rPr>
                <w:sz w:val="7"/>
                <w:szCs w:val="7"/>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920" w:type="dxa"/>
            <w:vAlign w:val="bottom"/>
            <w:tcBorders>
              <w:top w:val="single" w:sz="8" w:color="auto"/>
            </w:tcBorders>
            <w:gridSpan w:val="2"/>
          </w:tcPr>
          <w:p>
            <w:pPr>
              <w:jc w:val="center"/>
              <w:ind w:right="400"/>
              <w:spacing w:after="0" w:line="81" w:lineRule="exact"/>
              <w:rPr>
                <w:sz w:val="20"/>
                <w:szCs w:val="20"/>
                <w:color w:val="auto"/>
              </w:rPr>
            </w:pPr>
            <w:r>
              <w:rPr>
                <w:rFonts w:ascii="Arial" w:cs="Arial" w:eastAsia="Arial" w:hAnsi="Arial"/>
                <w:sz w:val="9"/>
                <w:szCs w:val="9"/>
                <w:b w:val="1"/>
                <w:bCs w:val="1"/>
                <w:color w:val="auto"/>
                <w:w w:val="99"/>
              </w:rPr>
              <w:t>June 30,</w:t>
            </w:r>
          </w:p>
        </w:tc>
        <w:tc>
          <w:tcPr>
            <w:tcW w:w="480" w:type="dxa"/>
            <w:vAlign w:val="bottom"/>
            <w:tcBorders>
              <w:top w:val="single" w:sz="8" w:color="auto"/>
            </w:tcBorders>
          </w:tcPr>
          <w:p>
            <w:pPr>
              <w:jc w:val="right"/>
              <w:ind w:right="2"/>
              <w:spacing w:after="0" w:line="81" w:lineRule="exact"/>
              <w:rPr>
                <w:sz w:val="20"/>
                <w:szCs w:val="20"/>
                <w:color w:val="auto"/>
              </w:rPr>
            </w:pPr>
            <w:r>
              <w:rPr>
                <w:rFonts w:ascii="Arial" w:cs="Arial" w:eastAsia="Arial" w:hAnsi="Arial"/>
                <w:sz w:val="9"/>
                <w:szCs w:val="9"/>
                <w:b w:val="1"/>
                <w:bCs w:val="1"/>
                <w:color w:val="auto"/>
              </w:rPr>
              <w:t>June 28,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76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48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76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  4,764</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2,773</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3,514</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  1,490</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  2,988</w:t>
            </w:r>
          </w:p>
        </w:tc>
        <w:tc>
          <w:tcPr>
            <w:tcW w:w="0" w:type="dxa"/>
            <w:vAlign w:val="bottom"/>
          </w:tcPr>
          <w:p>
            <w:pPr>
              <w:spacing w:after="0"/>
              <w:rPr>
                <w:sz w:val="1"/>
                <w:szCs w:val="1"/>
                <w:color w:val="auto"/>
              </w:rPr>
            </w:pP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Gross margin</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Cost of product revenue includes manufacturing costs incurred in the production process, including component materials, assembly labor and overhead, testing, installation, warranty, packaging and delivery costs. In addition, cost of product revenue includes royalty expenses for licensed technologies included in our products, provisions for warranties and stock-based compensation expense. Costs related to collaboration and government grant revenue are included in research and development expense.</w:t>
      </w:r>
    </w:p>
    <w:p>
      <w:pPr>
        <w:spacing w:after="0" w:line="5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Cost of product revenue increased $1.5 million, or 100%, for the six months ended June 28, 2008 compared to the six months ended June 30, 2007. The increase related to the increase in product revenue from both higher instrument and IFC sales. Cost of product revenue in the first six months of 2007 was adversely affected by start-up costs for our new Singapore manufacturing facility and underutilized capacity as we transitioned manufacturing from the United States to Singapore. Cost of product revenue for 2007 increased $0.7 million, or 27%, compared to 2006, primarily driven by higher instrument sales, start-up costs for our new Singapore manufacturing facility and underutilized capacity as we transitioned manufacturing from the United States to Singapore. Cost of product revenue for 2006 decreased by $2.0 million, or 42%, when compared to 2005, primarily driven by a decrease in sales of our Topaz instruments during 2006. We expect our unit costs to decline in future periods as a result of our ongoing efforts to automate our manufacturing processes and expected increases in production volumes and yields. However, improvement in unit costs may be offset by increasing price competition, which could cause our gross margins to fluctuate from year-to-year and quarter-to-quarter.</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operating expenses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41"/>
              <w:spacing w:after="0" w:line="81" w:lineRule="exact"/>
              <w:rPr>
                <w:sz w:val="20"/>
                <w:szCs w:val="20"/>
                <w:color w:val="auto"/>
              </w:rPr>
            </w:pPr>
            <w:r>
              <w:rPr>
                <w:rFonts w:ascii="Arial" w:cs="Arial" w:eastAsia="Arial" w:hAnsi="Arial"/>
                <w:sz w:val="9"/>
                <w:szCs w:val="9"/>
                <w:b w:val="1"/>
                <w:bCs w:val="1"/>
                <w:color w:val="auto"/>
              </w:rPr>
              <w:t>June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11,449</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15,589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7,053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7,151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6,183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9,843</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19,404</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25,288</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13,236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16,994</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Research and development expense consists primarily of personnel costs, independent contractor costs, prototype expenses and other allocated facilities and information technology expenses. We have made substantial investments in research and development since our inception. Our research and development efforts have focused primarily on the tasks required to optimize our technologies and to support commercialization of the products and services derived from these technologies.</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Research and development expense decreased $0.1 million, or 1%, for the six months ended June 28, 2008 compared to the six months ended June 30, 2007. The decrease relates to a decrease of $0.2 million in supply costs and $0.3 million in license costs partially offset by a $0.7 million increase in compensation costs due to increased research and development headcount. Research and development expense decreased in 2007 by $1.2 million, or 8%, compared to 2006, primarily due to decreased contractor costs of $0.6 million and decreased research and development license costs of $0.3 million. Research and development expense for 2006 increased by $4.1 million,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or 36%, compared to 2005, primarily due to increased compensation costs of $2.1 million due mostly to a significant increase in research and development headcount and $0.1 million related to the adoption of SFAS 123(R) during 2006, $0.6 million attributable to increased contractor expenses and $0.6 million in increased license costs and royalties. We believe that our continued investment in research and development is essential to a long-term competitive position and expect these expenses, including stock-based compensation, to increase in future periods.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Selling, general and administrative expense increased $3.7 million, or 59%, for the six months ended June 28, 2008 compared to the six months ended June 30, 2007. The increase relates to a $0.6 million increase for accounting and consulting services, a $1.7 million increase in compensation costs due to increased head count, a $0.6 million increase in patent filings, a $0.3 million increase in advertising and promotions, and a $0.2 million increase in supplies. Selling, general and administrative expense for 2007 increased by $3.2 million, or 33%, compared to 2006, primarily due to increased compensation costs of $1.4 million due mostly to an increase in headcount and a $0.3 million increase in stock-based compensation over 2006, an increase of $1.8 million in spending primarily for accounting and legal services, $0.3 million resulting from increased advertising and promotions, and $0.2 million attributable to increased supplies for customer demonstrations. However, this increase was partially offset by a decrease of $0.6 million due to fewer patent filings. Selling, general administrative expense for 2006 increased by $1.7 million, or 22%, compared to 2005, primarily due to increased compensation costs of $0.7 million due to an increase in headcount, an increase of $0.6 million in spending primarily for accounting and legal services, and $0.4 million due to the filing of additional patents. We expect selling, general and administrative expense, including stock-based compensation, to significantly increase in 2008 and future periods as we continue to grow our sales, technical support, marketing and administrative headcount, support increased product sales, broaden our customer base and incur additional costs to support the growth in our business.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 and Expense</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receive interest income from our cash and cash equivalents and our available-for-sale security balances held with certain financial institutions. Conversely, we incur interest expense from our long-term debt and convertible promissory notes and the amortization of our debt discounts related to these items. The following table presents our interest income and expense for each period presented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June 28,</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20"/>
                <w:szCs w:val="20"/>
                <w:color w:val="auto"/>
              </w:rPr>
            </w:pPr>
            <w:r>
              <w:rPr>
                <w:rFonts w:ascii="Arial" w:cs="Arial" w:eastAsia="Arial" w:hAnsi="Arial"/>
                <w:sz w:val="13"/>
                <w:szCs w:val="13"/>
                <w:color w:val="auto"/>
              </w:rPr>
              <w:t>Interest income</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  340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565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20"/>
                <w:szCs w:val="20"/>
                <w:color w:val="auto"/>
              </w:rPr>
            </w:pPr>
            <w:r>
              <w:rPr>
                <w:rFonts w:ascii="Arial" w:cs="Arial" w:eastAsia="Arial" w:hAnsi="Arial"/>
                <w:sz w:val="13"/>
                <w:szCs w:val="13"/>
                <w:color w:val="auto"/>
              </w:rPr>
              <w:t>Interest expense</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(898)</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(2,261)</w:t>
            </w: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(2,790)</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(1,790)</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579"/>
        <w:spacing w:after="0"/>
        <w:rPr>
          <w:sz w:val="20"/>
          <w:szCs w:val="20"/>
          <w:color w:val="auto"/>
        </w:rPr>
      </w:pPr>
      <w:r>
        <w:rPr>
          <w:rFonts w:ascii="Arial" w:cs="Arial" w:eastAsia="Arial" w:hAnsi="Arial"/>
          <w:sz w:val="13"/>
          <w:szCs w:val="13"/>
          <w:color w:val="auto"/>
        </w:rPr>
        <w:t>Interest income decreased by $8,000, or 1%, for the six months ended June 28, 2008 compared to the six months ended June 30, 2007. Interest income for 2007 increased by</w:t>
      </w:r>
    </w:p>
    <w:p>
      <w:pPr>
        <w:spacing w:after="0" w:line="15" w:lineRule="exact"/>
        <w:rPr>
          <w:sz w:val="20"/>
          <w:szCs w:val="20"/>
          <w:color w:val="auto"/>
        </w:rPr>
      </w:pPr>
    </w:p>
    <w:p>
      <w:pPr>
        <w:ind w:left="680" w:right="100"/>
        <w:spacing w:after="0" w:line="290" w:lineRule="auto"/>
        <w:rPr>
          <w:sz w:val="20"/>
          <w:szCs w:val="20"/>
          <w:color w:val="auto"/>
        </w:rPr>
      </w:pPr>
      <w:r>
        <w:rPr>
          <w:rFonts w:ascii="Arial" w:cs="Arial" w:eastAsia="Arial" w:hAnsi="Arial"/>
          <w:sz w:val="12"/>
          <w:szCs w:val="12"/>
          <w:color w:val="auto"/>
        </w:rPr>
        <w:t>$0.6 million compared to 2006. The increase in interest income was due to higher cash and available-for-sale securities balances during 2007 as compared to 2006. Interest income for 2006 increased by $0.2 million compared to 2005. The increase in interest income was also primarily due to higher cash and available-for-sale securities balances during 2006 as compared to 2005. We expect interest income to increase as we invest a portion of the net proceeds from this offering in available-for-sale securities.</w:t>
      </w:r>
    </w:p>
    <w:p>
      <w:pPr>
        <w:spacing w:after="0" w:line="53"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Interest expense decreased $0.7 million, or 39%, for the six months ended June 28, 2008 compared to the six months ended June 30, 2007 due to lower average debt balance due to conversion of the $10.0 million promissory notes in March 2007. Interest expense for 2007 increased by $0.5 million compared to 2006. The increase was primarily due to higher debt balances during 2007 as compared to 2006 primarily due to the $5.0 million convertible promissory note issued in April 2007. Interest expense for 2006 increased by $1.4 million compared to 2005. The increase was primarily due to higher debt balances from the $13.0 million loan and security agreement that was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fully drawn by December 2005. In February 2008, this loan and security agreement was amended to provide us with an additional credit line in the amount of $10.0 million. We borrowed the full $10.0 million under this additional credit line in June 2008 and, as a result, we expect our interest expense to increase in future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Cumulative Effect of Change in Accounting Principle</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Upon adoption of FSP 150-5 on July 1, 2005, we reclassified the fair value of warrants to purchase shares of our convertible preferred stock from stockholders’ equity to liabilities and recorded a cumulative effect of a change in accounting principle in the amount of $0.6 million during 2005 in the statement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As of June 28, 2008, we had $29.0 million of cash and cash equivalents and $3.5 million of available-for-sale securities. As of June 28, 2008, our working capital was $28.6 million, and we had an accumulated deficit of $149.1 million. Since our inception, we have principally funded our operations through issuances of convertible preferred stock, which has provided us with aggregate net proceeds of $167.5 million, of which $20.0 million was provided by entities affiliated with EDB in the form of convertible promissory notes that converted into convertible preferred stock. We have also received significant funding in the form of loans that have provided us with aggregate net proceeds of $26.6 million.</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 in October 2005.</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maximum amount of grant revenue available to us under our first grant agreement with EDB from June 28, 2008 through July 31, 2010 is SG$5.2 million (approximately US$3.8 using a June 28, 2008 exchange rate), and the maximum amount of grant revenue available to us under our second grant agreement with EDB from June 28, 2008 through May 31, 2011 is SG$2.5 million (approximately US$1.8 million). To maintain eligibility for incentive grant payments under these agreements, we are required to achieve development and manufacturing milestones as agreed to by the parties. In addition, to maintain eligibility for incentive grant payments under our first grant agreement, we are required to incur annual spending in Singapore of at least SG$6.5 million (approximately US$4.8 million) in 2008 and 2009 and at least SG$8.0 million (approximately US$5.9 million) in 2010. To maintain eligibility for grant payments under our second grant agreement, we are required to incur annual spending in Singapore of at least SG$6.5 million (approximately US$4.8 million) for the 12 months ending May 31, 2009 and 2010 and at least SG$9.0 million (approximately US$6.6 million) for the 12 months ending May 31, 2011. 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IFC systems and not our IFCs themselves. Our first grant agreement also requires that we employ at least 24 research scientists and engineers in Singapore by December 31, 2009, and our second grant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The requirements of the second grant agreement may only be satisfied by personnel employed in the research and development of IFC instrumentation. As of June 28, 2008, we employed 16 research scientists and engineers involved in the research and development of our IFCs and 10 research scientists and engineers involved in the research and development of related instrumentation in Singapore. 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6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entered into multiple convertible note purchase agreements with Biomedical Sciences Investment Fund Pte. Ltd., or BMSIF, pursuant to which we issued convertible notes and received proceeds in the amount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$20.0 million through June 28, 2008. BMSIF is wholly-owned by EDB Investments Pte. Ltd., whose parent entity is EDB. Ultimately, each of these entities is controlled by the government of Singapore. As of June 28, 2008, there were no outstanding principal and accrued interest balances for our convertible note purchase agreements with BMSIF as the final remaining note was converted into shares of our Series E preferred stock in April 2008.</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November 2002, we entered into a master security agreement with a lender under which we borrowed $3.6 million to be used for purchases of capital equipment, software and tenant improvements. The outstanding principal and accrued interest balance for this loan was paid in February 2008. Upon full payment of the debt in February 2008, restricted cash in the amount of $0.5 million was released by the lender.</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March 2005, we entered into a loan and security agreement with a lender under which we borrowed $13.0 million to be used for general corporate purposes. We are currently making equal monthly payments of $0.3 million towards the loan which is to be paid off in February 2010. The loan is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the Company drew down the $10,000,000. The loan will bear interest at 11.5% per annum. Interest only payments will be made monthly through the remainder of 2008 with monthly payments of principal and interest in the amount of $369,000, beginning in January 2009, to be made through June 2011. The agreement also requires a final payment in the amount of $650,000 in June 2011. As of June 28, 2008, the outstanding principal and accrued interest balance for this loan and security agreement was $16.6 million, net of unamoritized debt discounts of $0.4 million.</w:t>
      </w:r>
    </w:p>
    <w:p>
      <w:pPr>
        <w:spacing w:after="0" w:line="73"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June 28, 2008, we were in compliance with the above covenants with the exception of the timely delivery of our audited financial statements for 2007. In this instance, we obtained a waiver from the lender and subsequently complied with the covenant. We are currently unaware of any circumstances that would prevent us from complying with these covenants in the future.</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derive cash flows from operations primarily from cash collected from the sale of our products and related services, collaboration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we expect this trend to continue for the foreseeable future as our business grows and we continue to expand into new markets.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used by operating activities was $16.0 million for the six months ended June 28, 2008. Net cash used by operating activities primarily consisted of a net loss of</w:t>
      </w:r>
    </w:p>
    <w:p>
      <w:pPr>
        <w:spacing w:after="0" w:line="27" w:lineRule="exact"/>
        <w:rPr>
          <w:sz w:val="20"/>
          <w:szCs w:val="20"/>
          <w:color w:val="auto"/>
        </w:rPr>
      </w:pPr>
    </w:p>
    <w:p>
      <w:pPr>
        <w:jc w:val="both"/>
        <w:ind w:left="680" w:right="60"/>
        <w:spacing w:after="0" w:line="290" w:lineRule="auto"/>
        <w:rPr>
          <w:sz w:val="20"/>
          <w:szCs w:val="20"/>
          <w:color w:val="auto"/>
        </w:rPr>
      </w:pPr>
      <w:r>
        <w:rPr>
          <w:rFonts w:ascii="Arial" w:cs="Arial" w:eastAsia="Arial" w:hAnsi="Arial"/>
          <w:sz w:val="12"/>
          <w:szCs w:val="12"/>
          <w:color w:val="auto"/>
        </w:rPr>
        <w:t>$15.3 million, changes in our operating assets and liabilities in the amount of $3.2 million and foreign exchange gain in the amount of $0.1 million, which were partially offset by non-cash expense items such as depreciation and amortization of our property and equipment in the amount of $0.8 million, adjustments to the fair value of convertible preferred stock warrants in the amount of $0.4 million, amortization of debt discounts and issuance cost of $0.4 million, and stock-based compensation in the amount of $1.0 million.</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used by operating activities was $21.8 million during 2007. Net cash used by operating activities primarily consisted of a net loss of $25.5 million, which was partially offset by non-cash expense items such as depreciation and amortization of our property and equipment in the amount of $1.6 million, amortization of debt discounts in the amount of $0.5 million, stock-based compensation in the amount of $0.7 million, and changes in our operating assets and liabilities in the amount of $0.4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Net cash used by operating activities was $22.3 million during 2006. Net cash used by operating activities primarily consisted of a net loss of $23.6 million and changes in our operating assets and liabilities in the amount of $1.2 million. The cash used by operating activities for these items was partially offset by non-cash expense items such as depreciation and amortization of our property and equipment in the amount of $1.4 million, amortization of our debt discounts in the amount of $0.1 million, stock-based compensation in the amount of $0.1 million, and the issuance of convertible preferred stock under a license agreement in the amount of $0.6 million.</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Net cash used by operating activities was $14.3 million during 2005. Net cash used by operating activities primarily consisted of a net loss of $16.4 million. The cash used by operating activities was partially offset by non-cash expense items such as depreciation and amortization of our property and equipment in the amount of $1.3 million and increases in our operating assets and liabilities in the amount of $1.4 million.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generated $3.2 million of cash in investing activities for the six months ended June 28, 2008 primarily from maturities of available-for-sale securities in the amount of</w:t>
      </w:r>
    </w:p>
    <w:p>
      <w:pPr>
        <w:spacing w:after="0" w:line="27"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$4.3 million, sales of available-for-sale securities in the amount of $3.0 million and a reduction of restricted cash of $0.6 million, partially offset by purchases of available-for-sale securities in the amount of $4.5 million and purchases of capital equipment of $0.2 million.</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used $6.7 million of cash in investing activities during 2007, primarily for purchases of available-for-sale securities in the amount of $6.3 million and $1.0 million for capital expenditures related to purchases of equipment, including $0.6 million for our Singapore manufacturing facility, partially offset by maturities of available-for-sale securities in the amount of $0.5 million.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used $2.9 million of cash in investing activities during 2006, primarily for capital expenditures in the amount of $2.9 million related to purchases of equipment, including $1.9 million for our Singapore manufacturing facility.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2005, investing activities provided cash of $6.8 million. This cash was generated primarily from sales and maturities of available-for-sale securities in the amount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$8.9 million, partially offset by purchases of available-for-sale securities in the amount of $0.5 million and capital expenditures in the amount of $1.7 million. Our capital expenditures during 2005 included $0.8 million related to purchases of manufacturing equipment for our Singapore facility, which began operations during the year.</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Historically, we have principally funded our operations through issuances of convertible preferred stock.</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During the six months ended June 28, 2008, we generated $7.6 million of cash from financing activities primarily due to proceeds from our amended loan and security agreement in the amount of $10.0 million, partially offset by repayment of long-term debt. During 2007, we generated $37.6 million of cash from financing activities primarily due to $35.9 million of net proceeds from sales of our Series E preferred stock and $5.0 million of proceeds from the issuance of convertible promissory notes, partially offset by repayments of our long-term debt in the amount of $3.5 million. During 2006, we generated approximately $31.1 million of cash from financing activities primarily due to $22.0 million of net proceeds from sales of our Series E preferred stock and $13.0 million of proceeds from the issuance of convertible promissory notes, partially offset by repayments of our long-term debt in the amount of $4.0 million. During 2005, we generated approximately $23.0 million of cash from financing activities, primarily due to $10.0 million of net proceeds from sales of our Series D preferred stock and $14.7 million of net proceeds from the issuance of long-term debt, partially offset by repayments of our long-term debt in the amount of $1.7 million.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Capital Resources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believe our existing cash and cash equivalents, available-for-sale securities, amounts available under current credit lines and the net proceeds from this offering, will be sufficient to meet our working capital and capital expenditure needs for at least the next 18 months. However, we may need to raise substantial additional capital to expand the commercialization of our products, fund our operations, continue our research and development, defend, in litigation or otherwise, any claims that we infringe third-party patents or violate other intellectual property rights, commercialize new products and acquire companies and in-license products or intellectual property.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to expand our sales force, to support the ongoing commercialization of our products, for research and product development activities, to expand our facilities and manufacturing operations, and for working capital and other general corporate purposes. As of the date of this prospectus, we cannot predict with certainty all of the particular uses for the proceeds from this offering or the amounts that we will actually spend on the uses set forth above.</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our inception, we have not had any off-balance sheet arrangements as defined in Item 303(a)(4) of the Securities and Exchange Commission’s Regulation S-K.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our contractual obligations as of December 29, 2007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7"/>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Less Than</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3-5 Years</w:t>
            </w:r>
          </w:p>
        </w:tc>
        <w:tc>
          <w:tcPr>
            <w:tcW w:w="12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1 Year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10,908</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4,478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6,430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0" w:firstLine="399"/>
        <w:spacing w:after="0" w:line="371" w:lineRule="auto"/>
        <w:rPr>
          <w:sz w:val="20"/>
          <w:szCs w:val="20"/>
          <w:color w:val="auto"/>
        </w:rPr>
      </w:pPr>
      <w:r>
        <w:rPr>
          <w:rFonts w:ascii="Arial" w:cs="Arial" w:eastAsia="Arial" w:hAnsi="Arial"/>
          <w:sz w:val="11"/>
          <w:szCs w:val="11"/>
          <w:color w:val="auto"/>
        </w:rPr>
        <w:t>Our operating lease obligations relate to leases for our current headquarters and leases for office space for our foreign subsidiaries. Principal and interest on our convertible promissory notes are convertible into shares of our Series E preferred stock at the lender’s election, at any time, or upon our election upon the achievement of certain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milestones or automatically upon the completion of this offering. Purchase obligations consist of contractual and legally binding commitments to purchase goods. We have entered into several patent license agreements in which we are obligated to pay annual license maintenance fees, non-refundable license issuance fees and royalties as a percentage of sales for the sale or sublicense of products using the licensed technology.</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$315,000 in 2008 and $270,000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70" w:lineRule="exact"/>
        <w:rPr>
          <w:sz w:val="20"/>
          <w:szCs w:val="20"/>
          <w:color w:val="auto"/>
        </w:rPr>
      </w:pPr>
    </w:p>
    <w:p>
      <w:pPr>
        <w:ind w:left="680" w:right="500" w:firstLine="399"/>
        <w:spacing w:after="0" w:line="258" w:lineRule="auto"/>
        <w:rPr>
          <w:sz w:val="20"/>
          <w:szCs w:val="20"/>
          <w:color w:val="auto"/>
        </w:rPr>
      </w:pPr>
      <w:r>
        <w:rPr>
          <w:rFonts w:ascii="Arial" w:cs="Arial" w:eastAsia="Arial" w:hAnsi="Arial"/>
          <w:sz w:val="13"/>
          <w:szCs w:val="13"/>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Subsequent to our year ended December 29, 2007, the remaining outstanding principal and accrued interest balance for a master security agreement in the amount of $1.1 million was paid in February 2008. The loan was originally scheduled to be repaid in monthly installments though July 2009 and, accordingly, was reflected in the table above as such. Also, the convertible promissory notes noted in the table above were converted into shares of our Series E preferred stock during April 2008 in accordance with the convertible note purchase agreements with BMSIF. In June 2008, we drew an additional $10.0 million from our amended loan and security agreement.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40" w:firstLine="399"/>
        <w:spacing w:after="0" w:line="305" w:lineRule="auto"/>
        <w:rPr>
          <w:sz w:val="20"/>
          <w:szCs w:val="20"/>
          <w:color w:val="auto"/>
        </w:rPr>
      </w:pPr>
      <w:r>
        <w:rPr>
          <w:rFonts w:ascii="Arial" w:cs="Arial" w:eastAsia="Arial" w:hAnsi="Arial"/>
          <w:sz w:val="11"/>
          <w:szCs w:val="11"/>
          <w:color w:val="auto"/>
        </w:rPr>
        <w:t xml:space="preserve">In September 2006, the FASB issued SFAS No. 157, </w:t>
      </w:r>
      <w:r>
        <w:rPr>
          <w:rFonts w:ascii="Arial" w:cs="Arial" w:eastAsia="Arial" w:hAnsi="Arial"/>
          <w:sz w:val="11"/>
          <w:szCs w:val="11"/>
          <w:i w:val="1"/>
          <w:iCs w:val="1"/>
          <w:color w:val="auto"/>
        </w:rPr>
        <w:t>Fair Value Measurement</w:t>
      </w:r>
      <w:r>
        <w:rPr>
          <w:rFonts w:ascii="Arial" w:cs="Arial" w:eastAsia="Arial" w:hAnsi="Arial"/>
          <w:sz w:val="11"/>
          <w:szCs w:val="11"/>
          <w:color w:val="auto"/>
        </w:rPr>
        <w:t>, or SFAS 157, which defines and establishes a framework for measuring the fair value of assets and liabilities when required or permitted by other standards within generally accepted accounting principles in the United States but does not require any new fair value measurements.</w:t>
      </w:r>
    </w:p>
    <w:p>
      <w:pPr>
        <w:spacing w:after="0" w:line="1"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SFAS 157 also expands disclosures about fair value measurements. SFAS 157 is effective for all financial statements issued for fiscal years beginning after November 15, 2007. However, in February 2008 the FASB issued FSP No. 157-2, or FSP 157-2 which delays the effective date of SFAS 157 in accordance with the provisions in FSP 157-2 as of January 1, 2008. The adoption of SFAS 157 did not have a significant impact on our consolidated financial statements and the resulting fair values calculated in accordance with SFAS 157 were not significantly different than the fair values that would have been calculated in accordance with the previous guidance.</w:t>
      </w:r>
    </w:p>
    <w:p>
      <w:pPr>
        <w:spacing w:after="0" w:line="7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or SFAS 159, including an amendment of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w:t>
      </w:r>
      <w:r>
        <w:rPr>
          <w:rFonts w:ascii="Arial" w:cs="Arial" w:eastAsia="Arial" w:hAnsi="Arial"/>
          <w:sz w:val="13"/>
          <w:szCs w:val="13"/>
          <w:i w:val="1"/>
          <w:iCs w:val="1"/>
          <w:color w:val="auto"/>
        </w:rPr>
        <w:t xml:space="preserve"> </w:t>
      </w:r>
      <w:r>
        <w:rPr>
          <w:rFonts w:ascii="Arial" w:cs="Arial" w:eastAsia="Arial" w:hAnsi="Arial"/>
          <w:sz w:val="13"/>
          <w:szCs w:val="13"/>
          <w:color w:val="auto"/>
        </w:rPr>
        <w:t>measurements for the financial instruments and liabilities an entity elects to measure at fair value will be recognized in earnings. SFAS 159 also establishes additional disclosure requirements. SFAS 159 is effective for fiscal years beginning after November 15, 2007. The adoption of SFAS 159 did not have a significant impact on our consolidated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or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that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We are currently assessing the impact the adoption of EITF 07-1 will have on our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Activities</w:t>
      </w:r>
      <w:r>
        <w:rPr>
          <w:rFonts w:ascii="Arial" w:cs="Arial" w:eastAsia="Arial" w:hAnsi="Arial"/>
          <w:sz w:val="13"/>
          <w:szCs w:val="13"/>
          <w:color w:val="auto"/>
        </w:rPr>
        <w:t>, or 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We adopted EITF 07-3 as of December 30, 2007. The adoption of EITF 07-3 did not have a significant impact on our consolidated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June 28, 2008 would have been approximately $0.4 million foreign exchange loss recognized as a component of other expense within our consolidated statement of operations. To date, we have not entered into any foreign currency hedging contracts although we may do so in the future.</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Interest Rate Sensitivity</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had cash and cash equivalents of $25.0 million, $34.1 million and $29.0 million and available-for-sale securities of $0.5 million, $6.3 million and $3.5 million as of December 31, 2006, December 29, 2007 and June 28, 2008. These amounts were held primarily in cash on deposit with banks, money market funds, commercial paper, corporate notes or notes from government-sponsored agencies, which are short-term. Cash and cash equivalents and available-for-sale securities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2007 or the six months ended June 28, 2008, our interest income would not have been materially affected.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of December 31, 2006, December 29, 2007 and June 28, 2008, the principal amount of our long-term debt outstanding was $12.8 million, $9.4 million and $16.6 million and the principal and accrued interest amount of our convertible promissory notes outstanding was $13.1 million, $5.0 million and $0. The interest rates on a small portion of our long-term debt and convertible promissory notes are fixed, however, a portion of our long-term debt outstanding has interest rates that are variable and adjust periodically until December 31, 2008 based on the prime rate however, thereafter the interest rates are fixed. If overall interest rates had increased by 10% during 2007 or the six months ended June 28, 2008, our interest expense would not have been materially affected.</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Controls and Procedures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January 2008, in connection with the audit of our consolidated financial statements for 2005 and 2006, we determined that we had material weaknesses relating to our financial statement close and accrual process, revenue recognition, inventory costing, cost of sales, purchases cut-off and stock-based compensation. 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 These material weaknesses were as follows:</w:t>
      </w:r>
    </w:p>
    <w:p>
      <w:pPr>
        <w:spacing w:after="0" w:line="53"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did not have a sufficient number of personnel in the accounting and finance department with sufficient proficiency and technical accounting expertise;</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did not have effective controls in place or designed to evaluate the accounting implications of our business transactions during 2005 and 2006 and to determine if such matters had been properly accounted for in a timely manner;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had not designed or maintained effective operating controls over the financial statement close and reporting process in order to ensure the accurate and timely preparation of our financial statements in accordance with generally accepted accounting principles.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These material weaknesses resulted in the recording of numerous audit adjustments for 2005 and 2006. We have taken steps intended to remediate these material weaknesses through:</w:t>
      </w:r>
    </w:p>
    <w:p>
      <w:pPr>
        <w:spacing w:after="0" w:line="108" w:lineRule="exact"/>
        <w:rPr>
          <w:sz w:val="20"/>
          <w:szCs w:val="20"/>
          <w:color w:val="auto"/>
        </w:rPr>
      </w:pPr>
    </w:p>
    <w:p>
      <w:pPr>
        <w:ind w:left="1280" w:right="18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hiring of additional accounting and finance personnel with technical accounting and financial reporting experience, including Vikram Jog, our new Chief Financial Officer, who joined us in February 2008;</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engagement of a consulting firm to provide further accounting expertise to complement the skills of our existing team;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engagement of an accounting firm to advise us on local and international tax planning and compliance;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hiring of an experienced finance manager for Fluidigm Singapore Pte. Ltd., who joined us in May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increased scheduled communication and coordination among our finance teams in the United States and our foreign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enhanced coordination among, and training of, accounting, sales, technical support and legal personnel on transactional issues;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enhancements to our financial statement close process and financial close calendar to help enable processes and procedures to be completed on a timely basis;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installation of common accounting software and systems in our U.S. and Singapore offices.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April and May 2008, following the audit of our consolidated financial statements for 2007 and the review of our financial statements for the three months ended March 29, 2008, we reviewed our internal control over financial reporting and concluded that we had certain significant deficiencies, none of which were determined to be material weaknesses.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These significant deficiencies were as follows:</w:t>
      </w:r>
    </w:p>
    <w:p>
      <w:pPr>
        <w:spacing w:after="0" w:line="53" w:lineRule="exact"/>
        <w:rPr>
          <w:sz w:val="20"/>
          <w:szCs w:val="20"/>
          <w:color w:val="auto"/>
        </w:rPr>
      </w:pPr>
    </w:p>
    <w:p>
      <w:pPr>
        <w:ind w:left="1280" w:right="6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consolidation and elimination entries relating to intercompany transfer pricing to detect and eliminate intercompany profits embedded in deferred costs of our Japanese subsidiary;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did not have effective controls in place designed to apply SFAS 123R to option grants with a variety of vesting terms and to validate stock compensation expenses calculated by our option tracking software;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the valuation of our inventory.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needed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we may be unable to report our financial results accurately. The actions we plan to take are subject to continued management review supported by confirmation and testing, as well as audit committee oversight. While we expect to remediate these significant deficiencies, we cannot assure you that we will be able to do so in a timely manner, which could impair our ability to report our financial position, results of operations or cash flows accurately and timely.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integrate a diverse set of critical liquid handling functions on a nanoliter scale. Our IFCs can meter, combine, diffuse, fold, mix, separate or pump nanoliter volumes of fluids, with precise control and reproducibility, many thousands of times — all in parallel on a single chip. This technology enables our customers to perform thousands of sophisticated biochemical measurements on samples smaller than the content of a single cell, with minute volumes of reagents, in half the area of a credit card. We achieved this “integrated circuit for biology” by miniaturizing and integrating liquid handling components on a single microfabricated device. Through innovations in material science and manufacturing, our IFC architectures are highly flexible, and can be designed to support a wide range of applications and assay types. For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high-throughput DNA sequencing and molecular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18415</wp:posOffset>
            </wp:positionV>
            <wp:extent cx="3701415" cy="146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0141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Schematic of our 96.96 Dynamic Array IFC including an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enlarged section showing four of the IFC’s 9,216 test chambers.</w:t>
      </w:r>
    </w:p>
    <w:p>
      <w:pPr>
        <w:spacing w:after="0" w:line="25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Automated, high-precision and large-scale experimentation is increasingly necessary to develop and apply this knowledge. However, the most common forms of life science automation rely on cumbersome robotic systems that are slow, expensive and labor-intensive and, we believe,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fundamentally constrain the pace and productivity of life science research. In much the same way that integrated circuits overcame the limitations of early computers by placing an increasing number of transistors on a single silicon chip, our IFCs overcome many of the limitations of conventional laboratory systems by integrating an increasing number of fluidic components on a single microfabricated IFC.</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believe that much of analytical biology and chemistry can be performed more efficiently and more economically in nanoliter, or one billionth of a liter, volumes than in conventional microliter volume platforms. Moreover, we believe that these advantages can be further enhanced through high levels of integration. Our IFC systems overcome many of the limitations of conventional methods by integrating on a single device the ability to perform thousands of experiments at one time and in nanoliter volumes. Our IFCs consist of an elastomeric, or rubber-like, core bonded to a specialized hard plastic input frame. The input frame is compatible with standard laboratory workflow equipment and facilitates loading the IFC with samples and reagents. Each IFC contains an extensive network of microfluidic components, such as valves, channels, pumps, mixers and other components that deliver samples and reagents to thousands of nanoliter chambers across the IFC where individual tests can be performed. This high level of nanofluidic integration significantly reduces the time and complexity of large-scale experimentation and the volume of costly reagents and scarce patient samples required. In addition, our IFC systems enable users to address problems that would be difficult or impractical to solve using conventional life science tools. We believe that our ongoing research efforts to increase the density and degree of miniaturization of our IFCs will result in further such benefits to our customers.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Biotechnology and pharmaceutical companies, academic institutions and life science laboratories collectively spent approximately $35 billion in 2007 for analytical and life science instruments, according to Strategic Directions International, or SDI. Growth in the life science equipment and supplies industry has been driven in part by increased demand for tools that allow researchers to discover how fundamental functional elements of biology, such as nucleic acids, proteins, carbohydrates and cells, interact within living organisms. This research often entails analyzing or identifying numerous such elements across large sample populations. Conducting and commercializing this research requires equipment that reliably performs experimentation with precision, on a large scale and at an affordable cost. The need for equipment with these capabilities is particularly evident in the areas of genomics, proteomics and molecular diagnostics, which comprise our initial target markets.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Genomics</w:t>
      </w:r>
    </w:p>
    <w:p>
      <w:pPr>
        <w:spacing w:after="0" w:line="9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Genomics is the analysis of nucleic acids, including DNA and RNA, the fundamental building blocks of life. The entire DNA content of an organism is known as its genome. The genome is composed of a long series of nucleotide bases that are organized into functional units known as genes, as well as regulatory regions. Analysis of variations in genomic sequences, genes and gene activity in and between organisms can provide important insights into routine genetic functionality, as well as an organism’s morbidity and mortality. The worldwide demand for genomic analysis instruments and supplies was approximately $4.9 billion in 2005, according to SDI. Of this total, SDI estimated that 56%, or about $2.7 billion, was spent on gene expression analysis, and 20%, or about $1.0 billion, was spent on genotyping. In a 2006 report, SDI projected that the markets for gene expression analysis and genotyping would grow approximately 8% per year from 2005 to 2010. In a separate 2006 report, Frost and Sullivan indicated that the high-throughput DNA sequencing market was in a very early stage, but estimated it would grow at an annual rate of 63.8% between 2005 and 2012. In the same report, Frost and Sullivan projected that the total DNA sequencing market is expected to reach approximately $800 million in 2012.</w:t>
      </w:r>
    </w:p>
    <w:p>
      <w:pPr>
        <w:spacing w:after="0" w:line="7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Gene expression and genotyping today are studied through a combination of various technology platforms that characterize gene function and genetic variation. Gene expression and genotyping are commonly performed using a technique known as polymerase chain reaction, or PCR, and often with a chemistry branded as TaqMan, which is proprietary to Roche Molecular Systems, Inc. and is widely used in the life-sciences industry. The PCR method is used to replicate a strand of DNA or RNA into millions of copies to facilitate detection in a sample. Real-time quantitative PCR, or real-time qPCR, is a more advanced form of PCR that makes it possible to identify the number of copies of DNA present in a sample at a certain time. According to Frost and Sullivan, the U.S. market for real-time qPCR was approximately $741 million in 2007, growing at approximately 11% per year from 2005 to 2012.</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Based on our estimates, we believe the global market for real-time qPCR was approximately $1.7 billion in 2007. Gene expression, genotyping, digital PCR and high-throughput DNA sequencing are four powerful forms of genomic analysis.</w:t>
      </w:r>
    </w:p>
    <w:p>
      <w:pPr>
        <w:spacing w:after="0" w:line="59" w:lineRule="exact"/>
        <w:rPr>
          <w:sz w:val="20"/>
          <w:szCs w:val="20"/>
          <w:color w:val="auto"/>
        </w:rPr>
      </w:pPr>
    </w:p>
    <w:p>
      <w:pPr>
        <w:ind w:left="1280" w:right="60" w:hanging="190"/>
        <w:spacing w:after="0" w:line="257"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One of the ways genes control cellular activity is through a process known as gene expression, when a cell transcribes a section of a gene’s DNA to</w:t>
      </w:r>
      <w:r>
        <w:rPr>
          <w:rFonts w:ascii="Arial" w:cs="Arial" w:eastAsia="Arial" w:hAnsi="Arial"/>
          <w:sz w:val="13"/>
          <w:szCs w:val="13"/>
          <w:i w:val="1"/>
          <w:iCs w:val="1"/>
          <w:color w:val="auto"/>
        </w:rPr>
        <w:t xml:space="preserve"> </w:t>
      </w:r>
      <w:r>
        <w:rPr>
          <w:rFonts w:ascii="Arial" w:cs="Arial" w:eastAsia="Arial" w:hAnsi="Arial"/>
          <w:sz w:val="13"/>
          <w:szCs w:val="13"/>
          <w:color w:val="auto"/>
        </w:rPr>
        <w:t>create another nucleic acid sequence, known as messenger RNA. This messenger RNA may then be translated by the cell into a protein. Messenger RNA can be detected and quantified by performing real-time qPCR tests, or assays. Gene expression analysis typically entails determining which genes are active by measuring messenger RNA levels in a blood or tissue sample. These results can be correlated with disease activity and clinical outcomes. As multiple genes are involved in most biological processes, gene expression analysis usually requires assaying the expression levels of many genes simultaneously across many samples. We estimate that approximately 80% of the market for real-time qPCR involves gene expression analysis.</w:t>
      </w:r>
    </w:p>
    <w:p>
      <w:pPr>
        <w:spacing w:after="0" w:line="61" w:lineRule="exact"/>
        <w:rPr>
          <w:rFonts w:ascii="Arial" w:cs="Arial" w:eastAsia="Arial" w:hAnsi="Arial"/>
          <w:sz w:val="13"/>
          <w:szCs w:val="13"/>
          <w:color w:val="auto"/>
        </w:rPr>
      </w:pPr>
    </w:p>
    <w:p>
      <w:pPr>
        <w:ind w:left="1280" w:right="20" w:hanging="190"/>
        <w:spacing w:after="0" w:line="316" w:lineRule="auto"/>
        <w:tabs>
          <w:tab w:leader="none" w:pos="128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 xml:space="preserve">Genotyping. </w:t>
      </w:r>
      <w:r>
        <w:rPr>
          <w:rFonts w:ascii="Arial" w:cs="Arial" w:eastAsia="Arial" w:hAnsi="Arial"/>
          <w:sz w:val="11"/>
          <w:szCs w:val="11"/>
          <w:color w:val="auto"/>
        </w:rPr>
        <w:t>Genotyping involves the analysis of variations across individual genomes. These variations often take the form of single nucleotide changes, known as single</w:t>
      </w:r>
      <w:r>
        <w:rPr>
          <w:rFonts w:ascii="Arial" w:cs="Arial" w:eastAsia="Arial" w:hAnsi="Arial"/>
          <w:sz w:val="11"/>
          <w:szCs w:val="11"/>
          <w:i w:val="1"/>
          <w:iCs w:val="1"/>
          <w:color w:val="auto"/>
        </w:rPr>
        <w:t xml:space="preserve"> </w:t>
      </w:r>
      <w:r>
        <w:rPr>
          <w:rFonts w:ascii="Arial" w:cs="Arial" w:eastAsia="Arial" w:hAnsi="Arial"/>
          <w:sz w:val="11"/>
          <w:szCs w:val="11"/>
          <w:color w:val="auto"/>
        </w:rPr>
        <w:t>nucleotide polymorphisms, or SNPs, that can determine the characteristics or health of the individual. In SNP genotyping studies, the DNA sequences of a group of individuals are analyzed to determine patterns of SNPs. Statistical analysis is then performed to determine whether a SNP or group of SNPs can be associated with a particular characteristic, such as propensity for a disease. We estimate that approximately 20% of the market for real-time qPCR involves genotyping analysis. We believe this percentage share of the real-time qPCR market is growing based on technological innovations allowing increasing amounts of genetic content to be analyzed more quickly and cost effectively.</w:t>
      </w:r>
    </w:p>
    <w:p>
      <w:pPr>
        <w:spacing w:after="0" w:line="32" w:lineRule="exact"/>
        <w:rPr>
          <w:rFonts w:ascii="Arial" w:cs="Arial" w:eastAsia="Arial" w:hAnsi="Arial"/>
          <w:sz w:val="11"/>
          <w:szCs w:val="11"/>
          <w:color w:val="auto"/>
        </w:rPr>
      </w:pPr>
    </w:p>
    <w:p>
      <w:pPr>
        <w:ind w:left="1280" w:hanging="190"/>
        <w:spacing w:after="0" w:line="312" w:lineRule="auto"/>
        <w:tabs>
          <w:tab w:leader="none" w:pos="128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Digital PCR is a technique that allows researchers to detect nucleic acid sequences that are present in a patient sample in concentrations that are too low to be</w:t>
      </w:r>
      <w:r>
        <w:rPr>
          <w:rFonts w:ascii="Arial" w:cs="Arial" w:eastAsia="Arial" w:hAnsi="Arial"/>
          <w:sz w:val="11"/>
          <w:szCs w:val="11"/>
          <w:i w:val="1"/>
          <w:iCs w:val="1"/>
          <w:color w:val="auto"/>
        </w:rPr>
        <w:t xml:space="preserve"> </w:t>
      </w:r>
      <w:r>
        <w:rPr>
          <w:rFonts w:ascii="Arial" w:cs="Arial" w:eastAsia="Arial" w:hAnsi="Arial"/>
          <w:sz w:val="11"/>
          <w:szCs w:val="11"/>
          <w:color w:val="auto"/>
        </w:rPr>
        <w:t>detected by conventional methods. Digital PCR typically relies on standard PCR techniques, but increases their sensitivity by dividing a sample into hundreds or thousands of smaller samples and performing a PCR assay on each such sample. The ability to actually count the presence or absence of amplification in this assay format provides quantitative measurement capabilities known as absolute quantification. Digital PCR has the potential to enable early detection of diseases and other conditions, thereby improving prospects for effective treatment. In addition, this technique enhances the precision of single molecule assays and copy number variation. While the digital PCR market is currently nascent, we believe it has the potential to grow significantly as researchers learn how to apply this technique to a broader range of research applications and associated diseases.</w:t>
      </w:r>
    </w:p>
    <w:p>
      <w:pPr>
        <w:spacing w:after="0" w:line="35" w:lineRule="exact"/>
        <w:rPr>
          <w:rFonts w:ascii="Arial" w:cs="Arial" w:eastAsia="Arial" w:hAnsi="Arial"/>
          <w:sz w:val="11"/>
          <w:szCs w:val="11"/>
          <w:color w:val="auto"/>
        </w:rPr>
      </w:pPr>
    </w:p>
    <w:p>
      <w:pPr>
        <w:ind w:left="1280" w:right="20" w:hanging="190"/>
        <w:spacing w:after="0" w:line="257"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High-Throughput DNA Sequencing. </w:t>
      </w:r>
      <w:r>
        <w:rPr>
          <w:rFonts w:ascii="Arial" w:cs="Arial" w:eastAsia="Arial" w:hAnsi="Arial"/>
          <w:sz w:val="13"/>
          <w:szCs w:val="13"/>
          <w:color w:val="auto"/>
        </w:rPr>
        <w:t>DNA sequencing involves determining the sequence of nucleotide bases in a segment of DNA and is widely used in life science research as a</w:t>
      </w:r>
      <w:r>
        <w:rPr>
          <w:rFonts w:ascii="Arial" w:cs="Arial" w:eastAsia="Arial" w:hAnsi="Arial"/>
          <w:sz w:val="13"/>
          <w:szCs w:val="13"/>
          <w:i w:val="1"/>
          <w:iCs w:val="1"/>
          <w:color w:val="auto"/>
        </w:rPr>
        <w:t xml:space="preserve"> </w:t>
      </w:r>
      <w:r>
        <w:rPr>
          <w:rFonts w:ascii="Arial" w:cs="Arial" w:eastAsia="Arial" w:hAnsi="Arial"/>
          <w:sz w:val="13"/>
          <w:szCs w:val="13"/>
          <w:color w:val="auto"/>
        </w:rPr>
        <w:t>tool to understand the genetic basis of susceptibility to disease, disease progression and response to drug therapy. Sequencing technology has rapidly advanced over the last two decades and current high-throughput DNA sequencing machines are many orders of magnitude faster and less expensive than the DNA sequencing technology available at the initiation of the Human Genome Project in 1990. However, to most effectively use these high-throughput DNA sequencers, researchers must carefully prepare the sample to be analyzed both to minimize contamination and to precisely quantify the amount of sequenceable template DNA in the sample. This process can be difficult, time-consuming and expensive.</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Proteomics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Proteomics is the large-scale study of the function and structure of proteins. Proteins are produced by all living organisms and directly affect cellular function, the overall health of an organism and, in the case of pathogens, how the organism interacts with its host. Developing drugs to treat a disease often involves identifying molecules that are able to interfere with the activity of a particular protein in the pathway for that disease. One approach to finding such molecules is to first determine the structure of the protein and then look for molecules that bind to the structure and interfere with the activity of the protein. A technique known as protein crystallization is typically used to determine protein structures. Crystallizing a protein can be a time-consuming and labor-intensive process because different proteins will crystallize in the presence of different reagents and under different conditions. As samples of particular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proteins are often scarce and expensive, researchers usually conduct only a limited number of experiments, none of which might provide a crystallized protein.</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Molecular Diagnostics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Molecular diagnostic tests are used in clinical practice to diagnose, classify or monitor a disease; determine a patient’s susceptibility to a disease; or monitor a patient’s response to therapy by detecting one or more biomarkers, such as nucleic acids or proteins, in a blood, tissue or other type of patient sample. The advancement of molecular diagnostics is being driven by researchers performing large-scale experiments analyzing the prevalence of SNPs, variations in gene expression levels and patterns of protein production. SNPs, gene expression levels and proteins often directly cause or control diseases. Molecular diagnostic tests based on measuring these biomarkers have the potential to be much more accurate, discriminating and robust than conventional diagnostics. According to Frost and Sullivan, the U.S. market for molecular diagnostics was estimated at $2.0 billion in 2007, growing at a compound annual growth rate of 17% from 2005 to 2012.</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Limitations of Existing Laboratory Systems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Scientists increasingly seek to identify and measure a large number of characteristics across large populations. The most common existing methods of large-scale experimentation require a workflow that is complex, labor-intensive and expensive. In this workflow, biological samples and chemical compounds, usually in solution, are generally dispensed or pipetted into standard microwell plates, which usually consist of 96 or 384 wells each in a standardized format. The plates may then be moved to another station where reagents can be applied to the sample or compound to create a single assay in each microwell. The microwell plates may be moved again to attain ideal reaction temperatures or other conditions. The plates are then generally moved into a reader to detect the results of the experiment in each well. This process of dispensing materials and conveying the plates may include robotically performed steps but generally also requires a significant manual labor component. To accomplish these steps on a large scale typically requires the use of large laboratories equipped with many types of equipment, robotics, conveyor systems and personnel.</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Conventional microwell plate workflows have a number of characteristics that inherently limit their effectiveness as tools for large scale experimentation:</w:t>
      </w:r>
    </w:p>
    <w:p>
      <w:pPr>
        <w:spacing w:after="0" w:line="96" w:lineRule="exact"/>
        <w:rPr>
          <w:sz w:val="20"/>
          <w:szCs w:val="20"/>
          <w:color w:val="auto"/>
        </w:rPr>
      </w:pPr>
    </w:p>
    <w:p>
      <w:pPr>
        <w:jc w:val="both"/>
        <w:ind w:left="1280" w:right="44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Complex Workflow. </w:t>
      </w:r>
      <w:r>
        <w:rPr>
          <w:rFonts w:ascii="Arial" w:cs="Arial" w:eastAsia="Arial" w:hAnsi="Arial"/>
          <w:sz w:val="13"/>
          <w:szCs w:val="13"/>
          <w:color w:val="auto"/>
        </w:rPr>
        <w:t>Pipetting stations may have to perform hundreds of thousands of pipetting steps using hundreds of microwell plates in order to conduct a single set of</w:t>
      </w:r>
      <w:r>
        <w:rPr>
          <w:rFonts w:ascii="Arial" w:cs="Arial" w:eastAsia="Arial" w:hAnsi="Arial"/>
          <w:sz w:val="13"/>
          <w:szCs w:val="13"/>
          <w:i w:val="1"/>
          <w:iCs w:val="1"/>
          <w:color w:val="auto"/>
        </w:rPr>
        <w:t xml:space="preserve"> </w:t>
      </w:r>
      <w:r>
        <w:rPr>
          <w:rFonts w:ascii="Arial" w:cs="Arial" w:eastAsia="Arial" w:hAnsi="Arial"/>
          <w:sz w:val="13"/>
          <w:szCs w:val="13"/>
          <w:color w:val="auto"/>
        </w:rPr>
        <w:t>experiments. These microwell plates must typically be moved among several work stations to complete and measure the results of each assay. Maintaining and overseeing complex workflows involving large numbers of microwell plates requires ongoing attention from trained technicians.</w:t>
      </w:r>
    </w:p>
    <w:p>
      <w:pPr>
        <w:spacing w:after="0" w:line="57"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Limited Throughput. </w:t>
      </w:r>
      <w:r>
        <w:rPr>
          <w:rFonts w:ascii="Arial" w:cs="Arial" w:eastAsia="Arial" w:hAnsi="Arial"/>
          <w:sz w:val="13"/>
          <w:szCs w:val="13"/>
          <w:color w:val="auto"/>
        </w:rPr>
        <w:t>Due to the large number of pipetting steps, microwell plates and process steps involved in a conventional microwell workflow, these systems are often</w:t>
      </w:r>
      <w:r>
        <w:rPr>
          <w:rFonts w:ascii="Arial" w:cs="Arial" w:eastAsia="Arial" w:hAnsi="Arial"/>
          <w:sz w:val="13"/>
          <w:szCs w:val="13"/>
          <w:i w:val="1"/>
          <w:iCs w:val="1"/>
          <w:color w:val="auto"/>
        </w:rPr>
        <w:t xml:space="preserve"> </w:t>
      </w:r>
      <w:r>
        <w:rPr>
          <w:rFonts w:ascii="Arial" w:cs="Arial" w:eastAsia="Arial" w:hAnsi="Arial"/>
          <w:sz w:val="13"/>
          <w:szCs w:val="13"/>
          <w:color w:val="auto"/>
        </w:rPr>
        <w:t>unable to perform large-scale experiments in a timely and cost-effective manner.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Limited Low Volume Capabilities. </w:t>
      </w:r>
      <w:r>
        <w:rPr>
          <w:rFonts w:ascii="Arial" w:cs="Arial" w:eastAsia="Arial" w:hAnsi="Arial"/>
          <w:sz w:val="13"/>
          <w:szCs w:val="13"/>
          <w:color w:val="auto"/>
        </w:rPr>
        <w:t>Conventional systems are typically unable to dispense samples and reagents in quantities small enough to conduct certain high sensitivity, low</w:t>
      </w:r>
      <w:r>
        <w:rPr>
          <w:rFonts w:ascii="Arial" w:cs="Arial" w:eastAsia="Arial" w:hAnsi="Arial"/>
          <w:sz w:val="13"/>
          <w:szCs w:val="13"/>
          <w:i w:val="1"/>
          <w:iCs w:val="1"/>
          <w:color w:val="auto"/>
        </w:rPr>
        <w:t xml:space="preserve"> </w:t>
      </w:r>
      <w:r>
        <w:rPr>
          <w:rFonts w:ascii="Arial" w:cs="Arial" w:eastAsia="Arial" w:hAnsi="Arial"/>
          <w:sz w:val="13"/>
          <w:szCs w:val="13"/>
          <w:color w:val="auto"/>
        </w:rPr>
        <w:t>volume techniques, such as digital PCR.</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Large Sample Requirements and Significant Running Costs. </w:t>
      </w:r>
      <w:r>
        <w:rPr>
          <w:rFonts w:ascii="Arial" w:cs="Arial" w:eastAsia="Arial" w:hAnsi="Arial"/>
          <w:sz w:val="13"/>
          <w:szCs w:val="13"/>
          <w:color w:val="auto"/>
        </w:rPr>
        <w:t>Biological samples are often available in only very small quantities. As a result, the sample amount that needs to be</w:t>
      </w:r>
      <w:r>
        <w:rPr>
          <w:rFonts w:ascii="Arial" w:cs="Arial" w:eastAsia="Arial" w:hAnsi="Arial"/>
          <w:sz w:val="13"/>
          <w:szCs w:val="13"/>
          <w:i w:val="1"/>
          <w:iCs w:val="1"/>
          <w:color w:val="auto"/>
        </w:rPr>
        <w:t xml:space="preserve"> </w:t>
      </w:r>
      <w:r>
        <w:rPr>
          <w:rFonts w:ascii="Arial" w:cs="Arial" w:eastAsia="Arial" w:hAnsi="Arial"/>
          <w:sz w:val="13"/>
          <w:szCs w:val="13"/>
          <w:color w:val="auto"/>
        </w:rPr>
        <w:t>placed in each well often limits the number of experiments that can be performed. In addition, reagents can be expensive to purchase or produce, and consuming them in microliter or larger quantities results in significant and sometimes prohibitive costs.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High Capital Cost. </w:t>
      </w:r>
      <w:r>
        <w:rPr>
          <w:rFonts w:ascii="Arial" w:cs="Arial" w:eastAsia="Arial" w:hAnsi="Arial"/>
          <w:sz w:val="13"/>
          <w:szCs w:val="13"/>
          <w:color w:val="auto"/>
        </w:rPr>
        <w:t>Because of the limited throughput of conventional systems, multiple pipetting stations, plate handlers and readers may be required to meet the demands of</w:t>
      </w:r>
      <w:r>
        <w:rPr>
          <w:rFonts w:ascii="Arial" w:cs="Arial" w:eastAsia="Arial" w:hAnsi="Arial"/>
          <w:sz w:val="13"/>
          <w:szCs w:val="13"/>
          <w:i w:val="1"/>
          <w:iCs w:val="1"/>
          <w:color w:val="auto"/>
        </w:rPr>
        <w:t xml:space="preserve"> </w:t>
      </w:r>
      <w:r>
        <w:rPr>
          <w:rFonts w:ascii="Arial" w:cs="Arial" w:eastAsia="Arial" w:hAnsi="Arial"/>
          <w:sz w:val="13"/>
          <w:szCs w:val="13"/>
          <w:color w:val="auto"/>
        </w:rPr>
        <w:t>large-scale experimentation, resulting in high capital equipment costs.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Other methods of large-scale experimentation, including microarrays, pre-formatted arrays, bead arrays and mass spectrometer analysis, have been developed to address some of the limitations of conventional microwell plate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systems. However, each of these high-throughput methods has one or more limitations that reduce its utility for large-scale experimentation.</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it may take weeks for a customized product to be produced, and the cost may be significant. Furthermore, it is often difficult or impossible to convert existing validated assays for use with these technologies or with mass spectrometry analysis.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quality of the data produced by microarrays, pre-formatted arrays and mass spectrometer analysis is insufficient for certain research activities. For genotyping studies, data quality is typically measured by a call rate, which is the percentage of time that a method provides a reading with respect to a particular SNP. Both pre-formatted arrays and mass spectrometer analysis generally have call rates lower than conventional microwell plate systems. For gene expression studies, it is often important to measure expression levels over a broad dynamic range to capture all or most of the variation typically found among subjects. None of microarrays, pre-formatted arrays, bead arrays or mass spectrometer analysis routinely measure gene expression levels over as broad a dynamic range as conventional microwell plates.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workflow for bead arrays and mass spectrometer analysis is complex, time consuming and expensive. For example, standard protocols often require multiple complex operations to be performed over several days by skilled technicians.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These methods can also be very expensive for certain types of large-scale experimentation. For example, a single microarray or bead array is capable of analyzing thousands of genes from a single sample and these devices have been successfully used for surveying the genome to discover basic patterns of gene expression and genotyping. These surveys or “association studies” are commonly performed on tens or hundreds of samples and are intended to identify a subset of genes for further study.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 only for very large-scale studies.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number of companies have attempted to develop more universal “lab-on-a-chip” solutions which could perform large numbers of complex biochemical operations on a single device. These chips typically incorporate a variety of micron-level features, such as channels and wells, but lack robust methods of fluid control such as valves. As a result, the products have been unable to support the complex fluidic manipulation required by large-scale experimentation.</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limitations of existing technologies become even more acute when clinicians attempt to translate scientific research into molecular diagnostics. Given the commercial nature of their operations, clinical laboratories need systems that can test large numbers of patient samples at low cost and with minimal labor requirements. Moreover, many of the most promising research studies rely on measuring each sample across tens or even hundreds of SNPs, gene expression levels or protein concentrations to diagnose or classify a disease. We believe that using standard microwell plate technology to make multiple measurements on a large number of samples is often too complex and expensive for most clinical laboratories. As a result, the molecular diagnostic tests adopted by clinical laboratories have generally been relatively simple or have required specialized machines to perform. Diagnostic approaches that require measuring large numbers of SNPs, gene expression levels or protein concentrations are generally not available or are available only from a diagnostic laboratory that specializes in the particular test.</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achieve and exploit breakthroughs in genomics, proteomics and molecular diagnostics, research and clinical laboratories need robust systems that deliver increased throughput and simpler workflows with decreased costs.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Our IFC systems are designed to overcome many of the limitations of conventional methods by empowering researchers and clinicians to rapidly perform a large number of experiments at one time and in nanoliter volumes,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significantly increasing throughput, reducing costs associated with reagents and patient samples and reducing the time and number of steps involved. Our IFCs deliver these advantages through integration of sophisticated nanoliter fluid handling in an easy-to-use format. We believe the advantages of our IFC systems can be applied to a wide variety of applications across many fields using standard chemistries.</w:t>
      </w:r>
    </w:p>
    <w:p>
      <w:pPr>
        <w:spacing w:after="0" w:line="67"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For each application, we provide a complete IFC system consisting of specially designed single-use IFCs, instrumentation, software and support services. Our IFC systems are designed to be easily incorporated into our customers’ laboratory environments and analysis workflow. For example, our IFCs are the same size and shape as standard 384 microwell plates, which facilitate the loading and handling of our IFCs by standard laboratory equipment. Each IFC includes an elastomeric, or rubber-like, core that contains an extensive network of microfluidic components, such as valves, channels, pumps, mixers and other components that deliver samples and reagents to thousands of nanoliter volume chambers where individual assays can be performed. In much the same way that semiconductor technology has enabled tremendous computational power to be placed onto a single silicon chip, the integration of large numbers of miniaturized components on our IFCs enables sophisticated fluid handling at high throughput and low cost.</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BioMark 48.48 Dynamic Array IFC allows users to individually assay 48 samples against 48 primer-probe sets, generating 2,304 separate real-time qPCR reactions on a single device. In May 2008, we launched our 96.96 Dynamic Array IFC, which is configured to run 96 samples against 96 primer-probe sets, generating 9,216 separate reactions.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compares the performance of one conventional 384 microwell plate to that of one of our 48.48 Dynamic Array IFCs and one of our 96.96 Dynamic Array IFCs for a genotyping study involving 1,000 samples and 96 SNPs: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384 Microwell</w:t>
            </w:r>
          </w:p>
        </w:tc>
        <w:tc>
          <w:tcPr>
            <w:tcW w:w="2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48.48</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96.96</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2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Plate (5 µl/well)</w:t>
            </w:r>
          </w:p>
        </w:tc>
        <w:tc>
          <w:tcPr>
            <w:tcW w:w="22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Runs for Study</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250</w:t>
            </w:r>
          </w:p>
        </w:tc>
        <w:tc>
          <w:tcPr>
            <w:tcW w:w="150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42</w:t>
            </w:r>
          </w:p>
        </w:tc>
        <w:tc>
          <w:tcPr>
            <w:tcW w:w="148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Total reaction volume</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480 ml</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20 ml</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10 ml</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Pipetting Steps</w:t>
            </w:r>
          </w:p>
        </w:tc>
        <w:tc>
          <w:tcPr>
            <w:tcW w:w="130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192,000</w:t>
            </w:r>
          </w:p>
        </w:tc>
        <w:tc>
          <w:tcPr>
            <w:tcW w:w="150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4,032</w:t>
            </w:r>
          </w:p>
        </w:tc>
        <w:tc>
          <w:tcPr>
            <w:tcW w:w="148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advantages of our IFC systems over existing microwell-based systems include:</w:t>
      </w:r>
    </w:p>
    <w:p>
      <w:pPr>
        <w:spacing w:after="0" w:line="96" w:lineRule="exact"/>
        <w:rPr>
          <w:sz w:val="20"/>
          <w:szCs w:val="20"/>
          <w:color w:val="auto"/>
        </w:rPr>
      </w:pPr>
    </w:p>
    <w:p>
      <w:pPr>
        <w:ind w:left="1280" w:right="18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pipetting steps than 384 microwell plates for the same experiment, which reduces the time, cost and</w:t>
      </w:r>
      <w:r>
        <w:rPr>
          <w:rFonts w:ascii="Arial" w:cs="Arial" w:eastAsia="Arial" w:hAnsi="Arial"/>
          <w:sz w:val="13"/>
          <w:szCs w:val="13"/>
          <w:i w:val="1"/>
          <w:iCs w:val="1"/>
          <w:color w:val="auto"/>
        </w:rPr>
        <w:t xml:space="preserve"> </w:t>
      </w:r>
      <w:r>
        <w:rPr>
          <w:rFonts w:ascii="Arial" w:cs="Arial" w:eastAsia="Arial" w:hAnsi="Arial"/>
          <w:sz w:val="13"/>
          <w:szCs w:val="13"/>
          <w:color w:val="auto"/>
        </w:rPr>
        <w:t>potential for error.</w:t>
      </w:r>
    </w:p>
    <w:p>
      <w:pPr>
        <w:spacing w:after="0" w:line="49"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Improved Throughput. </w:t>
      </w:r>
      <w:r>
        <w:rPr>
          <w:rFonts w:ascii="Arial" w:cs="Arial" w:eastAsia="Arial" w:hAnsi="Arial"/>
          <w:sz w:val="12"/>
          <w:szCs w:val="12"/>
          <w:color w:val="auto"/>
        </w:rPr>
        <w:t>A single IFC based on our 96.96 format can conduct 9,216 real-time qPCR or other assays, or 24 times more assays than a single 384 microwell plate. The</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throughput reduces the time and cost associated with complex experiments and expands the number and range of experiments that may be conducted.</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Nanoliter Precision. </w:t>
      </w:r>
      <w:r>
        <w:rPr>
          <w:rFonts w:ascii="Arial" w:cs="Arial" w:eastAsia="Arial" w:hAnsi="Arial"/>
          <w:sz w:val="13"/>
          <w:szCs w:val="13"/>
          <w:color w:val="auto"/>
        </w:rPr>
        <w:t>Our IFC systems allow users to dispense samples and reagents in microliter volumes which are automatically combined and mixed in nanoliter and sub-nanoliter volumes. In addition to cost and workflow benefits, this capability makes it practical for users to conduct certain high sensitivity, low volume techniques, such as digital PCR and single cell analysis.</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Reduced Sample and Reagent Requirements. </w:t>
      </w:r>
      <w:r>
        <w:rPr>
          <w:rFonts w:ascii="Arial" w:cs="Arial" w:eastAsia="Arial" w:hAnsi="Arial"/>
          <w:sz w:val="13"/>
          <w:szCs w:val="13"/>
          <w:color w:val="auto"/>
        </w:rPr>
        <w:t>Obtaining patient samples for assays can also be costly, and in many cases the amount of those samples is finite. Our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require between 0.5% and 1.0% of the amount of sample and reagent per reaction as conventional systems, allowing scarce samples and costly reagents to be conserved or tested more extensively.</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A single BioMark system has the same throughput as the combined throughput of multiple conventional systems. As a result, for high volume users, the</w:t>
      </w:r>
      <w:r>
        <w:rPr>
          <w:rFonts w:ascii="Arial" w:cs="Arial" w:eastAsia="Arial" w:hAnsi="Arial"/>
          <w:sz w:val="13"/>
          <w:szCs w:val="13"/>
          <w:i w:val="1"/>
          <w:iCs w:val="1"/>
          <w:color w:val="auto"/>
        </w:rPr>
        <w:t xml:space="preserve"> </w:t>
      </w:r>
      <w:r>
        <w:rPr>
          <w:rFonts w:ascii="Arial" w:cs="Arial" w:eastAsia="Arial" w:hAnsi="Arial"/>
          <w:sz w:val="13"/>
          <w:szCs w:val="13"/>
          <w:color w:val="auto"/>
        </w:rPr>
        <w:t>cost of purchasing one BioMark system can be much lower than the cost of purchasing the number of competing systems and associated robotic equipment required to provide the same throughput, even though our BioMark system may cost more on a per unit basis.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0" w:hanging="190"/>
        <w:spacing w:after="0" w:line="260"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Compatibility with Existing Infrastructure. </w:t>
      </w:r>
      <w:r>
        <w:rPr>
          <w:rFonts w:ascii="Arial" w:cs="Arial" w:eastAsia="Arial" w:hAnsi="Arial"/>
          <w:sz w:val="13"/>
          <w:szCs w:val="13"/>
          <w:color w:val="auto"/>
        </w:rPr>
        <w:t>Our IFCs incorporate plastic input frames that are the same size as standard microwell plates and are designed to work with the most</w:t>
      </w:r>
      <w:r>
        <w:rPr>
          <w:rFonts w:ascii="Arial" w:cs="Arial" w:eastAsia="Arial" w:hAnsi="Arial"/>
          <w:sz w:val="13"/>
          <w:szCs w:val="13"/>
          <w:i w:val="1"/>
          <w:iCs w:val="1"/>
          <w:color w:val="auto"/>
        </w:rPr>
        <w:t xml:space="preserve"> </w:t>
      </w:r>
      <w:r>
        <w:rPr>
          <w:rFonts w:ascii="Arial" w:cs="Arial" w:eastAsia="Arial" w:hAnsi="Arial"/>
          <w:sz w:val="13"/>
          <w:szCs w:val="13"/>
          <w:color w:val="auto"/>
        </w:rPr>
        <w:t>commonly used laboratory systems, including existing robotic pipetting systems, bar code readers, plate handling systems and other equipment. Our IFCs are also designed to work with standard real-time qPCR techniques and TaqMan chemistries. As a result, we believe users are able to quickly introduce our systems into their laboratories and achieve results equal to or better than they were obtaining with conventional systems.</w:t>
      </w:r>
    </w:p>
    <w:p>
      <w:pPr>
        <w:spacing w:after="0" w:line="7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Our IFC systems also have significant advantages over other high-throughput approaches. For example, our BioMark system can detect gene expression levels over a much broader dynamic range than microarrays, pre-formatted arrays, bead arrays or mass spectrometry analysis. For genotyping, our BioMark system has a call rate equal to or better than conventional microwell-based systems. Also, our IFC systems provide researchers with needed flexibility in assay selection and study design. Unlike microarrays, bead arrays and pre-formatted arrays, our IFCs are not limited to detecting certain predetermined genetic markers. Instead, users can perform experiments with our IFCs using assays from their existing libraries, purchased from a wide variety of commercial sources or developed in their own laboratories. Finally, the efficient workflow of our IFC systems enables users to complete an IFC run in less than three hours.</w:t>
      </w:r>
    </w:p>
    <w:p>
      <w:pPr>
        <w:spacing w:after="0" w:line="4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Other high-throughput approaches have advantages over conventional microwell plate systems that are similar to the advantages of our IFC systems. For example, microarrays, pre-formatted arrays, bead arrays and mass spectrometry analysis all reduce complexity and increase throughput as compared to conventional approaches when used for large scale experimentation, and, in many instances, are more cost-effective than conventional approaches. In addition, pre-formatted arrays significantly reduce sample and reagent consumption as compared to microwell plates. Also, microarrays and bead arrays have call rates for genotyping that are comparable to those obtained with our systems or with microwell plate systems. Because these systems are designed to detect thousands of genetic markers, they are often chosen by researchers to perform very large-scale association or survey studies over conventional microwell plate systems or our systems.</w:t>
      </w:r>
    </w:p>
    <w:p>
      <w:pPr>
        <w:spacing w:after="0" w:line="72"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Our IFC systems address the needs of researchers and clinicians who perform large-scale experimentation in the areas of genomics, proteomics and molecular diagnostics. In particular, for validation studies or projects of a similar scale, our IFC systems substantially reduce cost, simplify workflow and increase throughput as compared to conventional microwell plate systems. Nevertheless, researchers and clinicians may be slow to adopt our IFC systems as they are based on technology that, compared to conventional technology, is new and not yet well-established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systems and the price of our IFCs is higher than conventional systems and standard</w:t>
      </w:r>
    </w:p>
    <w:p>
      <w:pPr>
        <w:spacing w:after="0" w:line="1" w:lineRule="exact"/>
        <w:rPr>
          <w:sz w:val="20"/>
          <w:szCs w:val="20"/>
          <w:color w:val="auto"/>
        </w:rPr>
      </w:pPr>
    </w:p>
    <w:p>
      <w:pPr>
        <w:ind w:left="680" w:right="120"/>
        <w:spacing w:after="0" w:line="258" w:lineRule="auto"/>
        <w:rPr>
          <w:sz w:val="20"/>
          <w:szCs w:val="20"/>
          <w:color w:val="auto"/>
        </w:rPr>
      </w:pPr>
      <w:r>
        <w:rPr>
          <w:rFonts w:ascii="Arial" w:cs="Arial" w:eastAsia="Arial" w:hAnsi="Arial"/>
          <w:sz w:val="13"/>
          <w:szCs w:val="13"/>
          <w:color w:val="auto"/>
        </w:rPr>
        <w:t>384 microwell plates.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Applications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technology has the potential to be applied to a vast range of research and commercial applications. We have commercialized IFC systems for life science research applications such as gene expression analysis, genotyping, digital PCR and protein crystallization. We believe that these applications are relevant to markets beyond life science research, such as the development of molecular diagnostics, and that IFC systems can be developed for numerous other life science applications. We and our academic and corporate collaborators have developed non-commercial IFCs for a wide variety of applications in the areas of genomics, proteomics, cellular biology and synthetic chemistry. As illustrated by the examples below, researchers have been able to utilize the advantages of our IFC systems in their laboratories to achieve significant research successes.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Current Commercial Applications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Researchers may conduct gene expression studies to measure the activity of tens or hundreds of genes across hundreds or thousands of individuals. For</w:t>
      </w:r>
      <w:r>
        <w:rPr>
          <w:rFonts w:ascii="Arial" w:cs="Arial" w:eastAsia="Arial" w:hAnsi="Arial"/>
          <w:sz w:val="13"/>
          <w:szCs w:val="13"/>
          <w:i w:val="1"/>
          <w:iCs w:val="1"/>
          <w:color w:val="auto"/>
        </w:rPr>
        <w:t xml:space="preserve"> </w:t>
      </w:r>
      <w:r>
        <w:rPr>
          <w:rFonts w:ascii="Arial" w:cs="Arial" w:eastAsia="Arial" w:hAnsi="Arial"/>
          <w:sz w:val="13"/>
          <w:szCs w:val="13"/>
          <w:color w:val="auto"/>
        </w:rPr>
        <w:t>these validation studies, it is often important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to know the expression level of a gene, not merely whether the gene is “on” or “off,” as often either high or low activity level is associated with a particular characteristic or disease state. Our IFC systems have been used to deliver high-throughput and precise measurements in gene expression analysis applications. For example, researchers at Myriad Genetics have identified panels of genes that could be used to predict cancer progression or select treatment options. However, the cost and complexity of high-throughput real-time qPCR using conventional microwell plates significantly limited researchers’ ability to perform the appropriate assays. In response, Myriad Genetics adopted our BioMark system which, together with our Dynamic Array IFCs, has allowed them to significantly reduce their pipetting workload, and therefore pursue research projects that may have been prohibitively cumbersome without our system.</w:t>
      </w:r>
    </w:p>
    <w:p>
      <w:pPr>
        <w:spacing w:after="0" w:line="42"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i w:val="1"/>
          <w:iCs w:val="1"/>
          <w:color w:val="auto"/>
        </w:rPr>
        <w:t xml:space="preserve">Genotyping. </w:t>
      </w:r>
      <w:r>
        <w:rPr>
          <w:rFonts w:ascii="Arial" w:cs="Arial" w:eastAsia="Arial" w:hAnsi="Arial"/>
          <w:sz w:val="12"/>
          <w:szCs w:val="12"/>
          <w:color w:val="auto"/>
        </w:rPr>
        <w:t>Researchers performing genotyping studies may begin by surveying the genomes of relatively few individuals looking for tens of thousands or even hundreds of</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thousands of SNPs. Analysis of these studies will often reveal that a relatively small number of SNPs appear to be correlated with the characteristic of interest. To validate this analysis, researchers may conduct additional studies involving hundreds or even thousands of individuals focused on tens or hundreds of SNPs. For example, the National Cancer Institute’s Core Genotyping Facility, or the CGF, collaborates with researchers at other government research centers and academic institutions with the goal of developing screens to identify individuals susceptible to particular forms of cancer and guiding the development of targeted therapeutics. One of the CGF’s primary responsibilities in these collaborations is conducting the large-scale experiments necessary to accurately interrogate hundreds of SNPs on many patient samples. In a typical association study, the CGF runs 30 to 300 assays on 1,000 to 10,000 patient samples. Such large-scale studies are difficult and expensive to perform with conventional microwell plate technology. Using our BioMark system, the CGF continues to perform the same assays previously developed in its existing library of over 5,000 assays.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Genotyping analysis is also used in situations where research has already identified particular genetic profiles of interest and there is a need to test a group of subjects to determine which profile they fit. For example, the Alaska Department of Fish and Game uses our BioMark system to perform genotyping analysis to determine the region of origin of salmon caught in commercial or sport fisheries. By analyzing a large number of salmon, the department can gain an understanding of the effects that fisheries have on populations of salmon and thereby manage the resource more effectively. The department has developed panels for three species which range from 40 to 60 SNPs, and its throughput approaches 100,000 samples per year. The departments of fish and game in the states of Oregon and Washington are also using our BioMark system for similar applications.</w:t>
      </w:r>
    </w:p>
    <w:p>
      <w:pPr>
        <w:spacing w:after="0" w:line="55"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The widespread use of genetic testing in high-risk pregnancies has created strong interest in rapid and accurate molecular diagnostics for certain common chromosomal</w:t>
      </w:r>
      <w:r>
        <w:rPr>
          <w:rFonts w:ascii="Arial" w:cs="Arial" w:eastAsia="Arial" w:hAnsi="Arial"/>
          <w:sz w:val="11"/>
          <w:szCs w:val="11"/>
          <w:i w:val="1"/>
          <w:iCs w:val="1"/>
          <w:color w:val="auto"/>
        </w:rPr>
        <w:t xml:space="preserve"> </w:t>
      </w:r>
      <w:r>
        <w:rPr>
          <w:rFonts w:ascii="Arial" w:cs="Arial" w:eastAsia="Arial" w:hAnsi="Arial"/>
          <w:sz w:val="11"/>
          <w:szCs w:val="11"/>
          <w:color w:val="auto"/>
        </w:rPr>
        <w:t>abnormalities. However, conventional methods have limitations related to speed, precision and the risks associated with sampling a significant amount of material from the fetus during an invasive procedure, such as amniocentesis or chorionic villi sampling. Digital PCR has been identified as a technique for highly sensitive and precise nucleic acid measurement, but performing it with conventional laboratory equipment is so cumbersome that it has not been widely adopted. In an article published by Analytical Chemistry in August 2007, researchers at the laboratory of Professor Stephen Quake, our co-founder, at Stanford University demonstrated that digital PCR can be used for accurate measurement of trisomy 21, or Down syndrome. Using our Digital Array IFC and DNA from human cell lines, Dr. Quake’s laboratory was able to precisely measure the number of copies of a DNA sequence from this chromosome and at the same time measure the number of copies of a DNA sequence from another chromosome whose copy number does not vary. For trisomy 21, the ratio of these markers is significantly higher than normal. Similar work in pre-natal genetic testing is being pursued using our IFCs by other customers at leading academic institutions. We believe that with further clinical validation and development, such research could be developed into a diagnostic test that would require significantly less material from the fetus and provide results much more rapidly than current methods. We also believe that digital PCR will enable such diagnostics to ultimately be used in a non-invasive fashion, thus further reducing risk to the fetus.</w:t>
      </w:r>
    </w:p>
    <w:p>
      <w:pPr>
        <w:spacing w:after="0" w:line="4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Cancer researchers have identified a particular mutation in chronic myeloid leukemia cells that render those cells resistant to the drug Gleevec. Gleevec is typically used as the initial treatment for this type of leukemia and is often able to put the disease into remission for months or years. However, a significant proportion of these leukemia patients eventually develop mutated leukemia cells that are resistant to Gleevec. These mutated cells are initially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very scarce and undetectable using conventional systems, but they eventually multiply and cause the patient to become symptomatic again. Researchers at the Fred Hutchinson Cancer Research Center have used our Digital Array IFC in their laboratory to test patient samples and have been able to detect these mutated cells earlier than with conventional techniques. With additional validation and demonstration of clinical relevance, we believe a test based on digital PCR could be a useful tool for monitoring patients who are diagnosed with chronic myeloid leukemia.</w:t>
      </w:r>
    </w:p>
    <w:p>
      <w:pPr>
        <w:spacing w:after="0" w:line="7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In order to determine how a particular protein interacts with other components of a disease pathway, researchers often attempt to determine its structure using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protein crystallization. Because most proteins will crystallize only under very precise conditions that are specific to the particular protein, protein crystallization involves performing numerous assays to determine the conditions under which the protein crystallizes. As described in the April 2006 issue of the journal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and supporting online material, researchers at the Wilson lab of Scripps Research Institute in La Jolla, California used our Topaz system to understand how the H5N1 avian flu virus can infect humans. Researchers at the Wilson lab had prepared a small sample of the protein that the virus uses to attach itself to cells in the respiratory tract. With the Topaz system, they were able to quickly screen a few microliters of the sample across a wide variety of different conditions and determine the optimum conditions for protein crystallization. Using this information, they were able to grow larger crystals using standard crystallization techniques. Subsequent analysis of the structure of the crystallized protein revealed why the current form of the avian H5N1 virus has not yet acquired the ability to readily infect humans compared to other flu viruses.</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Future Applications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High-Throughput DNA Sequencing. </w:t>
      </w:r>
      <w:r>
        <w:rPr>
          <w:rFonts w:ascii="Arial" w:cs="Arial" w:eastAsia="Arial" w:hAnsi="Arial"/>
          <w:sz w:val="12"/>
          <w:szCs w:val="12"/>
          <w:color w:val="auto"/>
        </w:rPr>
        <w:t>For many years, researchers have wanted to conduct large scale studies of genomic variations to better understand gene regulation and gene</w:t>
      </w:r>
      <w:r>
        <w:rPr>
          <w:rFonts w:ascii="Arial" w:cs="Arial" w:eastAsia="Arial" w:hAnsi="Arial"/>
          <w:sz w:val="12"/>
          <w:szCs w:val="12"/>
          <w:i w:val="1"/>
          <w:iCs w:val="1"/>
          <w:color w:val="auto"/>
        </w:rPr>
        <w:t xml:space="preserve"> </w:t>
      </w:r>
      <w:r>
        <w:rPr>
          <w:rFonts w:ascii="Arial" w:cs="Arial" w:eastAsia="Arial" w:hAnsi="Arial"/>
          <w:sz w:val="12"/>
          <w:szCs w:val="12"/>
          <w:color w:val="auto"/>
        </w:rPr>
        <w:t>function. However, it was only with the recent introduction of ultra high-throughput DNA sequencers, sometimes referred as next generation sequencing, that conducting such studies became feasible. Accurately performing DNA sequencing with these high-throughput machines requires careful preparation of the sample to be analyzed, including precisely determining the amount of template DNA present in the sample. Quantifying or titrating the DNA in the sample using typical methods is often a painstaking and lengthy process that can consume a large quantity of the sample itself. Stanford University researchers working in the laboratory of Dr. Stephen Quake, who is a co-founder of Fluidigm and chair of our Scientific Advisory Board, have demonstrated that our Digital Array IFC can be used to quantify the amount of DNA in a sample in four hours or less with the precision typically needed by high-throughput DNA sequencers. This technique is significantly quicker and less expensive than conventional methods and allows for more efficient use of the high-throughput DNA sequencers by eliminating one of the two runs that are generally required to sequence a sample. In addition, because the technique consumes one one-thousandth of the amount of sample that typical methods consume, it can be used in situations where only scarce sample is available. Though researchers have just begun to adopt high-throughput DNA sequencers, we believe there are over 1,000 genomic research sites worldwide that are potential users of the machines within the next few years. Two of our customers have begun using our Digital Array IFC to perform this technique on a trial basis, and we expect to make the application more widely available beginning in the fourth quarter of this year.</w:t>
      </w:r>
    </w:p>
    <w:p>
      <w:pPr>
        <w:spacing w:after="0" w:line="60" w:lineRule="exact"/>
        <w:rPr>
          <w:sz w:val="20"/>
          <w:szCs w:val="20"/>
          <w:color w:val="auto"/>
        </w:rPr>
      </w:pPr>
    </w:p>
    <w:p>
      <w:pPr>
        <w:ind w:left="680" w:right="100" w:firstLine="399"/>
        <w:spacing w:after="0" w:line="308" w:lineRule="auto"/>
        <w:rPr>
          <w:sz w:val="20"/>
          <w:szCs w:val="20"/>
          <w:color w:val="auto"/>
        </w:rPr>
      </w:pPr>
      <w:r>
        <w:rPr>
          <w:rFonts w:ascii="Arial" w:cs="Arial" w:eastAsia="Arial" w:hAnsi="Arial"/>
          <w:sz w:val="11"/>
          <w:szCs w:val="11"/>
          <w:i w:val="1"/>
          <w:iCs w:val="1"/>
          <w:color w:val="auto"/>
        </w:rPr>
        <w:t xml:space="preserve">Molecular Diagnostics. </w:t>
      </w:r>
      <w:r>
        <w:rPr>
          <w:rFonts w:ascii="Arial" w:cs="Arial" w:eastAsia="Arial" w:hAnsi="Arial"/>
          <w:sz w:val="11"/>
          <w:szCs w:val="11"/>
          <w:color w:val="auto"/>
        </w:rPr>
        <w:t>Life science research is revealing an increasing number of diseases and conditions that can be diagnosed, evaluated and monitored by measuring panels of</w:t>
      </w:r>
      <w:r>
        <w:rPr>
          <w:rFonts w:ascii="Arial" w:cs="Arial" w:eastAsia="Arial" w:hAnsi="Arial"/>
          <w:sz w:val="11"/>
          <w:szCs w:val="11"/>
          <w:i w:val="1"/>
          <w:iCs w:val="1"/>
          <w:color w:val="auto"/>
        </w:rPr>
        <w:t xml:space="preserve"> </w:t>
      </w:r>
      <w:r>
        <w:rPr>
          <w:rFonts w:ascii="Arial" w:cs="Arial" w:eastAsia="Arial" w:hAnsi="Arial"/>
          <w:sz w:val="11"/>
          <w:szCs w:val="11"/>
          <w:color w:val="auto"/>
        </w:rPr>
        <w:t>gene expression levels, SNPs, proteins or other biomarkers. Validating these research findings and translating them into clinically available tests often requires life science automation systems that are able to efficiently measure multiple biomarkers in a large number of patient samples. Our existing IFC systems are able to measure certain nucleic acid biomarkers that are commonly used in these tests, and we expect that we will be able to develop IFC systems to measure other relevant biomarkers. As described above, researchers have used our IFC systems to detect clinically relevant biomarkers, such as drug resistant leukemia cells and fetal chromosomal abnormalities. We believe that the high throughput, flexibility and simplified workflow of our IFC systems could make them an attractive solution for validating and commercializing a wide range of molecular diagnostic tests being developed by researchers. In addition, we believe that our IFC systems’ ability to measure gene expression levels across a broad range and to detect nucleic acid sequences present in very low concentrations will support the development and commercialization of molecular diagnostic tests that would not be practical with conventional systems. Our IFC systems have not been cleared or approved by the</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U.S. Food and Drug Administration, or FDA, for use in any molecular diagnostic tests and we cannot currently market them for the purpose of performing molecular diagnostic tests. We do not have any current plans to develop products that are regulated by the FDA.</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Other Applications. </w:t>
      </w:r>
      <w:r>
        <w:rPr>
          <w:rFonts w:ascii="Arial" w:cs="Arial" w:eastAsia="Arial" w:hAnsi="Arial"/>
          <w:sz w:val="13"/>
          <w:szCs w:val="13"/>
          <w:color w:val="auto"/>
        </w:rPr>
        <w:t>We believe that the inherent design flexibility of our core technology allows us to build IFC systems that can provide significant benefits in a wide range of fields</w:t>
      </w:r>
      <w:r>
        <w:rPr>
          <w:rFonts w:ascii="Arial" w:cs="Arial" w:eastAsia="Arial" w:hAnsi="Arial"/>
          <w:sz w:val="13"/>
          <w:szCs w:val="13"/>
          <w:i w:val="1"/>
          <w:iCs w:val="1"/>
          <w:color w:val="auto"/>
        </w:rPr>
        <w:t xml:space="preserve"> </w:t>
      </w:r>
      <w:r>
        <w:rPr>
          <w:rFonts w:ascii="Arial" w:cs="Arial" w:eastAsia="Arial" w:hAnsi="Arial"/>
          <w:sz w:val="13"/>
          <w:szCs w:val="13"/>
          <w:color w:val="auto"/>
        </w:rPr>
        <w:t>and industries. For example, the architecture of our Dynamic Array is flexible and supports the development of IFCs that create matrixed combinations of a variable number of samples versus a variable number of reagents. In addition, our IFC technology utilizes a variety of microfluidic components, such as pumps, mixers and separation columns, that allow the implementation of sophisticated biochemical processes on our IFCs. While we have not commenced commercial development of IFC systems for these fields, we have developed IFCs for internal research purposes in such diverse fields as:</w:t>
      </w:r>
    </w:p>
    <w:p>
      <w:pPr>
        <w:spacing w:after="0" w:line="71"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immunoassays, which can measure levels of protein expression and other molecules in a highly-parallel, multiplexed format;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high-throughput drug screening, including the analysis of molecules that inhibit protein-protein and protein-nucleic acid interactions;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chemical synthesis, including production of radio-labeled sugars which in combination with advanced medical imaging can help diagnose and monitor cancer;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pharmacogenomics, an emerging field that analyzes how variations in human genomes affect the performance and toxicity of therapeutic agents;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systems biology, an effort to understand the collective behavior of genes as they collaborate in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synthetic biology, an emerging field aimed at engineering biological systems to build novel biological functions, systems and perhaps organisms;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cellular assays, including stem cells and regenerative medicine, where our IFCs have been used to isolate, cultivate and analyze single cells.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intend to become a global leader in providing automated bio-analytical research and molecular diagnostic systems. Our business strategy consists of the following elements:</w:t>
      </w:r>
    </w:p>
    <w:p>
      <w:pPr>
        <w:spacing w:after="0" w:line="108"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Establish our IFC Technology as the Leading Solution for a Broad Range of Life Science Applications. </w:t>
      </w:r>
      <w:r>
        <w:rPr>
          <w:rFonts w:ascii="Arial" w:cs="Arial" w:eastAsia="Arial" w:hAnsi="Arial"/>
          <w:sz w:val="13"/>
          <w:szCs w:val="13"/>
          <w:color w:val="auto"/>
        </w:rPr>
        <w:t>Our initial sales and marketing efforts have been focused on</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establishing our IFC systems as leading solutions for high-throughput life science research applications. We intend to leverage the market awareness and acceptance created by our initial product offerings to market new products and applications to life science researchers and to sell new and existing applications to customers in other markets, such as molecular diagnostics and applied genomics.</w:t>
      </w:r>
    </w:p>
    <w:p>
      <w:pPr>
        <w:spacing w:after="0" w:line="70" w:lineRule="exact"/>
        <w:rPr>
          <w:sz w:val="20"/>
          <w:szCs w:val="20"/>
          <w:color w:val="auto"/>
        </w:rPr>
      </w:pPr>
    </w:p>
    <w:p>
      <w:pPr>
        <w:ind w:left="1080" w:right="280" w:firstLine="383"/>
        <w:spacing w:after="0" w:line="260" w:lineRule="auto"/>
        <w:rPr>
          <w:sz w:val="20"/>
          <w:szCs w:val="20"/>
          <w:color w:val="auto"/>
        </w:rPr>
      </w:pPr>
      <w:r>
        <w:rPr>
          <w:rFonts w:ascii="Arial" w:cs="Arial" w:eastAsia="Arial" w:hAnsi="Arial"/>
          <w:sz w:val="13"/>
          <w:szCs w:val="13"/>
          <w:i w:val="1"/>
          <w:iCs w:val="1"/>
          <w:color w:val="auto"/>
        </w:rPr>
        <w:t xml:space="preserve">Continue to Increase the Throughput and Efficiency of Our IFCs. </w:t>
      </w:r>
      <w:r>
        <w:rPr>
          <w:rFonts w:ascii="Arial" w:cs="Arial" w:eastAsia="Arial" w:hAnsi="Arial"/>
          <w:sz w:val="13"/>
          <w:szCs w:val="13"/>
          <w:color w:val="auto"/>
        </w:rPr>
        <w:t>A primary focus of our research and development efforts is the development of IFCs with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 density and, therefore, the ability to conduct an increased number of experiments on a single IFC. Increasing density provides value to our customers by increasing throughput, enhancing efficiency, reducing labor costs and reducing reagent and sample volumes. We expect that these increased capacity IFCs will allow us to deliver additional capabilities and cost savings, and further improve our competitive position.</w:t>
      </w:r>
    </w:p>
    <w:p>
      <w:pPr>
        <w:spacing w:after="0" w:line="70"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Expand Recurring IFC Revenue Stream Through Product Innovation and System Sales. </w:t>
      </w:r>
      <w:r>
        <w:rPr>
          <w:rFonts w:ascii="Arial" w:cs="Arial" w:eastAsia="Arial" w:hAnsi="Arial"/>
          <w:sz w:val="13"/>
          <w:szCs w:val="13"/>
          <w:color w:val="auto"/>
        </w:rPr>
        <w:t>We intend to drive revenue growth by increasing the number of installed IFC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improving the cost per test of our IFCs and developing IFCs and systems for additional applications.</w:t>
      </w:r>
    </w:p>
    <w:p>
      <w:pPr>
        <w:spacing w:after="0" w:line="59" w:lineRule="exact"/>
        <w:rPr>
          <w:sz w:val="20"/>
          <w:szCs w:val="20"/>
          <w:color w:val="auto"/>
        </w:rPr>
      </w:pPr>
    </w:p>
    <w:p>
      <w:pPr>
        <w:ind w:left="1080" w:right="200" w:firstLine="383"/>
        <w:spacing w:after="0" w:line="320" w:lineRule="auto"/>
        <w:rPr>
          <w:sz w:val="20"/>
          <w:szCs w:val="20"/>
          <w:color w:val="auto"/>
        </w:rPr>
      </w:pPr>
      <w:r>
        <w:rPr>
          <w:rFonts w:ascii="Arial" w:cs="Arial" w:eastAsia="Arial" w:hAnsi="Arial"/>
          <w:sz w:val="12"/>
          <w:szCs w:val="12"/>
          <w:i w:val="1"/>
          <w:iCs w:val="1"/>
          <w:color w:val="auto"/>
        </w:rPr>
        <w:t xml:space="preserve">Provide Superior Customer Service. </w:t>
      </w:r>
      <w:r>
        <w:rPr>
          <w:rFonts w:ascii="Arial" w:cs="Arial" w:eastAsia="Arial" w:hAnsi="Arial"/>
          <w:sz w:val="12"/>
          <w:szCs w:val="12"/>
          <w:color w:val="auto"/>
        </w:rPr>
        <w:t>We have a global sales force and support organization that offers technical solutions and customer support through direct relationships</w:t>
      </w:r>
      <w:r>
        <w:rPr>
          <w:rFonts w:ascii="Arial" w:cs="Arial" w:eastAsia="Arial" w:hAnsi="Arial"/>
          <w:sz w:val="12"/>
          <w:szCs w:val="12"/>
          <w:i w:val="1"/>
          <w:iCs w:val="1"/>
          <w:color w:val="auto"/>
        </w:rPr>
        <w:t xml:space="preserve"> </w:t>
      </w:r>
      <w:r>
        <w:rPr>
          <w:rFonts w:ascii="Arial" w:cs="Arial" w:eastAsia="Arial" w:hAnsi="Arial"/>
          <w:sz w:val="12"/>
          <w:szCs w:val="12"/>
          <w:color w:val="auto"/>
        </w:rPr>
        <w:t>with our current and potential customers. Through the direct connection with our customers, we are able to better understand their needs and apprise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180"/>
        <w:spacing w:after="0" w:line="276" w:lineRule="auto"/>
        <w:rPr>
          <w:sz w:val="20"/>
          <w:szCs w:val="20"/>
          <w:color w:val="auto"/>
        </w:rPr>
      </w:pPr>
      <w:r>
        <w:rPr>
          <w:rFonts w:ascii="Arial" w:cs="Arial" w:eastAsia="Arial" w:hAnsi="Arial"/>
          <w:sz w:val="13"/>
          <w:szCs w:val="13"/>
          <w:color w:val="auto"/>
        </w:rPr>
        <w:t>them of new product offerings and technological advances in our current IFC systems, related instrumentation and software, while maintaining a consistent marketing message and high level of customer service.</w:t>
      </w:r>
    </w:p>
    <w:p>
      <w:pPr>
        <w:spacing w:after="0" w:line="59"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Enhance IFC Manufacturing Efficiency. </w:t>
      </w:r>
      <w:r>
        <w:rPr>
          <w:rFonts w:ascii="Arial" w:cs="Arial" w:eastAsia="Arial" w:hAnsi="Arial"/>
          <w:sz w:val="13"/>
          <w:szCs w:val="13"/>
          <w:color w:val="auto"/>
        </w:rPr>
        <w:t>We intend to enhance our manufacturing efficiency through improvements in our existing processes, development of new IFC designs</w:t>
      </w:r>
      <w:r>
        <w:rPr>
          <w:rFonts w:ascii="Arial" w:cs="Arial" w:eastAsia="Arial" w:hAnsi="Arial"/>
          <w:sz w:val="13"/>
          <w:szCs w:val="13"/>
          <w:i w:val="1"/>
          <w:iCs w:val="1"/>
          <w:color w:val="auto"/>
        </w:rPr>
        <w:t xml:space="preserve"> </w:t>
      </w:r>
      <w:r>
        <w:rPr>
          <w:rFonts w:ascii="Arial" w:cs="Arial" w:eastAsia="Arial" w:hAnsi="Arial"/>
          <w:sz w:val="13"/>
          <w:szCs w:val="13"/>
          <w:color w:val="auto"/>
        </w:rPr>
        <w:t>and implementation of new manufacturing methods in order to improve our manufacturing yields and reduce our manufacturing costs. We believe that these improvements will enable us to deliver additional value to our customers and to maintain or enhance our advantages over competing systems.</w:t>
      </w:r>
    </w:p>
    <w:p>
      <w:pPr>
        <w:spacing w:after="0" w:line="67"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Continue to Develop our Technology and Intellectual Property Position. </w:t>
      </w:r>
      <w:r>
        <w:rPr>
          <w:rFonts w:ascii="Arial" w:cs="Arial" w:eastAsia="Arial" w:hAnsi="Arial"/>
          <w:sz w:val="13"/>
          <w:szCs w:val="13"/>
          <w:color w:val="auto"/>
        </w:rPr>
        <w:t>Our products are based on a set of related proprietary technologies that we have either developed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currently market two IFC systems, the BioMark system for real-time qPCR and the Topaz system for protein crystallization. Each system consists of single-use IFCs, loaders that control the IFCs, readers that detect reactions on the IFCs and software for analyzing, annotating and archiving the data produced by the readers.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BioMark System for Real-Time qPCR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BioMark system allows users to perform gene expression analysis, genotyping and digital PCR using standard TaqMan chemistry.</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Dynamic Array IFCs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BioMark 48.48 Dynamic Array IFC is based on matrix architecture that allows users to individually assay 48 samples against 48 primer-probe sets, generating 2,304 real-time qPCR reactions on a single device. One version of this IFC is optimized to perform gene expression analysis and another is optimized for genotyping, each assay in volumes of 10 nanoliters or less.</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commercially introduced our Dynamic Arrays in the fourth quarter of 2006 and, as of June 28, 2008, 16 customers have purchased Dynamic Array IFCs for use in applications, such as SNP association follow-up studies and single stem-cell gene expression profiling. In May 2008, we launched our 96.96 Dynamic Array IFC, which is configured to run 96 samples against 96 primer-probe sets, generating 9,216 reactions.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Digital Array IFCs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BioMark 12.765 Digital Array IFC is based on partitioning architecture that allows users to divide 12 separate samples into 765 smaller samples and perform a real-time qPCR assay against each sample in less than 10 nanoliter volumes. This IFC can be used for digital PCR and to precisely quantify the amount of a particular nucleic acid sequence present in a sample. We have been selling Digital Array IFCs since March 2007 and, as of June 28, 2008, 16 customers have purchased Digital Array IFCs for use in applications, such as characterizing unculturable bacteria, cancer detection and high-throughput DNA sequencing.</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Instrumentation and Software</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Our NanoFlex IFC Controller for the BioMark system fully automates the setup of IFCs for real-time qPCR-based experiments and includes software for implementing and tracking experiments. The instrumentation for our BioMark system controls the real-time qPCR process and detects the fluorescent signals generated using a white light source, emission and excitation filters, precision lenses, a licensed thermal cycler and a digital camera. We also offer various software packages that provide data analysis following data collection. Our analysis software shows data as color-coded maps of every position on the IFC, as amplification curves and as numeric tabular data.</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Topaz System for Protein Crystallization</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Topaz system allows users to screen protein samples against a set of reagents in order to determine the optimum conditions for crystallizing a protein. The Topaz system includes IFCs similar to our Dynamic Array architecture that have been optimized for highly efficient protein crystallization screening.</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Screening IFCs and Reagents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Our 1.96, 4.96 and 8.96 Screening IFCs for our Topaz system allow users to test 96 different reagents or reagent concentrations against one, four or eight different protein samples. We estimate that our screening IFCs require only 1% the amount of sample used in standard microwell plate technologies, which is important because protein samples are often extremely scarce or difficult to prepare. The 4.96 and 8.96 IFCs provide greater fluid handling efficiency by enabling the parallel processing of different samples containing a particular protein or different constructs of the same protein on a single IFC. This parallel processing saves pipetting steps and allows the user to determine the best sample or construct to use when scaling up production of a protein to generate diffraction-quality crystals.</w:t>
      </w:r>
    </w:p>
    <w:p>
      <w:pPr>
        <w:spacing w:after="0" w:line="71"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We also re-sell third party reagents that we have tested with our Topaz system. Though our customers may purchase or make their own reagents for use with our system, we recommend that they use reagents that we have validated.</w:t>
      </w:r>
    </w:p>
    <w:p>
      <w:pPr>
        <w:spacing w:after="0" w:line="59"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commercially introduced our Topaz systems in the first quarter of 2003 and, as of June 28, 2008, 75 customers have purchased Topaz IFCs for use in applications such as functional studies and structure-based drug design.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Instrumentation and Software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NanoFlex IFC controller for the Topaz system fully automates the setup of diffusion-based protein crystallization experiments and includes software for tracking experiments.</w:t>
      </w:r>
    </w:p>
    <w:p>
      <w:pPr>
        <w:spacing w:after="0" w:line="108"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Topaz AutoInspeX II workstation automates the scanning of Topaz IFCs and the identification of reaction chambers where crystallization has occurred. The AutoInspeX II incorporates high-end optical performance and a full suite of software for analyzing and archiving crystallization results. The sophisticated instrumentation and software included in our Topaz system enables users to automatically image and accurately score crystals as small as 10 microns by 20 microns.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distribute our systems through our direct field sales and support organizations located in North America, Europe and Asia and through distributors or sales agents in parts of Europe and Asia-Pacific. Our global sales force is able to apprise our current and potential customers of new product offerings and technological advances in our current IFC systems, related instrumentation and software to help drive revenue growth. As our primary point of contact in the marketplace, our sales force ensures a consistent marketing message and high level of customer service, while enhancing our understanding of customer needs. As of December 29, 2007, we had 24 people employed in sales, sales support and marketing, including 9 sales representatives.</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sales and marketing efforts are targeted at laboratory directors and principal investigators at leading companies and institutions who need reliable, high-throughput life science automation solutions to conduct large-scale experimentation. We seek to increase awareness of our products among our target customers through participation in tradeshows and academic conferences including sponsoring scientific lectures by prominent users of our systems. Because our systems are relatively new and require a capital investment, the sales process typically involves numerous interactions and demonstrations with multiple people within an organization. In addition, potential customers will often wish to conduct in-depth evaluations of the system including running identical sets of samples and reagents on both our system and competing systems. As a result of these factors and the budget cycles of our customers, our sales cycle, the time from initial contact with a customer to our receipt of a purchase order, can often be 12 months or longer.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have sold our BioMark and Topaz systems to a wide variety of biotechnology and pharmaceutical companies and to academic, governmental and clinical research institutions. As of June 28, 2008, 79 of our Topaz systems have been installed at customer sites and 24 of our BioMark systems have been installed at customer sites. The following is a list of our representative customers in each of the listed markets.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200" w:type="dxa"/>
            <w:vAlign w:val="bottom"/>
          </w:tcPr>
          <w:p>
            <w:pPr>
              <w:ind w:left="1780"/>
              <w:spacing w:after="0"/>
              <w:rPr>
                <w:sz w:val="20"/>
                <w:szCs w:val="20"/>
                <w:color w:val="auto"/>
              </w:rPr>
            </w:pPr>
            <w:r>
              <w:rPr>
                <w:rFonts w:ascii="Arial" w:cs="Arial" w:eastAsia="Arial" w:hAnsi="Arial"/>
                <w:sz w:val="10"/>
                <w:szCs w:val="10"/>
                <w:b w:val="1"/>
                <w:bCs w:val="1"/>
                <w:color w:val="auto"/>
              </w:rPr>
              <w:t>Customer</w:t>
            </w:r>
          </w:p>
        </w:tc>
        <w:tc>
          <w:tcPr>
            <w:tcW w:w="2460" w:type="dxa"/>
            <w:vAlign w:val="bottom"/>
          </w:tcPr>
          <w:p>
            <w:pPr>
              <w:ind w:left="1540"/>
              <w:spacing w:after="0"/>
              <w:rPr>
                <w:sz w:val="20"/>
                <w:szCs w:val="20"/>
                <w:color w:val="auto"/>
              </w:rPr>
            </w:pPr>
            <w:r>
              <w:rPr>
                <w:rFonts w:ascii="Arial" w:cs="Arial" w:eastAsia="Arial" w:hAnsi="Arial"/>
                <w:sz w:val="10"/>
                <w:szCs w:val="10"/>
                <w:b w:val="1"/>
                <w:bCs w:val="1"/>
                <w:color w:val="auto"/>
              </w:rPr>
              <w:t>Market</w:t>
            </w:r>
          </w:p>
        </w:tc>
        <w:tc>
          <w:tcPr>
            <w:tcW w:w="4200" w:type="dxa"/>
            <w:vAlign w:val="bottom"/>
          </w:tcPr>
          <w:p>
            <w:pPr>
              <w:ind w:left="2300"/>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pplication</w:t>
            </w:r>
          </w:p>
        </w:tc>
      </w:tr>
      <w:tr>
        <w:trPr>
          <w:trHeight w:val="197"/>
        </w:trPr>
        <w:tc>
          <w:tcPr>
            <w:tcW w:w="3200" w:type="dxa"/>
            <w:vAlign w:val="bottom"/>
          </w:tcPr>
          <w:p>
            <w:pPr>
              <w:spacing w:after="0"/>
              <w:rPr>
                <w:sz w:val="20"/>
                <w:szCs w:val="20"/>
                <w:color w:val="auto"/>
              </w:rPr>
            </w:pPr>
            <w:r>
              <w:rPr>
                <w:rFonts w:ascii="Arial" w:cs="Arial" w:eastAsia="Arial" w:hAnsi="Arial"/>
                <w:sz w:val="13"/>
                <w:szCs w:val="13"/>
                <w:color w:val="auto"/>
              </w:rPr>
              <w:t>MedImmune</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w w:val="90"/>
              </w:rPr>
              <w:t>Pharmaceutical drug development — real-time qPCR for gene expression</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profiling in research and clinical trials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Myriad Genetics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w w:val="92"/>
              </w:rPr>
              <w:t>Cancer and diagnostics research — real-time qPCR for differential gene</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expression in cancer studies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Merck &amp; Co.</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rPr>
              <w:t>Gene expression profiling for pharmaceutical drug development</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Alaska Department of Fish and Game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4200" w:type="dxa"/>
            <w:vAlign w:val="bottom"/>
          </w:tcPr>
          <w:p>
            <w:pPr>
              <w:ind w:left="340"/>
              <w:spacing w:after="0"/>
              <w:rPr>
                <w:sz w:val="20"/>
                <w:szCs w:val="20"/>
                <w:color w:val="auto"/>
              </w:rPr>
            </w:pPr>
            <w:r>
              <w:rPr>
                <w:rFonts w:ascii="Arial" w:cs="Arial" w:eastAsia="Arial" w:hAnsi="Arial"/>
                <w:sz w:val="13"/>
                <w:szCs w:val="13"/>
                <w:color w:val="auto"/>
                <w:w w:val="99"/>
              </w:rPr>
              <w:t>Government wild-life resource management — SNP genotyping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identification of salmon species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National Cancer Institute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4200" w:type="dxa"/>
            <w:vAlign w:val="bottom"/>
          </w:tcPr>
          <w:p>
            <w:pPr>
              <w:ind w:left="340"/>
              <w:spacing w:after="0"/>
              <w:rPr>
                <w:sz w:val="20"/>
                <w:szCs w:val="20"/>
                <w:color w:val="auto"/>
              </w:rPr>
            </w:pPr>
            <w:r>
              <w:rPr>
                <w:rFonts w:ascii="Arial" w:cs="Arial" w:eastAsia="Arial" w:hAnsi="Arial"/>
                <w:sz w:val="13"/>
                <w:szCs w:val="13"/>
                <w:color w:val="auto"/>
                <w:w w:val="92"/>
              </w:rPr>
              <w:t>Academic basic research; clinical diagnostics research — genotyping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cancer research</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Chinese University of Hong Kong</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5"/>
              </w:rPr>
              <w:t>Digital PCR</w:t>
            </w:r>
          </w:p>
        </w:tc>
        <w:tc>
          <w:tcPr>
            <w:tcW w:w="4200" w:type="dxa"/>
            <w:vAlign w:val="bottom"/>
          </w:tcPr>
          <w:p>
            <w:pPr>
              <w:ind w:left="340"/>
              <w:spacing w:after="0"/>
              <w:rPr>
                <w:sz w:val="20"/>
                <w:szCs w:val="20"/>
                <w:color w:val="auto"/>
              </w:rPr>
            </w:pPr>
            <w:r>
              <w:rPr>
                <w:rFonts w:ascii="Arial" w:cs="Arial" w:eastAsia="Arial" w:hAnsi="Arial"/>
                <w:sz w:val="13"/>
                <w:szCs w:val="13"/>
                <w:color w:val="auto"/>
                <w:w w:val="91"/>
              </w:rPr>
              <w:t>Academic basic research; clinical diagnostics research — digital PCR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early cancer detection</w:t>
            </w:r>
          </w:p>
        </w:tc>
      </w:tr>
      <w:tr>
        <w:trPr>
          <w:trHeight w:val="165"/>
        </w:trPr>
        <w:tc>
          <w:tcPr>
            <w:tcW w:w="3200" w:type="dxa"/>
            <w:vAlign w:val="bottom"/>
          </w:tcPr>
          <w:p>
            <w:pPr>
              <w:spacing w:after="0"/>
              <w:rPr>
                <w:sz w:val="20"/>
                <w:szCs w:val="20"/>
                <w:color w:val="auto"/>
              </w:rPr>
            </w:pPr>
            <w:r>
              <w:rPr>
                <w:rFonts w:ascii="Arial" w:cs="Arial" w:eastAsia="Arial" w:hAnsi="Arial"/>
                <w:sz w:val="13"/>
                <w:szCs w:val="13"/>
                <w:color w:val="auto"/>
              </w:rPr>
              <w:t>Vertex Pharmaceuticals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4"/>
              </w:rPr>
              <w:t>Protein crystallization</w:t>
            </w:r>
          </w:p>
        </w:tc>
        <w:tc>
          <w:tcPr>
            <w:tcW w:w="4200" w:type="dxa"/>
            <w:vAlign w:val="bottom"/>
          </w:tcPr>
          <w:p>
            <w:pPr>
              <w:ind w:left="340"/>
              <w:spacing w:after="0"/>
              <w:rPr>
                <w:sz w:val="20"/>
                <w:szCs w:val="20"/>
                <w:color w:val="auto"/>
              </w:rPr>
            </w:pPr>
            <w:r>
              <w:rPr>
                <w:rFonts w:ascii="Arial" w:cs="Arial" w:eastAsia="Arial" w:hAnsi="Arial"/>
                <w:sz w:val="13"/>
                <w:szCs w:val="13"/>
                <w:color w:val="auto"/>
              </w:rPr>
              <w:t>Pharmaceutical drug discovery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-1228090</wp:posOffset>
            </wp:positionV>
            <wp:extent cx="2476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-1228090</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Revenue Concentration. </w:t>
      </w:r>
      <w:r>
        <w:rPr>
          <w:rFonts w:ascii="Arial" w:cs="Arial" w:eastAsia="Arial" w:hAnsi="Arial"/>
          <w:sz w:val="12"/>
          <w:szCs w:val="12"/>
          <w:color w:val="auto"/>
        </w:rPr>
        <w:t>We receive a substantial portion of our revenue from a limited number of customers and grantors. For the year ended December 29, 2007, the Singapore</w:t>
      </w:r>
      <w:r>
        <w:rPr>
          <w:rFonts w:ascii="Arial" w:cs="Arial" w:eastAsia="Arial" w:hAnsi="Arial"/>
          <w:sz w:val="12"/>
          <w:szCs w:val="12"/>
          <w:i w:val="1"/>
          <w:iCs w:val="1"/>
          <w:color w:val="auto"/>
        </w:rPr>
        <w:t xml:space="preserve"> </w:t>
      </w:r>
      <w:r>
        <w:rPr>
          <w:rFonts w:ascii="Arial" w:cs="Arial" w:eastAsia="Arial" w:hAnsi="Arial"/>
          <w:sz w:val="12"/>
          <w:szCs w:val="12"/>
          <w:color w:val="auto"/>
        </w:rPr>
        <w:t>Economic Development Board, or EDB, accounted for 24% of our total revenue. For the year ended December 31, 2006, CTI Molecular Imaging accounted for 16% of our total revenue, Kikotech Co., Ltd. accounted for 14% of our total revenue and EDB accounted for 14% of our total revenue. For the year ended December 31, 2005, Kikotech accounted for 16% of our total revenue and a collaboration agreement accounted for 14% of our total revenue. We anticipate that we will continue to be dependent on a limited number of customers and grantors for a significant portion of our revenue in the near future. The loss of any of these customers could have a material adverse effect on our results of operations and cash flows.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compete with both established and development stage life science companies that design, manufacture and market instruments for gene expression analysis, genotyping, other nucleic acid detection and additional applications using established laboratory techniques. For example, companies such as Affymetrix, Applied Biosystems, BioTrove, Illumina, Roche Diagnostics and Sequenom have products for gene expression and/or genotyping that compete in certain segments of the market in which we sell our BioMark system. In addition, a number of other companies and academic groups are in the process of developing novel technologies for genetic analysis, many of which have also received grants from the National Human Genome Research Institute, a branch of the National Institutes of Health.</w:t>
      </w:r>
    </w:p>
    <w:p>
      <w:pPr>
        <w:spacing w:after="0" w:line="71"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high-throughput life science platforms industry is highly competitive and expected to grow more competitive with the increasing knowledge gained from molecular biology experimentation. Many of our competitors are either publicly-traded or are divisions of publicly-traded companies and enjoy several competitive advantages over us, including:</w:t>
      </w:r>
    </w:p>
    <w:p>
      <w:pPr>
        <w:spacing w:after="0" w:line="35"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significantly greater name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greater financial and human resources;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broader product lines and product packages;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larger sales forces;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larger and more geographically dispersed customer support organization;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substantial intellectual property portfolios;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established customer bases and relationships; and</w:t>
      </w:r>
    </w:p>
    <w:p>
      <w:pPr>
        <w:spacing w:after="0" w:line="86" w:lineRule="exact"/>
        <w:rPr>
          <w:rFonts w:ascii="Arial" w:cs="Arial" w:eastAsia="Arial" w:hAnsi="Arial"/>
          <w:sz w:val="13"/>
          <w:szCs w:val="13"/>
          <w:color w:val="auto"/>
        </w:rPr>
      </w:pPr>
    </w:p>
    <w:p>
      <w:pPr>
        <w:ind w:left="1080" w:right="5220" w:firstLine="10"/>
        <w:spacing w:after="0" w:line="466" w:lineRule="auto"/>
        <w:tabs>
          <w:tab w:leader="none" w:pos="12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greater experience in research and development, manufacturing and marketing. We believe that the principal competitive factors in our markets include:</w:t>
      </w: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cost of capital equipment and supplies;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ease of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accuracy and reproducibility of results;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compatibility with existing laboratory processes.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To successfully compete with existing products and future technologies, we will need to demonstrate to potential customers that the cost savings and performance of our technologies and products, as well as our customer support capabilities, are superior to those of our competitors.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are based on a tiered set of related proprietary technologies that we have either developed internally or licensed from third parties.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Multi-Layer Soft Lithography</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IFCs are manufactured using a technology known as multi-layer soft lithography, or MSL. With MSL, we are able to use standard semiconductor manufacturing techniques, along with certain proprietary processes, to create complex integrated microfluidic devices.</w:t>
      </w:r>
    </w:p>
    <w:p>
      <w:pPr>
        <w:spacing w:after="0" w:line="59"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Using MSL technology, we are able to create valves, chambers, channels and other fluidic components on our IFCs at high density. We combine these components in complex arrangements that allow nanoliter quantities of fluids to be precisely directed to specific positions within the IFC. Unlike most prior microfluidic technologies, our IFCs do not rely on electricity, magnetism or similar approaches to control fluid movement. Rather, our IFCs control fluid flow with valves. The most important components on our IFCs are our NanoFlex valves, which are created by the intersection of two channels. When the valve is open, fluid is able to flow through the lower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IFC cores allow our NanoFlex valves to form a reliable seal and cycle through millions of openings and closings.</w:t>
      </w:r>
    </w:p>
    <w:p>
      <w:pPr>
        <w:spacing w:after="0" w:line="4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elastomer we currently use for our commercial products is a form of silicone rubber known as polydimethylsiloxane, or PDMS, but we have researched other materials with different properties for specific purposes. PDMS is transparent, which allows fluid movement to be easily monitored with a variety of existing optical technologies, such as bright field or phase contrast microscopy. In addition,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PDMS also supports an environment that is favorable to maintaining cell cultures.</w:t>
      </w:r>
    </w:p>
    <w:p>
      <w:pPr>
        <w:spacing w:after="0" w:line="71"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have developed commercial manufacturing processes to fabricate valves, channels and chambers with dimensions in the 10 to 100 micron range, at high density and with high reliability. For research purposes, we have created devices with both substantially smaller and larger features. Though our manufacturing is based on standard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semiconductor manufacturing technologies and techniques, we have also developed novel processes for mold fabrication that enable mass production of high density IFCs with nanoliter volume features.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Integrated Fluidic Circuits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IFCs incorporate several different types of technology that together enable us to use MSL to rapidly design and deploy new microfluidic applications.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Microfluidic Components. </w:t>
      </w:r>
      <w:r>
        <w:rPr>
          <w:rFonts w:ascii="Arial" w:cs="Arial" w:eastAsia="Arial" w:hAnsi="Arial"/>
          <w:sz w:val="12"/>
          <w:szCs w:val="12"/>
          <w:color w:val="auto"/>
        </w:rPr>
        <w:t>The first level of our IFC technology is a library of components that perform basic microfluidic functions. We have proven designs for numerous elements,</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a typical overall circuit size of three centimeters by three centimeters. As a result, we are routinely able to develop IFCs that perform thousands of reactions per square centimeter.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Architectures. </w:t>
      </w:r>
      <w:r>
        <w:rPr>
          <w:rFonts w:ascii="Arial" w:cs="Arial" w:eastAsia="Arial" w:hAnsi="Arial"/>
          <w:sz w:val="12"/>
          <w:szCs w:val="12"/>
          <w:color w:val="auto"/>
        </w:rPr>
        <w:t>The second level of our IFC technology comprises the architectures we have designed to exploit our ability to conduct thousands of reactions on a single IFC. The first</w:t>
      </w:r>
      <w:r>
        <w:rPr>
          <w:rFonts w:ascii="Arial" w:cs="Arial" w:eastAsia="Arial" w:hAnsi="Arial"/>
          <w:sz w:val="12"/>
          <w:szCs w:val="12"/>
          <w:i w:val="1"/>
          <w:iCs w:val="1"/>
          <w:color w:val="auto"/>
        </w:rPr>
        <w:t xml:space="preserve"> </w:t>
      </w:r>
      <w:r>
        <w:rPr>
          <w:rFonts w:ascii="Arial" w:cs="Arial" w:eastAsia="Arial" w:hAnsi="Arial"/>
          <w:sz w:val="12"/>
          <w:szCs w:val="12"/>
          <w:color w:val="auto"/>
        </w:rPr>
        <w:t>of these is the Dynamic Array,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has to be pipetted only once per IFC rather than once per reaction, as is the case with plate-based technologies. For example, a single 48.48 Dynamic Array IFC can perform a total of 2,304 unique reactions between 48 samples and 48 reagents with only 96 pipetting steps. With conventional microwell plate-based technologies, the same experiment would require about 4,608 pipetting steps and at least six conventional microwell plates. Our Digital Array architecture provides similar benefits with respect to pipetting steps and fluid handling. The Digital Array architecture allows a sample to be split into hundreds or thousands of smaller samples. Separate reactions can then be conducted on each of the smaller samples.</w:t>
      </w:r>
    </w:p>
    <w:p>
      <w:pPr>
        <w:spacing w:after="0" w:line="5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Interface and Handling Frames. </w:t>
      </w:r>
      <w:r>
        <w:rPr>
          <w:rFonts w:ascii="Arial" w:cs="Arial" w:eastAsia="Arial" w:hAnsi="Arial"/>
          <w:sz w:val="13"/>
          <w:szCs w:val="13"/>
          <w:color w:val="auto"/>
        </w:rPr>
        <w:t>The third level of our IFC technology involves the interaction of our IFCs with the actual laboratory environment. The elastomeric blocks at the</w:t>
      </w:r>
      <w:r>
        <w:rPr>
          <w:rFonts w:ascii="Arial" w:cs="Arial" w:eastAsia="Arial" w:hAnsi="Arial"/>
          <w:sz w:val="13"/>
          <w:szCs w:val="13"/>
          <w:i w:val="1"/>
          <w:iCs w:val="1"/>
          <w:color w:val="auto"/>
        </w:rPr>
        <w:t xml:space="preserve"> </w:t>
      </w:r>
      <w:r>
        <w:rPr>
          <w:rFonts w:ascii="Arial" w:cs="Arial" w:eastAsia="Arial" w:hAnsi="Arial"/>
          <w:sz w:val="13"/>
          <w:szCs w:val="13"/>
          <w:color w:val="auto"/>
        </w:rPr>
        <w:t>center of our IFCs sit in specially designed frames that are able to deliver samples and reagents to the block. These frames are the same size as standard 384 microwell plates and have sample and reagent input ports laid out in a standard 384 microwell plate format. As a result, our IFCs can be loaded with standard laboratory pipetting robots and can be used with standard plate handling equipment.</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Technological Advances. </w:t>
      </w:r>
      <w:r>
        <w:rPr>
          <w:rFonts w:ascii="Arial" w:cs="Arial" w:eastAsia="Arial" w:hAnsi="Arial"/>
          <w:sz w:val="12"/>
          <w:szCs w:val="12"/>
          <w:color w:val="auto"/>
        </w:rPr>
        <w:t>In the second quarter of 2002, we sold the first prototype of our 1.48 IFC for our Topaz system, which featured 22 valves capable of 2.5 assays per square</w:t>
      </w:r>
      <w:r>
        <w:rPr>
          <w:rFonts w:ascii="Arial" w:cs="Arial" w:eastAsia="Arial" w:hAnsi="Arial"/>
          <w:sz w:val="12"/>
          <w:szCs w:val="12"/>
          <w:i w:val="1"/>
          <w:iCs w:val="1"/>
          <w:color w:val="auto"/>
        </w:rPr>
        <w:t xml:space="preserve"> </w:t>
      </w:r>
      <w:r>
        <w:rPr>
          <w:rFonts w:ascii="Arial" w:cs="Arial" w:eastAsia="Arial" w:hAnsi="Arial"/>
          <w:sz w:val="12"/>
          <w:szCs w:val="12"/>
          <w:color w:val="auto"/>
        </w:rPr>
        <w:t>centimeter. In the second quarter of 2006, we introduced our 12.765 Digital Array IFC, with over 1,000 valves capable of more than 1,000 assays per square centimeter, a 46-fold increase in valve density and a 400-fold increase in assay capability. The chart below illustrates the timing of a number of our technological advances. We introduced our 96.96 Dynamic Array IFC in May 2008, which again increased the number of valves and assays per square centimeter relative to the 48.48 Dynamic Array. In the semiconductor industry, Moore’s Law describes the principle that the shrinking of features has allowed for a doubling of transistors on a chip approximately every 18 months. Based on manufacturing processes borrowed from those in the semiconductor industry, Fluidigm has similarly achieved significant gains in the density and productivity of our IFCs.</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149860</wp:posOffset>
            </wp:positionV>
            <wp:extent cx="3183255" cy="1809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832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Software and Instrumentation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developed instrumentation technology to load samples and reagents on to the IFC and to control and monitor reactions within our IFCs. Our NanoFlex controller consists of commercial pneumatic components and both custom and commercial electronics. It uses precise control of multiple pressures to independently move fluid through up to four IFCs simultaneously and can be configured for use with either our BioMark or Topaz systems. Our Topaz Auto-InspeX II workstation consists of a commercial microscope, illumination source, stage and camera system in a single package. Our BioMark system consists of a customized commercial thermal cycler packaged with a sophisticated fluorescence detection system. All of these instruments are designed to be easily introduced into standard automated lab environments.</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developed specialized software packages to manage and analyze the unusually large amounts of data produced by our systems. Our BioMark gene expression analysis software automatically identifies individual real-time qPCR reactions from fluorescent images and generates amplification threshold crossing values allowing researchers to readily perform complete normalized comparative gene expression analysis across large numbers of samples and assays. Similarly, the BioMark genotyping analysis software automatically clusters fluorescent intensities from individual genotype reactions and makes genotype calls across individual and multiple IFC runs. Our Topaz system software incorporates sophisticated image processing and analysis functionality that enables the automatic detection and classification of protein crystals. Most of our software development uses Microsoft.NET tools to facilitate interaction with typical laboratory information management systems.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Our manufacturing operations are located in Singapore and South San Francisco. Our Singapore facility fabricates all of our IFCs for commercial sale. IFCs for research and development purposes are fabricated at both locations. We manufacture instrument systems at both locations, with certain instruments assembled in Singapore and others in South San Francisco.</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Singapore facility commenced operations in October 2005 and established full process capability for its first product, the Topaz Screening IFC, in June 2006 and for its first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Dynamic Array, the 48.48 Dynamic Array in October 2006. Our Singapore facility has been producing components for our Topaz system since October 2006 and components for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BioMark system since December 2007.</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established our manufacturing facility in Singapore to take advantage of the skilled workforce, supplier and partner network, lower operating costs and government support available there. Our IFC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of potential suppliers and partners for our manufacturing operations. We are able to locally source a large proportion of the raw materials required in our processes and have been able to collaborate with local engineering companies to develop enabling technologies for IFC fabrication. We have made significant improvements in yields through process improvements at our Singapore facility and IFC production increased three-fold in 2007 compared to 2006.</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manufacturing operations in Singapore have been supported by grants from the Singapore Economic Development Board, or EDB, which provide incentive grant payments for research, development and manufacturing activity in Singapore. Our arrangements with EDB require us to maintain a significant and increasing manufacturing and research and development presence in Singapore.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South San Francisco facility began producing Topaz systems in 2002. In 2005, our South San Francisco facility began assembling instrumentation for our BioMark system.</w:t>
      </w:r>
    </w:p>
    <w:p>
      <w:pPr>
        <w:spacing w:after="0" w:line="108"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We expect that our existing manufacturing capacity for instrumentation and IFCs is sufficient to meet our needs for at least the next two years.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thermal cycler customized to our specifications, a specialized polymer from which our IFC cores are fabricated, the plastic carrier that holds the IFC core in certain of our products and the specialized high resolution camera lenses used in the reader for our BioMark system. We are neither a major customer of our suppliers, nor do we have long term supply contracts with most of these suppliers. These suppliers may therefore give other customers’ needs higher priority than ours, and we may not be able to obtain adequate supply in a timely manner or on commercially reasonable terms.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have entered into a supply agreement with Eppendorf AG to provide to us a thermal cycler customized to our specifications. Pursuant to this agreement, we have agreed to purchase from Eppendorf at least a specified minimum number of units each year in exchange for volume discounts. We have also agreed, during the term of the agreement, not to manufacture or sell a product, in stand-alone form, or compete in any way directly or indirectly with the customized thermal cycler provided by Eppedorf in stand-alone form. Eppendorf has agreed to refrain from providing a similarly customized unit to any person or entity until two years after the agreement has terminated. Either party may terminate the agreement with good reason, which includes a failure to timely deliver conforming units, subject to a cure period. Eppendorf may terminate the agreement if we purchase fewer than 75% of the specified minimum units for each of two consecutive years. After April 1, 2010, either party may terminate the supply agreement upon six months prior written notice.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Product and Application Development</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largest component of our current research and development effort is in the areas of new product and new application development. In particular, we are focused on extending and supporting the BioMark and Topaz product lines by developing new DNA-based applications, improving the introduction of these products into existing workflows of our customers and increasing the functionality of the products. For example, the addition of multi-color analysis allows Digital Array users to analyze as many as 36,720 real-time qPCR assays in parallel on a single Digital Array.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58" w:lineRule="auto"/>
        <w:rPr>
          <w:sz w:val="20"/>
          <w:szCs w:val="20"/>
          <w:color w:val="auto"/>
        </w:rPr>
      </w:pPr>
      <w:r>
        <w:rPr>
          <w:rFonts w:ascii="Arial" w:cs="Arial" w:eastAsia="Arial" w:hAnsi="Arial"/>
          <w:sz w:val="13"/>
          <w:szCs w:val="13"/>
          <w:color w:val="auto"/>
        </w:rPr>
        <w:t>We are also developing new product lines that leverage our investment in our Dynamic Array and Digital Array architectures. As an example, we have demonstrated Dynamic Array formats that can implement over 1,000 immunoassays in parallel. We also invest in extending the reach of existing chip designs through new chemistries. From time to time, we collaborate with other life science companies, universities and government labs on the development of prototype IFCs for particular purposes. For example, there have been a variety of publications by independent researchers demonstrating the use of MSL for applications such as immunoassays based on surface-plasma resonance, cell culturing and complementary DNA library synthesis from single cells.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Process Development</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second component of our research and development effort is process development. We frequently develop new manufacturing processes and test methods to support new IFC designs, drive down manufacturing cost and increase manufacturing throughput. We also invest in manufacturing automation, process changes and design modifications to improve yield and lower costs on existing IFCs.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Technology Development</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have active research and development efforts to increase the density of components on our IFCs and to lower the materials cost of our current production methods. We are evaluating new materials that can increase the functionality of existing products and that would allow our IFCs to be used for a wider variety of biological and chemical reactions. Over the longer term, we are seeking ways to transfer functionality from instrumentation to IFCs to support development of field-based and point-of-care applications.</w:t>
      </w:r>
    </w:p>
    <w:p>
      <w:pPr>
        <w:spacing w:after="0" w:line="5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Our research and development expenses were $11.4 million, $15.6 million, $14.4 million and $7.2 million in 2005, 2006, 2007 and the six months ended June 28, 2008. As of December 29, 2007, 68 of our employees were engaged in research and development activities.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59" w:lineRule="exact"/>
        <w:rPr>
          <w:sz w:val="20"/>
          <w:szCs w:val="20"/>
          <w:color w:val="auto"/>
        </w:rPr>
      </w:pPr>
    </w:p>
    <w:p>
      <w:pPr>
        <w:ind w:left="1080" w:right="60" w:firstLine="383"/>
        <w:spacing w:after="0" w:line="264" w:lineRule="auto"/>
        <w:rPr>
          <w:sz w:val="20"/>
          <w:szCs w:val="20"/>
          <w:color w:val="auto"/>
        </w:rPr>
      </w:pPr>
      <w:r>
        <w:rPr>
          <w:rFonts w:ascii="Arial" w:cs="Arial" w:eastAsia="Arial" w:hAnsi="Arial"/>
          <w:sz w:val="13"/>
          <w:szCs w:val="13"/>
          <w:i w:val="1"/>
          <w:iCs w:val="1"/>
          <w:color w:val="auto"/>
        </w:rPr>
        <w:t xml:space="preserve">Stephen Quake, Ph.D. </w:t>
      </w:r>
      <w:r>
        <w:rPr>
          <w:rFonts w:ascii="Arial" w:cs="Arial" w:eastAsia="Arial" w:hAnsi="Arial"/>
          <w:sz w:val="13"/>
          <w:szCs w:val="13"/>
          <w:color w:val="auto"/>
        </w:rPr>
        <w:t>is a co-founder of Fluidigm and the chair of our scientific advisory board. He is a co-chair of the bioengineering department at Stanford University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67"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Frances H. Arnold, Ph.D. </w:t>
      </w:r>
      <w:r>
        <w:rPr>
          <w:rFonts w:ascii="Arial" w:cs="Arial" w:eastAsia="Arial" w:hAnsi="Arial"/>
          <w:sz w:val="13"/>
          <w:szCs w:val="13"/>
          <w:color w:val="auto"/>
        </w:rPr>
        <w:t>is the Dick and Barbara Dickinson Professor of chemical engineering and biochemistry at the California Institute of Technology. She is a member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 Dr. Arnold has been a member of our scientific advisory board since August 1999.</w:t>
      </w:r>
    </w:p>
    <w:p>
      <w:pPr>
        <w:spacing w:after="0" w:line="70" w:lineRule="exact"/>
        <w:rPr>
          <w:sz w:val="20"/>
          <w:szCs w:val="20"/>
          <w:color w:val="auto"/>
        </w:rPr>
      </w:pPr>
    </w:p>
    <w:p>
      <w:pPr>
        <w:ind w:left="1080" w:right="140" w:firstLine="383"/>
        <w:spacing w:after="0" w:line="276" w:lineRule="auto"/>
        <w:rPr>
          <w:sz w:val="20"/>
          <w:szCs w:val="20"/>
          <w:color w:val="auto"/>
        </w:rPr>
      </w:pPr>
      <w:r>
        <w:rPr>
          <w:rFonts w:ascii="Arial" w:cs="Arial" w:eastAsia="Arial" w:hAnsi="Arial"/>
          <w:sz w:val="13"/>
          <w:szCs w:val="13"/>
          <w:i w:val="1"/>
          <w:iCs w:val="1"/>
          <w:color w:val="auto"/>
        </w:rPr>
        <w:t xml:space="preserve">James M. Berger, Ph.D. </w:t>
      </w:r>
      <w:r>
        <w:rPr>
          <w:rFonts w:ascii="Arial" w:cs="Arial" w:eastAsia="Arial" w:hAnsi="Arial"/>
          <w:sz w:val="13"/>
          <w:szCs w:val="13"/>
          <w:color w:val="auto"/>
        </w:rPr>
        <w:t>is a Professor of Biochemistry and Molecular Biology at the University of California, Berkeley and a member of the Physical Biosciences Division,</w:t>
      </w:r>
      <w:r>
        <w:rPr>
          <w:rFonts w:ascii="Arial" w:cs="Arial" w:eastAsia="Arial" w:hAnsi="Arial"/>
          <w:sz w:val="13"/>
          <w:szCs w:val="13"/>
          <w:i w:val="1"/>
          <w:iCs w:val="1"/>
          <w:color w:val="auto"/>
        </w:rPr>
        <w:t xml:space="preserve"> </w:t>
      </w:r>
      <w:r>
        <w:rPr>
          <w:rFonts w:ascii="Arial" w:cs="Arial" w:eastAsia="Arial" w:hAnsi="Arial"/>
          <w:sz w:val="13"/>
          <w:szCs w:val="13"/>
          <w:color w:val="auto"/>
        </w:rPr>
        <w:t>Lawrence Berkeley National Laboratory. Dr. Berger received a B.S. in Biochemistry from the University of Utah and a Ph.D.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Biochemistry from Harvard University. Dr. Berger has been a member of our scientific advisory board since June 2002.</w:t>
      </w:r>
    </w:p>
    <w:p>
      <w:pPr>
        <w:spacing w:after="0" w:line="96"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Carl Hansen, Ph.D. </w:t>
      </w:r>
      <w:r>
        <w:rPr>
          <w:rFonts w:ascii="Arial" w:cs="Arial" w:eastAsia="Arial" w:hAnsi="Arial"/>
          <w:sz w:val="13"/>
          <w:szCs w:val="13"/>
          <w:color w:val="auto"/>
        </w:rPr>
        <w:t>is an Assistant Professor in the Department of Physics and Astronomy at the University of British Columbia. Dr. Hansen received a Ph.D. and M.S. in</w:t>
      </w:r>
      <w:r>
        <w:rPr>
          <w:rFonts w:ascii="Arial" w:cs="Arial" w:eastAsia="Arial" w:hAnsi="Arial"/>
          <w:sz w:val="13"/>
          <w:szCs w:val="13"/>
          <w:i w:val="1"/>
          <w:iCs w:val="1"/>
          <w:color w:val="auto"/>
        </w:rPr>
        <w:t xml:space="preserve"> </w:t>
      </w:r>
      <w:r>
        <w:rPr>
          <w:rFonts w:ascii="Arial" w:cs="Arial" w:eastAsia="Arial" w:hAnsi="Arial"/>
          <w:sz w:val="13"/>
          <w:szCs w:val="13"/>
          <w:color w:val="auto"/>
        </w:rPr>
        <w:t>Applied Physics from the California Institute of Technology and a B.S. in Engineering Physics/Electrical Engineering/Honors Math from the University of British Columbia. Dr. Hansen has been a member of our Scientific Advisory Board since May 2008.</w:t>
      </w:r>
    </w:p>
    <w:p>
      <w:pPr>
        <w:spacing w:after="0" w:line="67"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Frank McCormick, Ph.D. </w:t>
      </w:r>
      <w:r>
        <w:rPr>
          <w:rFonts w:ascii="Arial" w:cs="Arial" w:eastAsia="Arial" w:hAnsi="Arial"/>
          <w:sz w:val="13"/>
          <w:szCs w:val="13"/>
          <w:color w:val="auto"/>
        </w:rPr>
        <w:t>is the David A. Wood Distinguished Professor of Tumor Biology and the E. Dixon Heise Distinguished Professor in Oncology at the University of</w:t>
      </w:r>
      <w:r>
        <w:rPr>
          <w:rFonts w:ascii="Arial" w:cs="Arial" w:eastAsia="Arial" w:hAnsi="Arial"/>
          <w:sz w:val="13"/>
          <w:szCs w:val="13"/>
          <w:i w:val="1"/>
          <w:iCs w:val="1"/>
          <w:color w:val="auto"/>
        </w:rPr>
        <w:t xml:space="preserve"> </w:t>
      </w:r>
      <w:r>
        <w:rPr>
          <w:rFonts w:ascii="Arial" w:cs="Arial" w:eastAsia="Arial" w:hAnsi="Arial"/>
          <w:sz w:val="13"/>
          <w:szCs w:val="13"/>
          <w:color w:val="auto"/>
        </w:rPr>
        <w:t>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70" w:lineRule="exact"/>
        <w:rPr>
          <w:sz w:val="20"/>
          <w:szCs w:val="20"/>
          <w:color w:val="auto"/>
        </w:rPr>
      </w:pPr>
    </w:p>
    <w:p>
      <w:pPr>
        <w:jc w:val="both"/>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Howard M. Shapiro, M.D. </w:t>
      </w:r>
      <w:r>
        <w:rPr>
          <w:rFonts w:ascii="Arial" w:cs="Arial" w:eastAsia="Arial" w:hAnsi="Arial"/>
          <w:sz w:val="13"/>
          <w:szCs w:val="13"/>
          <w:color w:val="auto"/>
        </w:rPr>
        <w:t>is a lecturer on Pathology at Harvard Medical School, a visiting scientist at the Rosenstiel Basic Medical Sciences Research Center at Brandeis</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67" w:lineRule="exact"/>
        <w:rPr>
          <w:sz w:val="20"/>
          <w:szCs w:val="20"/>
          <w:color w:val="auto"/>
        </w:rPr>
      </w:pPr>
    </w:p>
    <w:p>
      <w:pPr>
        <w:ind w:left="1080" w:right="160" w:firstLine="383"/>
        <w:spacing w:after="0" w:line="296" w:lineRule="auto"/>
        <w:rPr>
          <w:sz w:val="20"/>
          <w:szCs w:val="20"/>
          <w:color w:val="auto"/>
        </w:rPr>
      </w:pPr>
      <w:r>
        <w:rPr>
          <w:rFonts w:ascii="Arial" w:cs="Arial" w:eastAsia="Arial" w:hAnsi="Arial"/>
          <w:sz w:val="12"/>
          <w:szCs w:val="12"/>
          <w:i w:val="1"/>
          <w:iCs w:val="1"/>
          <w:color w:val="auto"/>
        </w:rPr>
        <w:t xml:space="preserve">Richard N. Zare, Ph.D. </w:t>
      </w:r>
      <w:r>
        <w:rPr>
          <w:rFonts w:ascii="Arial" w:cs="Arial" w:eastAsia="Arial" w:hAnsi="Arial"/>
          <w:sz w:val="12"/>
          <w:szCs w:val="12"/>
          <w:color w:val="auto"/>
        </w:rPr>
        <w:t>is the Marguerite Blake Wilbur Professor of Natural Science and chair of the chemistry department at Stanford University. He is a member of the</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Strategy and Position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Fluidigm’s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w:t>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in addition to an annual license fee, we agreed to pay to Caltech royalties based on sales revenues of licensed products on a country-by-country basis. The license agreement will terminate as to each country and licensed product upon expiration of the last-to-expire patent covering licensed products in each country. As of June 28, 2008, we licensed 38 issued U.S. patents and 42 pending U.S. patent applications, as well as corresponding international patent filings, from Caltech. The early termination of our license agreement with Caltech could preclude us from manufacturing or selling any of our IFCs and IFC systems, which would have a material adverse effect on our business.</w:t>
      </w:r>
    </w:p>
    <w:p>
      <w:pPr>
        <w:spacing w:after="0" w:line="58"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We also have co-exclusive licenses to patents and patent applications owned by Harvard University, a non-exclusive, field-limited license to patents and patent applications controlled by Gyros AB and additional patent licenses from other academic institutions and companies.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we grant a sublicense under other Harvard University patent rights licensed to us which are dominated by the patent rights to be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7" w:lineRule="auto"/>
        <w:rPr>
          <w:sz w:val="20"/>
          <w:szCs w:val="20"/>
          <w:color w:val="auto"/>
        </w:rPr>
      </w:pPr>
      <w:r>
        <w:rPr>
          <w:rFonts w:ascii="Arial" w:cs="Arial" w:eastAsia="Arial" w:hAnsi="Arial"/>
          <w:sz w:val="13"/>
          <w:szCs w:val="13"/>
          <w:color w:val="auto"/>
        </w:rPr>
        <w:t>sublicensed and such sublicense is necessary to practice the other Harvard University patent rights. We have issued shares of our common stock to Harvard and, in addition to an annual license fee, we agreed to pay to Harvard royalties based on sales revenues of licensed products on a country-by-country basis.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 As of June 28, 2008, we licensed five issued U.S. patents and four pending U.S. patent applications, as well as corresponding international patent filings, from Harvard. The early termination of our license agreements with Harvard could preclude us from manufacturing or selling any of our IFCs and IFC systems, which would have a material adverse effect on our business.</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 As of June 28, 2008, we licensed one issued U.S. patent as well as corresponding international patent filings from Gyros. The early termination of our license agreement with Gyros AB could preclude us from manufacturing or selling any of our IFCs and IFC systems, which would have a material adverse effect on our business.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license agreement with The UAB Research Foundation grants us an exclusive worldwide license, including the right to sublicense, under certain intellectual property rights. Such license grant is subject to prior existing license grants, plus the reservation of rights to UAB for internal research, academic and educational purposes and/or for performance of services for other institutions and to fulfill obligations to the U.S. government. We prosecute and maintain the patent rights licensed under this agreement. The license agreement will terminate at the expiration of the last-to-expire of the licensed patents. As of June 28, 2008, we licensed four issued U.S. patents and six pending U.S. patent applications, as well as corresponding international patent filings, from UAB. The early termination of our license agreement with UAB could preclude us from manufacturing or selling any of our Topaz IFCs and Topaz IFC systems, which would have a material adverse effect on our business.</w:t>
      </w:r>
    </w:p>
    <w:p>
      <w:pPr>
        <w:spacing w:after="0" w:line="72"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IFCs.</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June 28, 2008, we own or have licensed 81 issued U.S. patents and 62 issued international patents. There are 240 pending patent applications, including 116 in the United States, 118 international applications and 6 applications filed under the Patent Cooperation Treaty. The U.S. issued patents we have licensed from Caltech expire between 2017 and 2024, the U.S. issued patents we have licensed from UAB expire between 2020 and 2024, the U.S. issued patents we have licensed from Harvard expire between 2019 and 2023, the U.S. issued patent we have licensed from Gyros expires in 2012 and the U.S. issued patents owned by us expire between 2018 and 2025.</w:t>
      </w:r>
    </w:p>
    <w:p>
      <w:pPr>
        <w:spacing w:after="0" w:line="70"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Federal Food, Drug and Cosmetic Act, or FFDCA, defines medical devices to mean, among other things, “an instrument, apparatus . . . in vitro reagent, or other similar or related article . . . intended for use in the diagnosis of disease or other conditions . . ..” This broad definition includes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they do not fit the definition of a medical device under the FFDCA and thus are not subject to regulation by the U.S. Food and Drug Administration, or FDA.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they would be considered medical devices and FDA clearance or approval would be required.</w:t>
      </w:r>
    </w:p>
    <w:p>
      <w:pPr>
        <w:spacing w:after="0" w:line="73"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Unless an exemption applies, each medical device we wish to commercially distribute in the United States would require either prior 510(k) clearance or prior pre-market approval from the FDA.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FDA, we may be required to cease marketing while we obtain premarket clearance or approval from FDA. There would be no assurance that we could ever obtain such clearance or approval.</w:t>
      </w:r>
    </w:p>
    <w:p>
      <w:pPr>
        <w:spacing w:after="0" w:line="48" w:lineRule="exact"/>
        <w:rPr>
          <w:sz w:val="20"/>
          <w:szCs w:val="20"/>
          <w:color w:val="auto"/>
        </w:rPr>
      </w:pPr>
    </w:p>
    <w:p>
      <w:pPr>
        <w:ind w:left="680" w:right="660" w:firstLine="399"/>
        <w:spacing w:after="0" w:line="320" w:lineRule="auto"/>
        <w:rPr>
          <w:sz w:val="20"/>
          <w:szCs w:val="20"/>
          <w:color w:val="auto"/>
        </w:rPr>
      </w:pPr>
      <w:r>
        <w:rPr>
          <w:rFonts w:ascii="Arial" w:cs="Arial" w:eastAsia="Arial" w:hAnsi="Arial"/>
          <w:sz w:val="12"/>
          <w:szCs w:val="12"/>
          <w:color w:val="auto"/>
        </w:rPr>
        <w:t>Changes to a device which have received PMA approval typically require a new PMA or PMA supplement. Changes to a device that receives 510(k) clearance, that could significantly affect its safety or effectiveness, or that would constitute a major change in its intended use, require a new 510(k) clearance or possibly PMA approval.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FDA requires each manufacturer to make this determination initially, but the FDA can review any of these decisions. If the FDA disagreed with our determination not to seek a new 510(k) clearance,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7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addition, 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67"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Quality System Regulations, labeling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medical device reporting, or MDR,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correction and removal regulations,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post-market surveillance regulations, which include restrictions on marketing and promotion.</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would need to continue to invest significant time and other resources to ensure ongoing compliance with FDA quality system regulations and other post-market regulatory requirements.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9"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fines, injunctions and civil penalties;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recall or seizure or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operating restrictions, partial suspension or total shutdown of production;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delays in clearance or approval, or failure to obtain approval or clearance of future product candidates or product modifications;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restrictions on labeling and promotion;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warning letters, fines, or injunctions;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withdrawal of previously granted clearances or approvals;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International sales of medical devices are subject to foreign government regulations, which vary substantially from country to country. The primary regulatory environment in Europe is that of the European Union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29, 2007, we had 131 employees, of which 68 work in research and development, 18 work in general and administrative, 21 work in manufacturing and 24 work in sales and marketing. None of our employees are represented by a labor union or are the subject of a collective bargaining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Environmental Matters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lease approximately 35,000 square feet of office and laboratory space at our headquarters in South San Francisco, California under leases and subleases that expire in March 2011, and 15,400 square feet of manufacturing and office space at our facility in Singapore under a lease that expires in October 2011. In addition, we lease office space in Tokyo and Osaka, Japan. We are in negotiations to extend and expand our lease relating to our Singapore facility and we believe that our existing office, laboratory and manufacturing space, together with additional space and facilities available on commercially reasonable terms, will be sufficient to meet our needs for at least the next two years.</w:t>
      </w:r>
    </w:p>
    <w:p>
      <w:pPr>
        <w:spacing w:after="0" w:line="53"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June 4, 2008 we received a letter from Applied Biosystems, Inc., one of our competitors, asserting that our BioMark System for gene expression analysis infringes upon</w:t>
      </w:r>
    </w:p>
    <w:p>
      <w:pPr>
        <w:spacing w:after="0" w:line="27"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U.S. Patent No. 6,814,934, or the ’934 patent, and its European and Canadian counterparts owned by Applied Biosystems’ parent company, Applera Corporation. In response to this letter, on June 9, 2008, we filed suit against Applied Biosystems and Applera in the United States District Court for the Southern District of New York seeking declaratory judgments of non-infringement and invalidity of the ’934 patent. A response from Applied Biosystems and Applera is due September 30, 2008. The Court has yet to set a schedule for this litigation. Applied Biosystems has recently announced that it expects to be acquired by Invitrogen Corporation. This may make it more difficult for us to predict the direction of discussions and litigation among the parties. The ’934 patent is scheduled to expire in May 2011.</w:t>
      </w:r>
    </w:p>
    <w:p>
      <w:pPr>
        <w:spacing w:after="0" w:line="73"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We have entered into an agreement with Applied Biosystems that provides for a stay of our proceedings against Applied Biosystems and Applera and provides further that neither party may initiate or expressly threaten to initiate any further patent litigation proceedings against the other during the term of the agreement. Either party may terminate the agreement and request that the stay be lifted anytime after September 20, 2008 by providing seven business days prior written notice to the other. The deadline for Applied Biosystems and Applera to respond to our complaint is extended to 14 calendar days after the lifting of the stay. If the agreement is not terminated sooner by one or both of the parties, the agreement will terminate on December 15, 2008.</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Patent infringement suits can be expensive, lengthy and disruptive to business operations. We could incur substantial costs and divert the attention of our management and technical personnel in prosecuting our claims. There can be no assurance that we will prevail in our suit against Applied Biosystems and Applera or in our defense of any claims against us by Applied Biosystems or Applera. Applied Biosystems and Applera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the asserted patent or patents. In addition, we may incur significant costs and expenses as a result of our requirement to defend and indemnify some of our suppliers, distributors, customers and other partners as a result of such claims. In the event that Applied Biosystems is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successful in its claim of infringement against us, we may be required to obtain one or more licenses to the asserted patent, which we may not be able to obtain at a reasonable cost, if at all. In addition, we could encounter delays in product introductions while we attempt to develop alternative methods or products to avoid infringing the asserted patent or patents. This lawsuit or the failure to obtain any required licenses on favorable terms could prevent us from commercializing our BioMark products for gene expression, and the risk of a prohibition on the sale of any of our products could adversely affect our ability to grow and gain market acceptance for our products.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not engaged in any other material legal proceedings.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officers and directors, and their ages and positions as of June 28, 2008,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700" w:type="dxa"/>
            <w:vAlign w:val="bottom"/>
          </w:tcPr>
          <w:p>
            <w:pPr>
              <w:jc w:val="right"/>
              <w:ind w:right="16"/>
              <w:spacing w:after="0"/>
              <w:rPr>
                <w:sz w:val="20"/>
                <w:szCs w:val="20"/>
                <w:color w:val="auto"/>
              </w:rPr>
            </w:pPr>
            <w:r>
              <w:rPr>
                <w:rFonts w:ascii="Arial" w:cs="Arial" w:eastAsia="Arial" w:hAnsi="Arial"/>
                <w:sz w:val="10"/>
                <w:szCs w:val="10"/>
                <w:b w:val="1"/>
                <w:bCs w:val="1"/>
                <w:color w:val="auto"/>
              </w:rPr>
              <w:t>Age</w:t>
            </w:r>
          </w:p>
        </w:tc>
        <w:tc>
          <w:tcPr>
            <w:tcW w:w="51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160" w:type="dxa"/>
            <w:vAlign w:val="bottom"/>
          </w:tcPr>
          <w:p>
            <w:pPr>
              <w:spacing w:after="0"/>
              <w:rPr>
                <w:sz w:val="4"/>
                <w:szCs w:val="4"/>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Chief Executive Officer and 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Vikram Jog</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52</w:t>
            </w:r>
          </w:p>
        </w:tc>
        <w:tc>
          <w:tcPr>
            <w:tcW w:w="5160" w:type="dxa"/>
            <w:vAlign w:val="bottom"/>
          </w:tcPr>
          <w:p>
            <w:pPr>
              <w:ind w:left="80"/>
              <w:spacing w:after="0"/>
              <w:rPr>
                <w:sz w:val="20"/>
                <w:szCs w:val="20"/>
                <w:color w:val="auto"/>
              </w:rPr>
            </w:pPr>
            <w:r>
              <w:rPr>
                <w:rFonts w:ascii="Arial" w:cs="Arial" w:eastAsia="Arial" w:hAnsi="Arial"/>
                <w:sz w:val="13"/>
                <w:szCs w:val="13"/>
                <w:color w:val="auto"/>
              </w:rPr>
              <w:t>Chief Financial Officer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Research and Development</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William M. Smith</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5160" w:type="dxa"/>
            <w:vAlign w:val="bottom"/>
          </w:tcPr>
          <w:p>
            <w:pPr>
              <w:ind w:left="80"/>
              <w:spacing w:after="0"/>
              <w:rPr>
                <w:sz w:val="20"/>
                <w:szCs w:val="20"/>
                <w:color w:val="auto"/>
              </w:rPr>
            </w:pPr>
            <w:r>
              <w:rPr>
                <w:rFonts w:ascii="Arial" w:cs="Arial" w:eastAsia="Arial" w:hAnsi="Arial"/>
                <w:sz w:val="13"/>
                <w:szCs w:val="13"/>
                <w:color w:val="auto"/>
              </w:rPr>
              <w:t>Vice President, Legal Affairs and General Counsel, Secretary</w:t>
            </w: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Mai Chan (Grace) Yow</w:t>
            </w:r>
          </w:p>
        </w:tc>
        <w:tc>
          <w:tcPr>
            <w:tcW w:w="17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3"/>
                <w:szCs w:val="13"/>
                <w:color w:val="auto"/>
              </w:rPr>
              <w:t>49</w:t>
            </w:r>
          </w:p>
        </w:tc>
        <w:tc>
          <w:tcPr>
            <w:tcW w:w="5160" w:type="dxa"/>
            <w:vAlign w:val="bottom"/>
            <w:shd w:val="clear" w:color="auto" w:fill="CCEEFF"/>
          </w:tcPr>
          <w:p>
            <w:pPr>
              <w:ind w:left="80"/>
              <w:spacing w:after="0" w:line="149" w:lineRule="exact"/>
              <w:rPr>
                <w:sz w:val="20"/>
                <w:szCs w:val="20"/>
                <w:color w:val="auto"/>
              </w:rPr>
            </w:pPr>
            <w:r>
              <w:rPr>
                <w:rFonts w:ascii="Arial" w:cs="Arial" w:eastAsia="Arial" w:hAnsi="Arial"/>
                <w:sz w:val="13"/>
                <w:szCs w:val="13"/>
                <w:color w:val="auto"/>
                <w:w w:val="95"/>
              </w:rPr>
              <w:t>Vice President, Worldwide Manufacturing and Managing Director of Fluidigm Singapore Pte.</w:t>
            </w:r>
          </w:p>
        </w:tc>
      </w:tr>
      <w:tr>
        <w:trPr>
          <w:trHeight w:val="166"/>
        </w:trPr>
        <w:tc>
          <w:tcPr>
            <w:tcW w:w="3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Ltd.</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(2),(3)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68</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Michael W. Hunkapiller, Ph.D</w:t>
            </w:r>
            <w:r>
              <w:rPr>
                <w:rFonts w:ascii="Arial" w:cs="Arial" w:eastAsia="Arial" w:hAnsi="Arial"/>
                <w:sz w:val="11"/>
                <w:szCs w:val="11"/>
                <w:color w:val="auto"/>
              </w:rPr>
              <w:t>(2)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Elaine V. Jones, Ph.D.</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John A. Young</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76</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-1134110</wp:posOffset>
            </wp:positionV>
            <wp:extent cx="2476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900" w:hanging="213"/>
        <w:spacing w:after="0"/>
        <w:tabs>
          <w:tab w:leader="none" w:pos="9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Member of the Audit Committee</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ind w:left="900" w:hanging="213"/>
        <w:spacing w:after="0"/>
        <w:tabs>
          <w:tab w:leader="none" w:pos="9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Member of the Nominating and Governance Committee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Gajus V. Worthington </w:t>
      </w:r>
      <w:r>
        <w:rPr>
          <w:rFonts w:ascii="Arial" w:cs="Arial" w:eastAsia="Arial" w:hAnsi="Arial"/>
          <w:sz w:val="13"/>
          <w:szCs w:val="13"/>
          <w:color w:val="auto"/>
        </w:rPr>
        <w:t>is a Co-Founder of Fluidigm and has served as our President and Chief Executive Officer and a Director since our inception in June 1999. From May 1994 to</w:t>
      </w:r>
      <w:r>
        <w:rPr>
          <w:rFonts w:ascii="Arial" w:cs="Arial" w:eastAsia="Arial" w:hAnsi="Arial"/>
          <w:sz w:val="13"/>
          <w:szCs w:val="13"/>
          <w:i w:val="1"/>
          <w:iCs w:val="1"/>
          <w:color w:val="auto"/>
        </w:rPr>
        <w:t xml:space="preserve"> </w:t>
      </w:r>
      <w:r>
        <w:rPr>
          <w:rFonts w:ascii="Arial" w:cs="Arial" w:eastAsia="Arial" w:hAnsi="Arial"/>
          <w:sz w:val="13"/>
          <w:szCs w:val="13"/>
          <w:color w:val="auto"/>
        </w:rPr>
        <w:t>April 1999, Mr. Worthington held various staff and management positions at Actel Corporation, a public semiconductor corporation. Mr. Worthington received a B.S. in Physics and an M.S. in Electrical Engineering from Stanford University.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Vikram Jog </w:t>
      </w:r>
      <w:r>
        <w:rPr>
          <w:rFonts w:ascii="Arial" w:cs="Arial" w:eastAsia="Arial" w:hAnsi="Arial"/>
          <w:sz w:val="13"/>
          <w:szCs w:val="13"/>
          <w:color w:val="auto"/>
        </w:rPr>
        <w:t>has served as our Chief Financial Officer since February 2008. From April 2005 to February 2008, Mr. Jog served as Chief Financial Officer for XDx, Inc., a molecular</w:t>
      </w:r>
      <w:r>
        <w:rPr>
          <w:rFonts w:ascii="Arial" w:cs="Arial" w:eastAsia="Arial" w:hAnsi="Arial"/>
          <w:sz w:val="13"/>
          <w:szCs w:val="13"/>
          <w:i w:val="1"/>
          <w:iCs w:val="1"/>
          <w:color w:val="auto"/>
        </w:rPr>
        <w:t xml:space="preserve"> </w:t>
      </w:r>
      <w:r>
        <w:rPr>
          <w:rFonts w:ascii="Arial" w:cs="Arial" w:eastAsia="Arial" w:hAnsi="Arial"/>
          <w:sz w:val="13"/>
          <w:szCs w:val="13"/>
          <w:color w:val="auto"/>
        </w:rPr>
        <w:t>diagnostics company. From March 2003 to April 2005, Mr. Jog was a Vice President of Applera Corporation, a life science company,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Robert C. Jones </w:t>
      </w:r>
      <w:r>
        <w:rPr>
          <w:rFonts w:ascii="Arial" w:cs="Arial" w:eastAsia="Arial" w:hAnsi="Arial"/>
          <w:sz w:val="13"/>
          <w:szCs w:val="13"/>
          <w:color w:val="auto"/>
        </w:rPr>
        <w:t>has served as our Executive Vice President, Research and Development since August 2005. From August 1984 to July 2005, Mr. Jones held various managerial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and development positions at Applied Biosystems, a laboratory equipment and supplies manufacturer that is a division of Applera Corporation, including: Senior Vice President Research and Development from April 2001 to August 2005, Vice President and General Manager Informatics Division from 1998 to 2001, and Vice President PCR Business Unit from 1994 to 1998. Mr. Jones received a BSEE and an MSEE in Computer Engineering from the University of Washington.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William M. Smith </w:t>
      </w:r>
      <w:r>
        <w:rPr>
          <w:rFonts w:ascii="Arial" w:cs="Arial" w:eastAsia="Arial" w:hAnsi="Arial"/>
          <w:sz w:val="13"/>
          <w:szCs w:val="13"/>
          <w:color w:val="auto"/>
        </w:rPr>
        <w:t>has served as our Vice President, Legal Affairs and General Counsel as well as our Secretary since May 2000 and served as a Director from May 2000 to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2008. Mr. Smith served as a partner at the law firm of Townsend and Townsend and Crew, LLP from 1985 through April 2008. Mr. Smith received a J.D. and an M.P.A. from the University of Southern California and a B.A. in Biology from the University of California, San Diego.</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Mai Chan (Grace) Yow </w:t>
      </w:r>
      <w:r>
        <w:rPr>
          <w:rFonts w:ascii="Arial" w:cs="Arial" w:eastAsia="Arial" w:hAnsi="Arial"/>
          <w:sz w:val="13"/>
          <w:szCs w:val="13"/>
          <w:color w:val="auto"/>
        </w:rPr>
        <w:t>has served as our Vice President, Worldwide Manufacturing, and Managing Director, Fluidigm Singapore Pte. Ltd., our Singapore subsidiary, since March</w:t>
      </w:r>
      <w:r>
        <w:rPr>
          <w:rFonts w:ascii="Arial" w:cs="Arial" w:eastAsia="Arial" w:hAnsi="Arial"/>
          <w:sz w:val="13"/>
          <w:szCs w:val="13"/>
          <w:i w:val="1"/>
          <w:iCs w:val="1"/>
          <w:color w:val="auto"/>
        </w:rPr>
        <w:t xml:space="preserve"> </w:t>
      </w:r>
      <w:r>
        <w:rPr>
          <w:rFonts w:ascii="Arial" w:cs="Arial" w:eastAsia="Arial" w:hAnsi="Arial"/>
          <w:sz w:val="13"/>
          <w:szCs w:val="13"/>
          <w:color w:val="auto"/>
        </w:rPr>
        <w:t>2006. From June 2005 to March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Samuel Colella </w:t>
      </w:r>
      <w:r>
        <w:rPr>
          <w:rFonts w:ascii="Arial" w:cs="Arial" w:eastAsia="Arial" w:hAnsi="Arial"/>
          <w:sz w:val="12"/>
          <w:szCs w:val="12"/>
          <w:color w:val="auto"/>
        </w:rPr>
        <w:t>has served as a member of our Board of Directors since July 2000. Mr. Colella is a managing director of Versant Ventures, a healthcare venture capital firm he co-founded in 1999, and has been a general partner of Institutional Venture Partners since 1984. Mr. Colella is a member of the Board of Directors of Alexza Pharmaceuticals, Inc., Genomic Health, Inc. and Jazz Pharmaceuticals, Inc. Mr. Colella received a B.S. in business and engineering from the University of Pittsburgh and an M.B.A. from Stanford University.</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Michael Hunkapiller, Ph.D. </w:t>
      </w:r>
      <w:r>
        <w:rPr>
          <w:rFonts w:ascii="Arial" w:cs="Arial" w:eastAsia="Arial" w:hAnsi="Arial"/>
          <w:sz w:val="13"/>
          <w:szCs w:val="13"/>
          <w:color w:val="auto"/>
        </w:rPr>
        <w:t>has served as a member of our Board of Directors since August 2005. He has been a Partner at Alloy Ventures, a venture capital firm, since February</w:t>
      </w:r>
      <w:r>
        <w:rPr>
          <w:rFonts w:ascii="Arial" w:cs="Arial" w:eastAsia="Arial" w:hAnsi="Arial"/>
          <w:sz w:val="13"/>
          <w:szCs w:val="13"/>
          <w:i w:val="1"/>
          <w:iCs w:val="1"/>
          <w:color w:val="auto"/>
        </w:rPr>
        <w:t xml:space="preserve"> </w:t>
      </w:r>
      <w:r>
        <w:rPr>
          <w:rFonts w:ascii="Arial" w:cs="Arial" w:eastAsia="Arial" w:hAnsi="Arial"/>
          <w:sz w:val="13"/>
          <w:szCs w:val="13"/>
          <w:color w:val="auto"/>
        </w:rPr>
        <w:t>2004. From July 1983 to August 2004, he served in various managerial and research and development positions at Applied Biosystems, most recently as President, from March 1997 to August 2004. He received a B.S. in Chemistry from Oklahoma Baptist University and a Ph.D. in Chemical Biology from Caltech.</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Elaine V. Jones, Ph.D. </w:t>
      </w:r>
      <w:r>
        <w:rPr>
          <w:rFonts w:ascii="Arial" w:cs="Arial" w:eastAsia="Arial" w:hAnsi="Arial"/>
          <w:sz w:val="12"/>
          <w:szCs w:val="12"/>
          <w:color w:val="auto"/>
        </w:rPr>
        <w:t>has been a member of our Board of Directors since October 2001. Since August 2003, she has been a general partner of EuclidSR Associates, L.P., which is the</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partner of EuclidSR Partners, L.P., a venture capital fund that focuses on life sciences and information technology companies, and also a general partner of EuclidSR Biotechnology Associates, L.P., which is the general partner of Euclid Biotechnology Partners, L.P., a venture capital fund that focuses on the life sciences. Dr. Jones was an investment manager from June 1999 to September 2001, and was a Vice President from September 2001 to August 2003, for S.R. One, Limited, a venture capital subsidiary of SmithKline Beecham. Dr. Jones received a B.S. in Biology from Juniata College and received a Ph.D. in Microbiology from the University of Pittsburgh.</w:t>
      </w:r>
    </w:p>
    <w:p>
      <w:pPr>
        <w:spacing w:after="0" w:line="5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Kenneth J. Nussbacher </w:t>
      </w:r>
      <w:r>
        <w:rPr>
          <w:rFonts w:ascii="Arial" w:cs="Arial" w:eastAsia="Arial" w:hAnsi="Arial"/>
          <w:sz w:val="12"/>
          <w:szCs w:val="12"/>
          <w:color w:val="auto"/>
        </w:rPr>
        <w:t>has been a member of our Board of Directors since July 2003. Since 2000, Mr. Nussbacher has served as an Affymetrix Fellow, a non-executive 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He received a B.S. from Cooper Union and a J.D. from Duke University. Mr. Nussbacher is also a member of the Board of Directors of Xenoport, a biopharmaceutical company.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Gajus V. Worthington </w:t>
      </w:r>
      <w:r>
        <w:rPr>
          <w:rFonts w:ascii="Arial" w:cs="Arial" w:eastAsia="Arial" w:hAnsi="Arial"/>
          <w:sz w:val="12"/>
          <w:szCs w:val="12"/>
          <w:color w:val="auto"/>
        </w:rPr>
        <w:t>is a Co-Founder of Fluidigm Corporation and has served as our President and Chief Executive Officer and a Director since our inception in June 1999.</w:t>
      </w:r>
    </w:p>
    <w:p>
      <w:pPr>
        <w:spacing w:after="0" w:line="10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John A. Young </w:t>
      </w:r>
      <w:r>
        <w:rPr>
          <w:rFonts w:ascii="Arial" w:cs="Arial" w:eastAsia="Arial" w:hAnsi="Arial"/>
          <w:sz w:val="13"/>
          <w:szCs w:val="13"/>
          <w:color w:val="auto"/>
        </w:rPr>
        <w:t>has been a member of our Board of Directors since March 2001. Mr. Young retired as President and Chief Executive Officer of Hewlett-Packard Company, a</w:t>
      </w:r>
      <w:r>
        <w:rPr>
          <w:rFonts w:ascii="Arial" w:cs="Arial" w:eastAsia="Arial" w:hAnsi="Arial"/>
          <w:sz w:val="13"/>
          <w:szCs w:val="13"/>
          <w:i w:val="1"/>
          <w:iCs w:val="1"/>
          <w:color w:val="auto"/>
        </w:rPr>
        <w:t xml:space="preserve"> </w:t>
      </w:r>
      <w:r>
        <w:rPr>
          <w:rFonts w:ascii="Arial" w:cs="Arial" w:eastAsia="Arial" w:hAnsi="Arial"/>
          <w:sz w:val="13"/>
          <w:szCs w:val="13"/>
          <w:color w:val="auto"/>
        </w:rPr>
        <w:t>diversified electronics manufacturer, in October 1992, where he had served as President and Chief Executive Officer since 1978. Mr. Young received a B.S. in Electrical Engineering from Oregon State University and an M.B.A. from Stanford University. Mr. Young serves as a director of Affymetrix, Inc., Vermillion, Inc., a molecular diagnostics company, Perlegen Sciences, Inc., a drug development company, and Nanosys, Inc., a nanotechnology company.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is currently composed of six members, five of whom are independent within the meaning of the independent director guidelines of the NASDAQ Stock Market LLC.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Annual Meeting of Stockholders to be held during the years 2009 for the Class I directors, 2010 for the Class II directors and 2011 for the Class III directors.</w:t>
      </w:r>
    </w:p>
    <w:p>
      <w:pPr>
        <w:spacing w:after="0" w:line="96"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Class I directors will be Elaine Jones and Michael Hunkapiller.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Class II directors will be Samuel Colella and Kenneth Nussbacher.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Class III directors will be John Young and Gajus Worthington.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provide that the number of our directors, which is currently six members,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division of our Board of Directors into three classes with staggered three-year terms may delay or prevent a change of our management or a change of control. See “Description of Capital Stock — Anti-Takeover Effects of Delaware Law and Our Certificate of Incorporation and Bylaws” for a discussion of other anti-takeover provisions found in our certificate of incorporation.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Board has an audit committee, a compensation committee and a nominating and governance committee, each of which has the composition and the responsibilities described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oversees our corporate accounting and financial reporting process and assists the Board in monitoring our financial systems and our legal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compliance. Our audit committee will also:</w:t>
      </w:r>
    </w:p>
    <w:p>
      <w:pPr>
        <w:spacing w:after="0" w:line="59"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oversee the work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approve the hiring, discharging and compensation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approve engagements of the independent auditors to render any audit or permissible non-audit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the qualifications and independence of the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monitor the rotation of partners of the independent auditors on our engagement team as required by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our financial statements and review our critical accounting policies and estimates;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the adequacy and effectiveness of our internal controls;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and discuss with management and the independent auditors the results of our annual audit, our quarterly financial statements, and our publicly filed reports.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members of our audit committee are Elaine Jones, Kenneth Nussbacher and John Young. Mr. Nussbacher is our acting audit committee chairman. Mr. Young was appointed to our audit committee on August 21, 2008.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oversees our corporate compensation programs. The compensation committee will also:</w:t>
      </w:r>
    </w:p>
    <w:p>
      <w:pPr>
        <w:spacing w:after="0" w:line="96"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review and recommend policy relating to compensation and benefits of our officers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review and approve corporate goals and objectives relevant to compensation of our Chief Executive Officer and other senior officers;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evaluate the performance of our officers in light of established goals and objectives;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recommend compensation of our officers based on its evaluations;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administer the issuance of stock options and other awards under our stock plans.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members of our compensation committee are Samuel Colella, Michael Hunkapiller and Kenneth Nussbacher.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 and SEC rules and regulations.</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oversees and assists our Board of Directors in reviewing and recommending nominees for</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 as directors. The nominating and governance committee will also:</w:t>
      </w:r>
    </w:p>
    <w:p>
      <w:pPr>
        <w:spacing w:after="0" w:line="59"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evaluate and make recommendations regarding the organization and governance of the Board and its committees;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assess the performance of members of the Board and make recommendations regarding committee and chair assignments;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recommend desired qualifications for Board membership and conduct searches for potential Board members;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review and make recommendations with regard to our corporate governance guidelines.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members of our nominating and governance committee are Elaine Jones, John Young and Samuel Colella. Ms. Jones is the chairman of our nominating and governance committee. Our Board of Directors has determined that each member of our nominating and governance committee is independent within the meaning of the independent director guidelines of the NASDAQ Stock Market LLC.</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may from time to time establish other committees.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sets forth information concerning compensation paid or accrued for services rendered to us by members of our Board of Directors for the fiscal year ended December 29, 2007. The table excludes Mr. Worthington and Mr. Smith, who are Named Executive Officers and did not receive any compensation from us in their roles as directors in the fiscal year ended December 29, 2007.</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Fees Earned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Pr>
          <w:p>
            <w:pPr>
              <w:spacing w:after="0"/>
              <w:rPr>
                <w:sz w:val="10"/>
                <w:szCs w:val="10"/>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Non-Equity</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or Paid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Cash ($)</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 Edward Torres</w:t>
            </w:r>
            <w:r>
              <w:rPr>
                <w:rFonts w:ascii="Arial" w:cs="Arial" w:eastAsia="Arial" w:hAnsi="Arial"/>
                <w:sz w:val="11"/>
                <w:szCs w:val="11"/>
                <w:color w:val="auto"/>
              </w:rPr>
              <w:t>(3)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Kenneth J. Nussbacher</w:t>
            </w:r>
            <w:r>
              <w:rPr>
                <w:rFonts w:ascii="Arial" w:cs="Arial" w:eastAsia="Arial" w:hAnsi="Arial"/>
                <w:sz w:val="11"/>
                <w:szCs w:val="11"/>
                <w:color w:val="auto"/>
              </w:rPr>
              <w:t>(2)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72,885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112,885</w:t>
            </w:r>
          </w:p>
        </w:tc>
        <w:tc>
          <w:tcPr>
            <w:tcW w:w="0" w:type="dxa"/>
            <w:vAlign w:val="bottom"/>
          </w:tcPr>
          <w:p>
            <w:pPr>
              <w:spacing w:after="0"/>
              <w:rPr>
                <w:sz w:val="1"/>
                <w:szCs w:val="1"/>
                <w:color w:val="auto"/>
              </w:rPr>
            </w:pPr>
          </w:p>
        </w:tc>
      </w:tr>
      <w:tr>
        <w:trPr>
          <w:trHeight w:val="165"/>
        </w:trPr>
        <w:tc>
          <w:tcPr>
            <w:tcW w:w="522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900" w:right="240" w:hanging="213"/>
        <w:spacing w:after="0" w:line="231" w:lineRule="auto"/>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Amounts represent the aggregate compensation expense recognized by us for financial statement reporting purposes in fiscal 2007 related to grants of stock options, calculated in accordance with Financial Accounting Standards Board Statement of Financial Accounting Standards No. 123 (Revised 2004) (“SFAS 123(R)”) without regard to estimated forfeitures. See Note 10 of Notes to Consolidated Financial Statements for a discussion of valuation assumptions made in determining the grant date fair value and compensation expense of our stock options.</w:t>
      </w:r>
    </w:p>
    <w:p>
      <w:pPr>
        <w:ind w:left="900" w:right="140" w:hanging="213"/>
        <w:spacing w:after="0" w:line="225" w:lineRule="auto"/>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Mr. Nussbacher was granted an option to purchase 28,571 shares of common stock on December 28, 2007 at an exercise price of $8.40, with a grant date fair value of $143,151, computed in accordance with SFAS 123(R) and was paid fees of $40,000 for services rendered pursuant to a consulting agreement with us. This consulting agreement was terminated on April 14, 2008.</w:t>
      </w:r>
    </w:p>
    <w:p>
      <w:pPr>
        <w:ind w:left="900" w:hanging="213"/>
        <w:spacing w:after="0"/>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Resigned from the Board of Directors on or prior to April 2008.</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number of shares subject to stock options outstanding at December 29, 2007 for each director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8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120" w:type="dxa"/>
            <w:vAlign w:val="bottom"/>
          </w:tcPr>
          <w:p>
            <w:pPr>
              <w:jc w:val="right"/>
              <w:ind w:right="677"/>
              <w:spacing w:after="0"/>
              <w:rPr>
                <w:sz w:val="20"/>
                <w:szCs w:val="20"/>
                <w:color w:val="auto"/>
              </w:rPr>
            </w:pPr>
            <w:r>
              <w:rPr>
                <w:rFonts w:ascii="Arial" w:cs="Arial" w:eastAsia="Arial" w:hAnsi="Arial"/>
                <w:sz w:val="10"/>
                <w:szCs w:val="10"/>
                <w:b w:val="1"/>
                <w:bCs w:val="1"/>
                <w:color w:val="auto"/>
              </w:rPr>
              <w:t>Aggregate Number of Stock Options</w:t>
            </w:r>
          </w:p>
        </w:tc>
        <w:tc>
          <w:tcPr>
            <w:tcW w:w="0" w:type="dxa"/>
            <w:vAlign w:val="bottom"/>
          </w:tcPr>
          <w:p>
            <w:pPr>
              <w:spacing w:after="0"/>
              <w:rPr>
                <w:sz w:val="1"/>
                <w:szCs w:val="1"/>
                <w:color w:val="auto"/>
              </w:rPr>
            </w:pPr>
          </w:p>
        </w:tc>
      </w:tr>
      <w:tr>
        <w:trPr>
          <w:trHeight w:val="125"/>
        </w:trPr>
        <w:tc>
          <w:tcPr>
            <w:tcW w:w="6860" w:type="dxa"/>
            <w:vAlign w:val="bottom"/>
            <w:gridSpan w:val="2"/>
            <w:vMerge w:val="continue"/>
          </w:tcPr>
          <w:p>
            <w:pPr>
              <w:spacing w:after="0"/>
              <w:rPr>
                <w:sz w:val="10"/>
                <w:szCs w:val="10"/>
                <w:color w:val="auto"/>
              </w:rPr>
            </w:pPr>
          </w:p>
        </w:tc>
        <w:tc>
          <w:tcPr>
            <w:tcW w:w="3120" w:type="dxa"/>
            <w:vAlign w:val="bottom"/>
          </w:tcPr>
          <w:p>
            <w:pPr>
              <w:jc w:val="right"/>
              <w:ind w:right="677"/>
              <w:spacing w:after="0"/>
              <w:rPr>
                <w:sz w:val="20"/>
                <w:szCs w:val="20"/>
                <w:color w:val="auto"/>
              </w:rPr>
            </w:pPr>
            <w:r>
              <w:rPr>
                <w:rFonts w:ascii="Arial" w:cs="Arial" w:eastAsia="Arial" w:hAnsi="Arial"/>
                <w:sz w:val="10"/>
                <w:szCs w:val="10"/>
                <w:b w:val="1"/>
                <w:bCs w:val="1"/>
                <w:color w:val="auto"/>
              </w:rPr>
              <w:t>Outstanding as of December 29, 2007</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8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p>
        </w:tc>
        <w:tc>
          <w:tcPr>
            <w:tcW w:w="312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14,285</w:t>
            </w:r>
          </w:p>
        </w:tc>
        <w:tc>
          <w:tcPr>
            <w:tcW w:w="0" w:type="dxa"/>
            <w:vAlign w:val="bottom"/>
          </w:tcPr>
          <w:p>
            <w:pPr>
              <w:spacing w:after="0"/>
              <w:rPr>
                <w:sz w:val="1"/>
                <w:szCs w:val="1"/>
                <w:color w:val="auto"/>
              </w:rPr>
            </w:pPr>
          </w:p>
        </w:tc>
      </w:tr>
      <w:tr>
        <w:trPr>
          <w:trHeight w:val="157"/>
        </w:trPr>
        <w:tc>
          <w:tcPr>
            <w:tcW w:w="686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12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p>
        </w:tc>
        <w:tc>
          <w:tcPr>
            <w:tcW w:w="312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6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12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12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60" w:type="dxa"/>
            <w:vAlign w:val="bottom"/>
            <w:gridSpan w:val="2"/>
          </w:tcPr>
          <w:p>
            <w:pPr>
              <w:spacing w:after="0"/>
              <w:rPr>
                <w:sz w:val="20"/>
                <w:szCs w:val="20"/>
                <w:color w:val="auto"/>
              </w:rPr>
            </w:pPr>
            <w:r>
              <w:rPr>
                <w:rFonts w:ascii="Arial" w:cs="Arial" w:eastAsia="Arial" w:hAnsi="Arial"/>
                <w:sz w:val="13"/>
                <w:szCs w:val="13"/>
                <w:color w:val="auto"/>
              </w:rPr>
              <w:t>Kenneth J. Nussbacher</w:t>
            </w:r>
          </w:p>
        </w:tc>
        <w:tc>
          <w:tcPr>
            <w:tcW w:w="3120" w:type="dxa"/>
            <w:vAlign w:val="bottom"/>
          </w:tcPr>
          <w:p>
            <w:pPr>
              <w:jc w:val="right"/>
              <w:ind w:right="1317"/>
              <w:spacing w:after="0"/>
              <w:rPr>
                <w:sz w:val="20"/>
                <w:szCs w:val="20"/>
                <w:color w:val="auto"/>
              </w:rPr>
            </w:pPr>
            <w:r>
              <w:rPr>
                <w:rFonts w:ascii="Arial" w:cs="Arial" w:eastAsia="Arial" w:hAnsi="Arial"/>
                <w:sz w:val="13"/>
                <w:szCs w:val="13"/>
                <w:color w:val="auto"/>
              </w:rPr>
              <w:t>57,142</w:t>
            </w:r>
          </w:p>
        </w:tc>
        <w:tc>
          <w:tcPr>
            <w:tcW w:w="0" w:type="dxa"/>
            <w:vAlign w:val="bottom"/>
          </w:tcPr>
          <w:p>
            <w:pPr>
              <w:spacing w:after="0"/>
              <w:rPr>
                <w:sz w:val="1"/>
                <w:szCs w:val="1"/>
                <w:color w:val="auto"/>
              </w:rPr>
            </w:pPr>
          </w:p>
        </w:tc>
      </w:tr>
      <w:tr>
        <w:trPr>
          <w:trHeight w:val="157"/>
        </w:trPr>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Edward Torres</w:t>
            </w:r>
          </w:p>
        </w:tc>
        <w:tc>
          <w:tcPr>
            <w:tcW w:w="312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86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12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directors do not currently receive any cash compensation for their services as members of our Board of Directors or any committee of our Board of Directors.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Upon consummation of our initial public offering, non-employee directors will receive an annual retainer of $20,000. The chairman of the audit committee will be paid an additional annual retainer of $15,000. The chairman of the compensation committee will be paid an additional annual retainer of $10,000. The chairman of the nominating and governance committee will be paid an additional annual retainer of $5,000.</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outside director equity compensation policy was adopted by our Board of Directors on January 29, 2008 and will become effective immediately upon the completion of this offering. The policy is intended to formalize the granting of equity compensation to our non-employee directors under the 2008 Equity Incentive Plan. Non-employee directors may receive all types of awards under the 2008 Equity Incentive Plan, except for incentive stock options, including discretionary awards not covered by the policy. The policy provides for automatic and nondiscretionary grants of nonstatutory stock options subject to the terms and conditions of the policy and the 2008 Equity Incentive Plan.</w:t>
      </w:r>
    </w:p>
    <w:p>
      <w:pPr>
        <w:spacing w:after="0" w:line="53"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Under the policy, each non-employee director, who first becomes a non-employee director following the effective date of the first registration statement filed by us and declared effective with respect to any class of our securities, will be automatically granted a stock option to purchase 11,428 shares of our common stock on the date such person first becomes a non-employee director. A director who is an employee and who ceases to be an employee, but who remains a director will not receive such an initial award.</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each non-employee director will be automatically granted an annual stock option to purchase 2,857 shares of our common stock on the date of each annual meeting beginning on the date of the first annual meeting that is held at least six months after such non-employee director received his or her initial award. In connection with the closing of this initial public offering, each non-employee director serving on our Board at the time of this offering will be automatically granted an option to purchase 2,857 shares of our common stock at the price per share at which such common stock is sold in this offering.</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exercise price of all stock options granted pursuant to the policy will be equal to the fair market value of our common stock on the date of grant. The term of all stock options will be 10 years. Subject to the adjustment provisions of the 2008 Equity Incentive Plan, initial awards will vest as to 25% of the shares subject to such awards each anniversary of the date of grant, provided such non-employee director continues to serve as a director through each such date. Subject to the adjustment provisions of the 2008 Equity Incentive Plan, the annual awards, including such awards granted in connection with this offering, will vest monthly over a twelve month period following the date of grant, provided such non-employee director continues to serve as a director through such date.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administrator of the 2008 Equity Incentive Plan in its discretion may change or otherwise revise the terms of awards granted under the outside director equity compensation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policy.</w:t>
      </w:r>
    </w:p>
    <w:p>
      <w:pPr>
        <w:spacing w:after="0" w:line="8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the event of a “change in control,” as defined in our 2008 Equity Incentive Plan, with respect to awards granted under the 2008 Equity Incentive Plan to non-employee directors, the participant non-employee director will fully vest in and have the right to exercise awards as to all shares underlying such awards and all restrictions 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awards will lapse, and all performance goals or other vesting criteria will be deemed achieved at 100% of target level and all other terms and conditions met.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the completion of this offering, we expect to adopt a code of business conduct and ethics that is applicable to all of our employees, officers and directors.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254"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seek to have a compensation program that supports a team ethic among our management, fairly rewards executives for corporate performance and provides incentives for executives to meet or exceed our short and long term goals. The primary components of our compensation program are base salary, an annual incentive bonus plan, option awards and change of control arrangements. In addition, we provide our executive officers a variety of benefits that are available generally to all salaried employees. The compensation committee of our Board of Directors is responsible for evaluating the compensation of our executive officers and making recommendations to the Board of Directors. The independent members of the Board of Directors have final approval authority with respect to executive compensation.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Objectives and Principles of Our Executive Compensation</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primary goal of our executive compensation program is to ensure that we hire and retain talented and experienced executives that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on individual departmental objectives. Our compensation philosophy is team oriented and our success dependent on what our management team can accomplish together. Therefore, we seek to provide the executive officers listed in the Summary Compensation table below, or our “named executive officers,” with comparable levels of base salary, bonuses and equity awards that are based largely on overall company performance.</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our fiscal year 2007, our named executive officers were Gajus Worthington, President and Chief Executive Officer, Richard DeLateur, our former Chief Financial Officer, Michael Lucero, our former Executive Vice President, Sales and Marketing, William Smith, Vice President, Legal Affairs and General Counsel, Robert Jones, our Executive Vice President, Research and Development, Grace Yow, Vice President, Worldwide Manufacturing and Managing Director, Fluidigm Singapore. Mr. DeLateur resigned as our Chief Financial Officer effective February 29, 2008 and Mr. Lucero resigned as our Executive Vice President, Sales and Marketing on March 14, 2008.</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While the compensation level of Mr. Worthington, our Chief Executive Officer, is marginally higher than our other executive officers, his compensation has historically been based on our team-based compensation philosophy rather than on CEO compensation levels reported in market surveys of other companies in the life science industry.</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and, to a lesser extent, on achieving individual performance objectives. Long term elements have historically been limited to stock options with multi-year vesting designed to retain executives and align their long term interests with those of our stockholders.</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believe that hiring and retaining well performing executives is important to our ongoing success. While we review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5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the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 Board of Directors has focused significantly on the affordability of our compensation arrangements. As a result, when weighting forms of compensation, the Board of Directors and the compensation committee have historically placed greater emphasis on non-cash equity incentive compensation together with base salary. In 2006, the Board of Directors determined that our business was of sufficient maturity to permit us to establish a cash bonus plan.</w:t>
      </w:r>
    </w:p>
    <w:p>
      <w:pPr>
        <w:spacing w:after="0" w:line="7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a publicly held company, we expect to periodically engage the services of a compensation consultant to assist us in further aligning our compensation philosophy with our corporate objectives. In particular, in order to attract and retain key executives, we may be required to modify individual executive compensation levels to remain competitive in the market for such positions.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Compensation Process and Compensation Committee</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For 2007 and January 2008, the compensation committee consisted of Messrs. Colella and Nussbacher and Ms. Jones. Since January 29, 2008, the compensation committee has consisted of Messrs. Colella, Nussbacher and Hunkapiller, each of whom is an independent director under the rules of the NASDAQ Stock Market LLC and a “non-employee director” for purposes of Rule 16b-3 under the Securities Exchange Act of 1934, as amended.</w:t>
      </w:r>
    </w:p>
    <w:p>
      <w:pPr>
        <w:spacing w:after="0" w:line="67"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The compensation committee makes recommendations to the Board regarding compensation structure, goals and individual compensation levels, which recommendations are considered for approval by the independent members of the Board. The compensation committee makes its compensation recommendations based on input from Mr. Worthington, our Chief Executive Officer, the judgment of its members based on their tenure and experience in our industry, and, starting with compensation levels for 2007, the advice of Compensia, Inc., an independent compensation consultant hired by the compensation committee in April 2007. The compensation committee has the responsibility of formulating, evaluating and recommending to the Board of Directors the compensation of our executive officers. Historically, our annual compensation review process has been initiated by Mr. Worthington who performs a review of the performance of each executive officer in the prior year and formulates proposals regarding the elements of compensation, corporate and individual goals and compensation levels for our executive officers, other than himself. Mr. Worthington’s proposals for compensation structure, goals and individual compensation levels are typically based on discussions with and directions from members of the compensation committee. Mr. Worthington does not prepare proposals or advise the compensation committee on his own compensation.</w:t>
      </w:r>
    </w:p>
    <w:p>
      <w:pPr>
        <w:spacing w:after="0" w:line="4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Compensation levels and mix for Mr. Worthington, our Chief Executive Officer, are recommended by the compensation committee based on the committee’s assessment of our overall corporate performance and Mr. Worthington’s contribution to that performance. Mr. Worthington does not participate in compensation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committee or Board deliberations regarding his own compensation. As with other members of our executive team, the compensation committee determines Mr. Worthington’s compensation based on our achievement of corporate objectives and compensation levels of other members of our executive team, rather than attempting to tie Mr. Worthington’s compensation to a specific percentile of CEO compensation reported in market compensation surveys.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Subject to any limitations or guidelines that may be adopted by the Board of Directors in the future, the compensation committee does have the authority to approve the grant of stock options or stock purchase rights to individuals eligible for such grants, including officers and directors. The compensation committee met three times during 2007 and we expect that it will meet at least quarterly during 2008.</w:t>
      </w:r>
    </w:p>
    <w:p>
      <w:pPr>
        <w:spacing w:after="0" w:line="67"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The compensation committee has the authority under its charter to engage the services of outside advisors, experts and others for assistance. In April 2007, the compensation committee engaged Compensia, Inc., an outside consulting firm, to advise it on developing a principles based executive compensation strategy to help transition us from a privately held to a publicly held company and on matters relating to our equity compensation plans as a whole. Compensia reviewed our proposed 2007 compensation philosophy and compensation levels and provided advice regarding the suitability of our executive compensation structure for a company at our stage of development and the impact the structure was likely to have on executive performance and our ability to attract executive talent. Compensia did not prepare a formal report or recommend specific compensation levels. In 2008, we expect the compensation committee will engage an outside consulting firm to review more broadly our compensation practices and provide specific recommendations on executive compensation levels.</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setting compensation levels for our executive officers for 2007, but before making its recommendations to the Board, the compensation committee reviewed the 2006 Radford Biotechnology Survey by Aon Consulting and the 2006 Executive Compensation Survey for pre-IPO life science companies by Top Five Data Services, Inc. to confirm that the proposed mix and levels of compensation for our executive officers was not outside of the ranges reported for senior executive officers in general. The compensation committee did not benchmark or tie compensation levels for our executive officers to any particular compensation level provided by the companies included in these surveys.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Corporate and Individual Performance Goals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2007 Corporate Goals. </w:t>
      </w:r>
      <w:r>
        <w:rPr>
          <w:rFonts w:ascii="Arial" w:cs="Arial" w:eastAsia="Arial" w:hAnsi="Arial"/>
          <w:sz w:val="13"/>
          <w:szCs w:val="13"/>
          <w:color w:val="auto"/>
        </w:rPr>
        <w:t>Our corporate and individual performance goals for each year are formulated by the Board of Directors with input from the compensation committee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Chief Executive Officer. For 2007, two corporate goals were established. The first related to our selling a certain number of IFC systems and reaching certain revenue targets, whether through system sales or collaboration agreements. The second goal related to our equity fund raising activity. The compensation committee believed attaining these goals would take a high level of executive performance and that such goals would be very challenging given the initial lack of market awareness of our products in 2007. The committee did not assign weights to these goals, except to treat them as equally important.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2007 Individual Goals. </w:t>
      </w:r>
      <w:r>
        <w:rPr>
          <w:rFonts w:ascii="Arial" w:cs="Arial" w:eastAsia="Arial" w:hAnsi="Arial"/>
          <w:sz w:val="13"/>
          <w:szCs w:val="13"/>
          <w:color w:val="auto"/>
        </w:rPr>
        <w:t>Individual goals for 2007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980" w:type="dxa"/>
            <w:vAlign w:val="bottom"/>
          </w:tcPr>
          <w:p>
            <w:pPr>
              <w:ind w:left="200"/>
              <w:spacing w:after="0"/>
              <w:rPr>
                <w:sz w:val="20"/>
                <w:szCs w:val="20"/>
                <w:color w:val="auto"/>
              </w:rPr>
            </w:pPr>
            <w:r>
              <w:rPr>
                <w:rFonts w:ascii="Arial" w:cs="Arial" w:eastAsia="Arial" w:hAnsi="Arial"/>
                <w:sz w:val="10"/>
                <w:szCs w:val="10"/>
                <w:b w:val="1"/>
                <w:bCs w:val="1"/>
                <w:u w:val="single" w:color="auto"/>
                <w:color w:val="auto"/>
              </w:rPr>
              <w:t>2</w:t>
            </w:r>
            <w:r>
              <w:rPr>
                <w:rFonts w:ascii="Arial" w:cs="Arial" w:eastAsia="Arial" w:hAnsi="Arial"/>
                <w:sz w:val="10"/>
                <w:szCs w:val="10"/>
                <w:b w:val="1"/>
                <w:bCs w:val="1"/>
                <w:color w:val="auto"/>
              </w:rPr>
              <w:t>007 Individual Goals</w:t>
            </w:r>
          </w:p>
        </w:tc>
      </w:tr>
      <w:tr>
        <w:trPr>
          <w:trHeight w:val="49"/>
        </w:trPr>
        <w:tc>
          <w:tcPr>
            <w:tcW w:w="50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w w:val="91"/>
              </w:rPr>
              <w:t>Achieving target levels of sales of our IFC systems and achieving target revenues, whether</w:t>
            </w:r>
          </w:p>
        </w:tc>
      </w:tr>
      <w:tr>
        <w:trPr>
          <w:trHeight w:val="165"/>
        </w:trPr>
        <w:tc>
          <w:tcPr>
            <w:tcW w:w="5000" w:type="dxa"/>
            <w:vAlign w:val="bottom"/>
            <w:shd w:val="clear" w:color="auto" w:fill="CCEEFF"/>
          </w:tcPr>
          <w:p>
            <w:pPr>
              <w:spacing w:after="0"/>
              <w:rPr>
                <w:sz w:val="14"/>
                <w:szCs w:val="14"/>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through system sales or collaboration agreements.</w:t>
            </w:r>
          </w:p>
        </w:tc>
      </w:tr>
      <w:tr>
        <w:trPr>
          <w:trHeight w:val="159"/>
        </w:trPr>
        <w:tc>
          <w:tcPr>
            <w:tcW w:w="5000" w:type="dxa"/>
            <w:vAlign w:val="bottom"/>
            <w:shd w:val="clear" w:color="auto" w:fill="CCEEFF"/>
          </w:tcPr>
          <w:p>
            <w:pPr>
              <w:spacing w:after="0"/>
              <w:rPr>
                <w:sz w:val="13"/>
                <w:szCs w:val="13"/>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Raising target levels of equity financing.</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Richard DeLateur, former Chief Financial Officer</w:t>
            </w:r>
          </w:p>
        </w:tc>
        <w:tc>
          <w:tcPr>
            <w:tcW w:w="4980" w:type="dxa"/>
            <w:vAlign w:val="bottom"/>
          </w:tcPr>
          <w:p>
            <w:pPr>
              <w:ind w:left="200"/>
              <w:spacing w:after="0"/>
              <w:rPr>
                <w:sz w:val="20"/>
                <w:szCs w:val="20"/>
                <w:color w:val="auto"/>
              </w:rPr>
            </w:pPr>
            <w:r>
              <w:rPr>
                <w:rFonts w:ascii="Arial" w:cs="Arial" w:eastAsia="Arial" w:hAnsi="Arial"/>
                <w:sz w:val="13"/>
                <w:szCs w:val="13"/>
                <w:color w:val="auto"/>
                <w:w w:val="92"/>
              </w:rPr>
              <w:t>Preparing our finance organization for an initial public offering and public company status.</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Michael Lucero, former Executive Vice President,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Launching our BioMark product and developing a</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strategy for new market penetration.</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William Smith, Vice President, Legal Affairs and</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Maintaining and advancing our intellectual property</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General Counsel</w:t>
            </w:r>
          </w:p>
        </w:tc>
        <w:tc>
          <w:tcPr>
            <w:tcW w:w="4980" w:type="dxa"/>
            <w:vAlign w:val="bottom"/>
          </w:tcPr>
          <w:p>
            <w:pPr>
              <w:ind w:left="200"/>
              <w:spacing w:after="0"/>
              <w:rPr>
                <w:sz w:val="20"/>
                <w:szCs w:val="20"/>
                <w:color w:val="auto"/>
              </w:rPr>
            </w:pPr>
            <w:r>
              <w:rPr>
                <w:rFonts w:ascii="Arial" w:cs="Arial" w:eastAsia="Arial" w:hAnsi="Arial"/>
                <w:sz w:val="13"/>
                <w:szCs w:val="13"/>
                <w:color w:val="auto"/>
              </w:rPr>
              <w:t>position with respect to existing and new products.</w:t>
            </w: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Robert Jones, Executive Vice President, Research</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Deliver commercial genotyping applications, digital</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Development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array applications and finish feasibility phase of additional products.</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Mai Chan (Grace) Yow, Vice President, Worldwide</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Achieving specified IFC manufacturing yields and</w:t>
            </w: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980" w:type="dxa"/>
            <w:vAlign w:val="bottom"/>
          </w:tcPr>
          <w:p>
            <w:pPr>
              <w:ind w:left="200"/>
              <w:spacing w:after="0"/>
              <w:rPr>
                <w:sz w:val="20"/>
                <w:szCs w:val="20"/>
                <w:color w:val="auto"/>
              </w:rPr>
            </w:pPr>
            <w:r>
              <w:rPr>
                <w:rFonts w:ascii="Arial" w:cs="Arial" w:eastAsia="Arial" w:hAnsi="Arial"/>
                <w:sz w:val="13"/>
                <w:szCs w:val="13"/>
                <w:color w:val="auto"/>
              </w:rPr>
              <w:t>output levels.</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Fluidigm Singapore</w:t>
            </w:r>
          </w:p>
        </w:tc>
        <w:tc>
          <w:tcPr>
            <w:tcW w:w="4980" w:type="dxa"/>
            <w:vAlign w:val="bottom"/>
          </w:tcPr>
          <w:p>
            <w:pPr>
              <w:spacing w:after="0"/>
              <w:rPr>
                <w:sz w:val="14"/>
                <w:szCs w:val="14"/>
                <w:color w:val="auto"/>
              </w:rPr>
            </w:pPr>
          </w:p>
        </w:tc>
      </w:tr>
    </w:tbl>
    <w:p>
      <w:pPr>
        <w:spacing w:after="0" w:line="8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2008 Corporate Goals. </w:t>
      </w:r>
      <w:r>
        <w:rPr>
          <w:rFonts w:ascii="Arial" w:cs="Arial" w:eastAsia="Arial" w:hAnsi="Arial"/>
          <w:sz w:val="12"/>
          <w:szCs w:val="12"/>
          <w:color w:val="auto"/>
        </w:rPr>
        <w:t>For 2008, the Board, with the participation of the compensation committee and members of management, reassessed our corporate goals in light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maturation of our business and commercialization of our products. Following this reassessment, the Board approved corporate goals that include achieving specified levels of product sales and product gross margins, completing an initial public offering and keeping expenses and cash outlays within the budget approved by the Board of Directors. The Board believes that the goals are attainable with a very high level of executive performance. The target sales level represents significant growth from 2007 levels and will be achieved only if we are able to increase market awareness of our products and expand our customer base. The targeted gross margin will require significant contributions from both our manufacturing and research and development groups. Given the uncertainty in global financial markets, our ability to complete an initial public offering was also uncertain at the time these corporate goals were established. Achieving our overall corporate goals while staying within our proposed budget will require strong fiscal discipline.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2008 Individual Goals. </w:t>
      </w:r>
      <w:r>
        <w:rPr>
          <w:rFonts w:ascii="Arial" w:cs="Arial" w:eastAsia="Arial" w:hAnsi="Arial"/>
          <w:sz w:val="13"/>
          <w:szCs w:val="13"/>
          <w:color w:val="auto"/>
        </w:rPr>
        <w:t>The goals for our individual executives in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2008 Individual Goals</w:t>
            </w:r>
          </w:p>
        </w:tc>
      </w:tr>
      <w:tr>
        <w:trPr>
          <w:trHeight w:val="29"/>
        </w:trPr>
        <w:tc>
          <w:tcPr>
            <w:tcW w:w="52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7"/>
              </w:rPr>
              <w:t>Achieving specified levels of product sales and product gross margins, completing an</w:t>
            </w:r>
          </w:p>
        </w:tc>
      </w:tr>
      <w:tr>
        <w:trPr>
          <w:trHeight w:val="157"/>
        </w:trPr>
        <w:tc>
          <w:tcPr>
            <w:tcW w:w="5200" w:type="dxa"/>
            <w:vAlign w:val="bottom"/>
            <w:shd w:val="clear" w:color="auto" w:fill="CCEEFF"/>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w w:val="93"/>
              </w:rPr>
              <w:t>initial public offering and keeping expenses and cash outlays within the budget approved</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by the Board of Directors.</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Vikram Jog, Chief Financial Officer</w:t>
            </w:r>
          </w:p>
        </w:tc>
        <w:tc>
          <w:tcPr>
            <w:tcW w:w="4780" w:type="dxa"/>
            <w:vAlign w:val="bottom"/>
          </w:tcPr>
          <w:p>
            <w:pPr>
              <w:spacing w:after="0" w:line="149" w:lineRule="exact"/>
              <w:rPr>
                <w:sz w:val="20"/>
                <w:szCs w:val="20"/>
                <w:color w:val="auto"/>
              </w:rPr>
            </w:pPr>
            <w:r>
              <w:rPr>
                <w:rFonts w:ascii="Arial" w:cs="Arial" w:eastAsia="Arial" w:hAnsi="Arial"/>
                <w:sz w:val="13"/>
                <w:szCs w:val="13"/>
                <w:color w:val="auto"/>
                <w:w w:val="99"/>
              </w:rPr>
              <w:t>Ensuring accurate revenue recognition during each quarter, closing our books in an</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5"/>
              </w:rPr>
              <w:t>accurate and timely manner, completing our 2005, 2006 and 2007 audits and ensuring</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8"/>
              </w:rPr>
              <w:t>compliance with applicable financial and disclosure regulations of the Securities and</w:t>
            </w:r>
          </w:p>
        </w:tc>
      </w:tr>
      <w:tr>
        <w:trPr>
          <w:trHeight w:val="165"/>
        </w:trPr>
        <w:tc>
          <w:tcPr>
            <w:tcW w:w="5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Exchange Commission.</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William Smith, Vice President, Legal Affairs and</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Maintaining our intellectual property position and</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supporting our initial public offering.</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Robert Jones, Executive Vice President, Research</w:t>
            </w:r>
          </w:p>
        </w:tc>
        <w:tc>
          <w:tcPr>
            <w:tcW w:w="4780" w:type="dxa"/>
            <w:vAlign w:val="bottom"/>
          </w:tcPr>
          <w:p>
            <w:pPr>
              <w:spacing w:after="0" w:line="149" w:lineRule="exact"/>
              <w:rPr>
                <w:sz w:val="20"/>
                <w:szCs w:val="20"/>
                <w:color w:val="auto"/>
              </w:rPr>
            </w:pPr>
            <w:r>
              <w:rPr>
                <w:rFonts w:ascii="Arial" w:cs="Arial" w:eastAsia="Arial" w:hAnsi="Arial"/>
                <w:sz w:val="13"/>
                <w:szCs w:val="13"/>
                <w:color w:val="auto"/>
              </w:rPr>
              <w:t>Completing market-ready 96.96 BioMark IFC, loaders</w:t>
            </w:r>
          </w:p>
        </w:tc>
      </w:tr>
      <w:tr>
        <w:trPr>
          <w:trHeight w:val="165"/>
        </w:trPr>
        <w:tc>
          <w:tcPr>
            <w:tcW w:w="5200" w:type="dxa"/>
            <w:vAlign w:val="bottom"/>
          </w:tcPr>
          <w:p>
            <w:pPr>
              <w:ind w:left="140"/>
              <w:spacing w:after="0"/>
              <w:rPr>
                <w:sz w:val="20"/>
                <w:szCs w:val="20"/>
                <w:color w:val="auto"/>
              </w:rPr>
            </w:pPr>
            <w:r>
              <w:rPr>
                <w:rFonts w:ascii="Arial" w:cs="Arial" w:eastAsia="Arial" w:hAnsi="Arial"/>
                <w:sz w:val="13"/>
                <w:szCs w:val="13"/>
                <w:color w:val="auto"/>
              </w:rPr>
              <w:t>and Development</w:t>
            </w:r>
          </w:p>
        </w:tc>
        <w:tc>
          <w:tcPr>
            <w:tcW w:w="4780" w:type="dxa"/>
            <w:vAlign w:val="bottom"/>
          </w:tcPr>
          <w:p>
            <w:pPr>
              <w:spacing w:after="0"/>
              <w:rPr>
                <w:sz w:val="20"/>
                <w:szCs w:val="20"/>
                <w:color w:val="auto"/>
              </w:rPr>
            </w:pPr>
            <w:r>
              <w:rPr>
                <w:rFonts w:ascii="Arial" w:cs="Arial" w:eastAsia="Arial" w:hAnsi="Arial"/>
                <w:sz w:val="13"/>
                <w:szCs w:val="13"/>
                <w:color w:val="auto"/>
              </w:rPr>
              <w:t>and readers for 96.96 and certain future applications.</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 Vice President, Worldwide</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Achieving overall IFC yields sufficient to achieve our</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gross margin goals, achieving specified yields on our</w:t>
            </w:r>
          </w:p>
        </w:tc>
      </w:tr>
      <w:tr>
        <w:trPr>
          <w:trHeight w:val="148"/>
        </w:trPr>
        <w:tc>
          <w:tcPr>
            <w:tcW w:w="5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Fluidigm Singapore</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new 96.96 Dynamic Array IFC, maintaining or improving 2007 quality levels for our IFC</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systems and ensuring on-time manufacture and delivery of IFCs and IFC systems.</w:t>
            </w:r>
          </w:p>
        </w:tc>
      </w:tr>
    </w:tbl>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Elements of Executive Compensation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executive compensation program consists of four main elements: base salary, an annual incentive bonus plan, option awards and change of control arrangements. The following is a discussion of each element.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Base Salary.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Prior to 2007, the Board and the compensation committee established base salaries based on a number of factors including the scope of responsibility of each individual and a desire to encourage a team ethic. In 2007, the compensation committee and the Board concluded that our company and its stockholders would be better served by placing greater emphasis on creating a team ethic among our executive officers and that a team ethic would be better supported if all executive officers received approximately the same salary. Therefore, in May 2007, the compensation committee recommended and the Board approved a raise in the base annual salaries of Richard DeLateur, Michael Lucero, William Smith and Robert Jones to $265,000 effective February 1, 2007, which represented a 20% increase for Mr. DeLateur, a 2.2% increase for Mr. Lucero, a 16% increase for Mr. Smith and a 6% increase for Mr. Jones, based on their salaries for 2006. This salary increase was based upon the compensation committee’s assessment of the life science industry in the San Francisco Bay Area gathered from the active involvement of committee members as investors in such industry and the committee’s conclusion that competition for executives in our industry was increasing. Ms. Yow’s salary was set at SG$307,224, or US$200,000 using the exchange rate at the time such salary was set, to reflect the lower cost of living in Singapore where she is based. At the same time, the compensation committee also recommended that Mr. Worthington’s salary be increased by 5% to $283,920 based on the factors described above. However, Mr. Worthington requested that this salary increase be deferred until his performance during 2007 could be assessed. In December 2007, the compensation committee reviewed Mr. Worthington’s overall performance during the year. In particular, it noted that Mr. Worthington had fully met his individual goal for equity financing as we had raised more money than had been targeted and had partially met his individual goal for revenue, as we had strong sales performance although the target revenue level was not achieved. The compensation committee therefore recommended and the Board approved the 5% raise that had been originally proposed for Mr. Worthington. The raise was made retroactive to February 15, 2007 so that it would be effective as of the same date as the raises for all the other executive officers.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January 2008, the compensation committee reviewed 2008 base salaries in light of general market conditions in the San Francisco Bay Area life science industry.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committee concluded that competition for executive talent remained strong as a result of the solid economic performance of the industry and the region overall, the continued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high level of investment by venture capital firms in new and existing life science companies and the specialized skills and experiences required to manage life science companies.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committee’s assessment of general market conditions in the life science industry, and the life science industry in the San Francisco Bay Area in particular, was based on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experience of the committee members who were and are actively involved in venture capital investing in such industry and area. The compensation committee did not rely on any formal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survey data in making its assessment. The compensation committee therefore recommended and the Board approved an approximate raise of 4.0% for all executive officers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than Messrs. DeLateur and Lucero, who were expected to be leaving Fluidigm in early 2008. This approximate 4.0% raise was applied to Ms. Yow’s salary in Singapore dollars,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resulting in an increase of SG$12,289. As a result, the 2008 base salary for Mr. Smith and Mr. Jones was increased to $275,600, the 2008 base salary for Ms. Yow was increased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SG$319,513, or US$232,002 on the date of the increase, and the 2008 salary for Mr. Worthington was increased to $294,840. These salary increases became effective on February 1, 2008.</w:t>
      </w:r>
    </w:p>
    <w:p>
      <w:pPr>
        <w:spacing w:after="0" w:line="112"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January 2008, we entered into an offer letter with Vikram Jog, our Chief Financial Officer that provides for him to receive a base salary of $278,000 per year and a signing bonus of $20,000. The Board approved this departure from our standard base salary and bonus practice for executive officers based on several factors, including his unique qualifications, the need to induce him to leave his existing employment, his base salary at his previous employer and our need to fill the position as soon as possible.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Incentive Bonus Plan.</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For 2007, the compensation committee and the Board established a bonus structure for all named executive officers that provided for performance bonuses of up to 35% of base salary. 80% of the performance bonus was payable based upon our reaching our corporate goals described above, with each corporate goal receiving equal weighting and the remaining 20% payable to each executive based on the executive’s attainment of his or her individual performance goals described above. Payment of performance bonuses was allocated among corporate and individual goals in this manner in recognition of our compensation philosophy in which the compensation committee sought to incentivize executive officers to look beyond their individual departmental goals and work with other executive officers to achieve our overall corporate goals. The compensation committee and Board concluded that the corporate goals portion of the bonus would not be payable if the goals were less than 80% attained, based on the average percentage completion of all such goals, and would be paid in full if the goals were 100% attained. The compensation committee retained discretion to determine the portion of the bonus that would be paid if the corporate goals were achieved at a level between 80% and 100%. The compensation committee also retained the discretion to change the bonus structure and the bonus payment amounts as it considered appropriate.</w:t>
      </w:r>
    </w:p>
    <w:p>
      <w:pPr>
        <w:spacing w:after="0" w:line="59"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In January 2008, the compensation committee concluded that the first 2007 corporate goal described above had been partially met and the second 2007 corporate goal had been fully met, but that taken together the 80% threshold had not been attained. As a result, no 2007 bonuses were paid to our executive officers with respect to achievement of corporate goals.</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compensation committee also considered the achievement of 2007 individual performance goals in January 2008 and concluded that Mr. Smith had achieved his goals by maintaining and advancing our intellectual property position with respect to existing and new products. The Board awarded Mr. Smith 100% of his individual performance bonus of $18,550. The compensation committee concluded that Mr. Jones achieved his 2007 individual goals of delivering a commercial genotyping application and digital array applications and awarded him his maximum individual performance bonus of $18,550. The compensation committee concluded that Ms. Yow had achieved her 2007 individual goals by achieving specified IFC manufacturing yields and output levels in 2007 and the Board awarded Ms. Yow 100% of her individual performance bonus of $14,000. The compensation committee concluded that</w:t>
      </w:r>
    </w:p>
    <w:p>
      <w:pPr>
        <w:ind w:left="680"/>
        <w:spacing w:after="0" w:line="307" w:lineRule="auto"/>
        <w:rPr>
          <w:sz w:val="20"/>
          <w:szCs w:val="20"/>
          <w:color w:val="auto"/>
        </w:rPr>
      </w:pPr>
      <w:r>
        <w:rPr>
          <w:rFonts w:ascii="Arial" w:cs="Arial" w:eastAsia="Arial" w:hAnsi="Arial"/>
          <w:sz w:val="12"/>
          <w:szCs w:val="12"/>
          <w:color w:val="auto"/>
        </w:rPr>
        <w:t>Mr. Worthington had partially achieved his 2007 individual performance goals of achieving target levels of IFC system sales and revenue and raising target levels of equity financing, and the Board awarded Mr. Worthington a partial bonus of $14,175. No other individual performance bonuses were awarded to our named executive officers for 2007.</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the compensation committee and Board have approved the same bonus structure and potential bonus percentages as for 2007.</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making recommendations regarding and approving compensation with respect to 2007, the compensation committee and the Board have not exercised their discretion to either award compensation absent attainment of relevant performance goals or to reduce the size of an award or payout following the attainment of relevant performance goals. We intend for the bonus plan to provide a significant portion of an executive’s potential compensation. It is designed to help ensure that executives are focused on our near-term performance and on working together to achieve key corporate objectives. We expect that corporate and individual goals will be reviewed each year and adjusted to reflect changes in our stage of development, competitive position and corporate objectives.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Option Awards.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grant options to new executives upon the commencement of their employment and on an annual basis make additional grants to existing executives based on our overall corporate performance, individual performance and the executives’ existing option grants and equity holdings. We believe that option awards are an effective means of aligning the interests of executives and stockholders, rewarding executives for our achieving success over the long term and providing executives an incentive to remain with us. Most option grants to our named executive officers provide the holder with the right to exercise the option and purchase shares prior to vesting, subject to our right to repurchase unvested shares pursuant to the terms of our restricted stock purchase agreement.</w:t>
      </w:r>
    </w:p>
    <w:p>
      <w:pPr>
        <w:spacing w:after="0" w:line="7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2007, the compensation committee redesigned our option granting policy in light of the shift in our compensation philosophy toward team-based compensation. The compensation committee concluded that the number of shares that vest each year for each executive should be relatively consistent and should be comparable to the number of shares that vest for other executives. The committee determined that each executive should vest in approximately 20,000 shares per year over a four year period. For each executive, the exact number of shares that vest in any year would be subject to adjustment either upward or downward by up to 10,000 shares based on the executive’s performance relative to the corporate goals and his or her individual performance goals. The compensation committee’s selection of 20,000 shares as the target number of shares to vest annually for each executive officer was based on the committee’s determination that such number of shares would provide meaningful compensation to our executive officers. The committee did not rely on compensation surveys or other third party sources in arriving at the 20,000 annual vesting target. In addition to this annual vesting target and the possible adjustment of actual vesting amounts by up to 10,000, the compensation committee retained the authority to approve additional option grants to executive officers who demonstrated exceptional performance in a given year.</w:t>
      </w:r>
    </w:p>
    <w:p>
      <w:pPr>
        <w:spacing w:after="0" w:line="59"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As a result of our adoption of this new approach to equity compensation, our grants in 2007 were primarily intended to regularize each executive’s vesting schedules to approximately 20,000 per year. As a result, certain executives received option grants where shares were immediately vested while others received grants where the vesting occurs largely three or four years from the grant of the date. The number of shares vesting for each such officer in 2007 were 19,523 shares for Mr. Worthington, 53,570 shares for Mr. DeLateur, 31,738 shares for Mr. Lucero, 21,428 for Mr. Smith, 28,571 for Mr. Jones and 27,856 for Ms. Yow. Variations in the number of shares vested in 2007 for these officers was the result of vesting under options granted prior to 2007 rather than intentional variation in 2007 grants on the part of the compensation committee. In the future, once the vesting of existing options are normalized at approximately</w:t>
      </w:r>
    </w:p>
    <w:p>
      <w:pPr>
        <w:spacing w:after="0" w:line="1"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20,000 shares per year, we intend for executives to receive additional grants that vest only in the fourth year following the date of their grant. We also expect to reconsider the target share amount each year and may in the future consider granting restricted stock as a form of equity compensation.</w:t>
      </w:r>
    </w:p>
    <w:p>
      <w:pPr>
        <w:spacing w:after="0" w:line="67" w:lineRule="exact"/>
        <w:rPr>
          <w:sz w:val="20"/>
          <w:szCs w:val="20"/>
          <w:color w:val="auto"/>
        </w:rPr>
      </w:pPr>
    </w:p>
    <w:p>
      <w:pPr>
        <w:ind w:left="680" w:right="160" w:firstLine="399"/>
        <w:spacing w:after="0" w:line="303" w:lineRule="auto"/>
        <w:rPr>
          <w:sz w:val="20"/>
          <w:szCs w:val="20"/>
          <w:color w:val="auto"/>
        </w:rPr>
      </w:pPr>
      <w:r>
        <w:rPr>
          <w:rFonts w:ascii="Arial" w:cs="Arial" w:eastAsia="Arial" w:hAnsi="Arial"/>
          <w:sz w:val="11"/>
          <w:szCs w:val="11"/>
          <w:color w:val="auto"/>
        </w:rPr>
        <w:t>For 2008, the compensation committee did not alter the target amount of annual vesting for any executive. To give effect to this target annual vesting rate, the committee recommended and the Board approved grants of options to purchase 20,000 shares each to Mr. Jones, Mr. Smith, Mr. Worthington and Ms. Yow. These options vest fully on December 31, 2011, subject to continued service through the vesting date. In addition, the compensation committee recommended that additional discretionary option grants be made to Mr. Jones,</w:t>
      </w:r>
    </w:p>
    <w:p>
      <w:pPr>
        <w:ind w:left="680" w:right="60"/>
        <w:spacing w:after="0" w:line="258" w:lineRule="auto"/>
        <w:rPr>
          <w:sz w:val="20"/>
          <w:szCs w:val="20"/>
          <w:color w:val="auto"/>
        </w:rPr>
      </w:pPr>
      <w:r>
        <w:rPr>
          <w:rFonts w:ascii="Arial" w:cs="Arial" w:eastAsia="Arial" w:hAnsi="Arial"/>
          <w:sz w:val="13"/>
          <w:szCs w:val="13"/>
          <w:color w:val="auto"/>
        </w:rPr>
        <w:t>Mr. Smith, Mr. Worthington and Ms. Yow for their exceptional performance in 2007. Mr. Smith and Mr. Worthington received a fully-vested option to purchase 20,000 shares and Mr. Jones and Ms. Yow received a fully-vested option to purchase 11,428 shares. These grants were issued separately from the annual grants and were not considered an adjustment to the annual grants. Accordingly, the 10,000 share adjustment limit for annual grants did not apply.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As discussed above, the compensation committee retains the discretion to grant additional options to executive officers as a reward for exceptional performance. In addition, the committee may decide to grant options that vest upon the achievement of certain performance goals. Finally, the committee is exploring the desirability of other forms of equity based compensation including restricted stock grants.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January 2008, the Board approved amendments to our 1999 Stock Option Plan to permit the use of performance based vesting in connection with equity grants under the plan. The amendment provided the Board and compensation committee with the ability to grant options or other equity awards under the plan that vest upon the achievement of specified milestones or goals. These amendments were made to enhance the ability of the Board and compensation committee to closely align equity compensation with the achievement of corporate or individual goals.</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Board adopted our 2008 Equity Incentive Plan in January 2008 and we expect our stockholders will approve it prior to the completion of this offering. Subject to stockholder approval, the 2008 Equity Incentive Plan is effective upon its adoption by our Board,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Our Board and compensation committee are evaluating the costs and benefits of the various forms of equity compensation issuable under the 2008 plan and may elect to use restricted stock, restricted stock units, stock appreciation rights, performance units and performance shares in the future to further align the interests of our management and stockholders and to manage the financial statement impact of such forms of equity compensation.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In January 2008, the compensation committee participated in the negotiation of a compensation package for Vikram Jog, our Chief Financial Officer, in which the compensation committee agreed to grant Mr. Jog compensation that exceeded our standard compensation package for the named executive officers. As indicated above, the compensation committee approved this package based on Mr. Jog’s unique qualifications, our need to fill this position and the need to induce Mr. Jog to leave his then current employer. In February 2008, the compensation committee approved the grant of the following options to Mr. Jog in February 2008 under our 1999 Stock Option Plan:</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00" w:type="dxa"/>
            <w:vAlign w:val="bottom"/>
          </w:tcPr>
          <w:p>
            <w:pPr>
              <w:spacing w:after="0"/>
              <w:rPr>
                <w:sz w:val="20"/>
                <w:szCs w:val="20"/>
                <w:color w:val="auto"/>
              </w:rPr>
            </w:pPr>
            <w:r>
              <w:rPr>
                <w:rFonts w:ascii="Arial" w:cs="Arial" w:eastAsia="Arial" w:hAnsi="Arial"/>
                <w:sz w:val="10"/>
                <w:szCs w:val="10"/>
                <w:b w:val="1"/>
                <w:bCs w:val="1"/>
                <w:color w:val="auto"/>
              </w:rPr>
              <w:t>Number of</w:t>
            </w:r>
          </w:p>
        </w:tc>
        <w:tc>
          <w:tcPr>
            <w:tcW w:w="318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Standard Vesting</w:t>
            </w: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Accelerated Vesting if</w:t>
            </w:r>
          </w:p>
        </w:tc>
        <w:tc>
          <w:tcPr>
            <w:tcW w:w="30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Performance Milestones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0"/>
                <w:szCs w:val="10"/>
                <w:b w:val="1"/>
                <w:bCs w:val="1"/>
                <w:color w:val="auto"/>
              </w:rPr>
              <w:t>Shares</w:t>
            </w:r>
          </w:p>
        </w:tc>
        <w:tc>
          <w:tcPr>
            <w:tcW w:w="3180" w:type="dxa"/>
            <w:vAlign w:val="bottom"/>
            <w:vMerge w:val="continue"/>
          </w:tcPr>
          <w:p>
            <w:pPr>
              <w:spacing w:after="0"/>
              <w:rPr>
                <w:sz w:val="11"/>
                <w:szCs w:val="11"/>
                <w:color w:val="auto"/>
              </w:rPr>
            </w:pP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Milestones Met</w:t>
            </w: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20"/>
                <w:szCs w:val="20"/>
                <w:color w:val="auto"/>
              </w:rPr>
            </w:pPr>
            <w:r>
              <w:rPr>
                <w:rFonts w:ascii="Arial" w:cs="Arial" w:eastAsia="Arial" w:hAnsi="Arial"/>
                <w:sz w:val="13"/>
                <w:szCs w:val="13"/>
                <w:color w:val="auto"/>
              </w:rPr>
              <w:t>142,857</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n/a</w:t>
            </w:r>
          </w:p>
        </w:tc>
        <w:tc>
          <w:tcPr>
            <w:tcW w:w="560" w:type="dxa"/>
            <w:vAlign w:val="bottom"/>
          </w:tcPr>
          <w:p>
            <w:pPr>
              <w:ind w:left="400"/>
              <w:spacing w:after="0"/>
              <w:rPr>
                <w:sz w:val="20"/>
                <w:szCs w:val="20"/>
                <w:color w:val="auto"/>
              </w:rPr>
            </w:pPr>
            <w:r>
              <w:rPr>
                <w:rFonts w:ascii="Arial" w:cs="Arial" w:eastAsia="Arial" w:hAnsi="Arial"/>
                <w:sz w:val="13"/>
                <w:szCs w:val="13"/>
                <w:color w:val="auto"/>
                <w:w w:val="77"/>
              </w:rPr>
              <w:t>n/a</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6"/>
              </w:rPr>
              <w:t>of the vesting commencement date, and 1/48 per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14,285</w:t>
            </w:r>
          </w:p>
        </w:tc>
        <w:tc>
          <w:tcPr>
            <w:tcW w:w="3180" w:type="dxa"/>
            <w:vAlign w:val="bottom"/>
          </w:tcPr>
          <w:p>
            <w:pPr>
              <w:ind w:left="420"/>
              <w:spacing w:after="0"/>
              <w:rPr>
                <w:sz w:val="20"/>
                <w:szCs w:val="20"/>
                <w:color w:val="auto"/>
              </w:rPr>
            </w:pPr>
            <w:r>
              <w:rPr>
                <w:rFonts w:ascii="Arial" w:cs="Arial" w:eastAsia="Arial" w:hAnsi="Arial"/>
                <w:sz w:val="13"/>
                <w:szCs w:val="13"/>
                <w:color w:val="auto"/>
              </w:rPr>
              <w:t>100% on December 31, 2011</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Revenue recognition - no material changes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upon quarterly reviews and annual audit;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Accurate and timely closing of books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3"/>
              </w:rPr>
              <w:t>reporting (timeliness as required by investors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SEC);</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SEC and Sarbanes-Oxley compliance, as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needed;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2"/>
              </w:rPr>
              <w:t>Produce audited financial statements for 2005,</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9"/>
              </w:rPr>
              <w:t>2006 and 2007 (and the first quarter of 2008, if</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necessary) to enable the filing of a Form S-1</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registration statement.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14,285</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revenues;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8"/>
              </w:rPr>
              <w:t>of the vesting commencement date and 1/48 per</w:t>
            </w: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margins for 2008;</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Completion of an initial public offering in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2008;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0"/>
              </w:rPr>
              <w:t>Compliance with 2008 budget for expenses and</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cash outflows.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-2026920</wp:posOffset>
            </wp:positionV>
            <wp:extent cx="63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-2026920</wp:posOffset>
            </wp:positionV>
            <wp:extent cx="1841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-2026920</wp:posOffset>
            </wp:positionV>
            <wp:extent cx="1841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-2026920</wp:posOffset>
            </wp:positionV>
            <wp:extent cx="1841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light of the performance based option grants made to Mr. Jog and our team-based approach to executive compensation, the compensation committee recommended to the Board, and the Board approved similar grants for all other named executive officers other than Mr. Worthington. Thus, Mr. Jones, Mr. Smith and Ms. Yow each received two additional options to purchase 14,285 shares on April 24, 2008. The first option becomes fully vested on the earlier of December 11, 2011 or, with respect to each officer, December 31, 2008 if that officer meets his or her individual goals for 2008. The second option vest with respects 25% of the shares subject to the option on February 1, 2009 and 1/48th of the shares each month thereafter; provided that the option becomes fully vested on December 31, 2008 if the corporate goals for 2008 are achieved.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Employment and Severance Agreements.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the Board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73"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9"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expected time required for an officer to find comparable employment following a termination event;</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feedback received from potential candidates for officer positions at our company as to the level of severance payments and benefits they would require to leave other employment and join our company;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period of time following a change of control during which management positions are evaluated and subject to a heightened risk of elimination.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all outstanding options granted to our employees will become fully vested upon a change of control if the options are not assumed by the acquiring company.</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resignation of Mr. Lucero, our former Vice President of Sales and Marketing, on March 22, 2008, we entered into a Settlement Agreement and General Release of Claims with Mr. Lucero that provided for mutual releases of us and Mr. Lucero, our continued payment of Mr. Lucero’s salary and health insurance premiums through July 2008 and payment of an additional $144,000 ($90,000 net applicable payroll withholding taxes) to Mr. Lucero. The amount and timing of payments to Mr. Lucero under this agreement were the result of negotiations between us and Mr. Lucero, with the involvement of the compensation committee. The compensation committee concluded that this agreement was in the best interests of our company in reaching an amicable separation with Mr. Lucero.</w:t>
      </w:r>
    </w:p>
    <w:p>
      <w:pPr>
        <w:spacing w:after="0" w:line="71"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In connection with Mr. DeLateur’s resignation, we entered into a consulting agreement dated February 29, 2008. Under the consulting agreement, we agreed to pay Mr. DeLateur $200 per hour for performing various consulting services, provided that Mr. DeLateur work no more than five hours per week without our written authorization. We entered into this arrangement to ensure that Mr. DeLateur would be available as needed to ensure an orderly transition to our new Chief Financial Officer, Mr. Jog.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Benefits.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Executive officers are eligible to participate in all of our employee benefit plans, such as medical, dental, vision, group life, disability, and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CEO Loan and Stock Repurchase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On January 20, 2004, we entered into an Employee Loan Agreement, Secured Promissory Note and Stock Pledge Agreement with Mr. Worthington pursuant to which we loaned Mr. Worthington $250,000 at an interest 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16" w:lineRule="auto"/>
        <w:rPr>
          <w:sz w:val="20"/>
          <w:szCs w:val="20"/>
          <w:color w:val="auto"/>
        </w:rPr>
      </w:pPr>
      <w:r>
        <w:rPr>
          <w:rFonts w:ascii="Arial" w:cs="Arial" w:eastAsia="Arial" w:hAnsi="Arial"/>
          <w:sz w:val="11"/>
          <w:szCs w:val="11"/>
          <w:color w:val="auto"/>
        </w:rPr>
        <w:t>of 3.52% per annum. The loan was secured by the pledge of 238,095 shares of our common stock held by Mr. Worthington. On April 10, 2008, Mr. Worthington repaid the loan in full in accordance with Section 2.2(d) of the note by exchanging shares of our common stock held by Mr. Worthington to us at the fair market value of such stock, which was determined by the Board of Directors to be $11.16 per share. The note and Mr. Worthington’s loan were repaid in full and cancelled in exchange for 25,975 shares of our common stock which Mr. Worthington transferred to us pursuant to the terms of a repurchase agreement dated April 10, 2008. This loan repayment and share cancellation transaction were approved by the Board based on its determination that we received full and fair consideration for the cancellation of the loan and that the cancellation of the loan was in the best interests of our company and its stockholders.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and Tax Considerations</w:t>
      </w:r>
    </w:p>
    <w:p>
      <w:pPr>
        <w:spacing w:after="0" w:line="9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in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2008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6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following table presents information concerning the total compensation of our Chief Executive Officer, Chief Financial Officer and our four other most highly compensated officers during the last fiscal year (the “Named Executive Officers”) for services rendered to us in all capacities for the fiscal year ended December 29, 2007:</w:t>
      </w:r>
    </w:p>
    <w:p>
      <w:pPr>
        <w:spacing w:after="0" w:line="11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Summary Compensation Table</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Non-Equity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Salary</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4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Principal Position</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140" w:type="dxa"/>
            <w:vAlign w:val="bottom"/>
          </w:tcPr>
          <w:p>
            <w:pPr>
              <w:spacing w:after="0"/>
              <w:rPr>
                <w:sz w:val="10"/>
                <w:szCs w:val="10"/>
                <w:color w:val="auto"/>
              </w:rPr>
            </w:pPr>
          </w:p>
        </w:tc>
        <w:tc>
          <w:tcPr>
            <w:tcW w:w="56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9"/>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(6)</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270,400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30,672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315,247</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President and Chief</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Richard A. DeLateur</w:t>
            </w:r>
            <w:r>
              <w:rPr>
                <w:rFonts w:ascii="Arial" w:cs="Arial" w:eastAsia="Arial" w:hAnsi="Arial"/>
                <w:sz w:val="11"/>
                <w:szCs w:val="11"/>
                <w:color w:val="auto"/>
              </w:rPr>
              <w:t>(2)</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241,375</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71,525</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312,900</w:t>
            </w: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Former Chief Financial Officer</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r>
              <w:rPr>
                <w:rFonts w:ascii="Arial" w:cs="Arial" w:eastAsia="Arial" w:hAnsi="Arial"/>
                <w:sz w:val="11"/>
                <w:szCs w:val="11"/>
                <w:color w:val="auto"/>
              </w:rPr>
              <w:t>(3)</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247,502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15,577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281,629</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Executive Vice President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(4)</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264,517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14,369</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278,886</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Former Executive Vice President,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261,983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35,191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315,724</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Legal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Affairs and General</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Counsel</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Mai Chan (Grace) Yow</w:t>
            </w:r>
            <w:r>
              <w:rPr>
                <w:rFonts w:ascii="Arial" w:cs="Arial" w:eastAsia="Arial" w:hAnsi="Arial"/>
                <w:sz w:val="11"/>
                <w:szCs w:val="11"/>
                <w:color w:val="auto"/>
              </w:rPr>
              <w:t>(5)</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208,044</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84,327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306,371</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Vice President, Worldwide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 Fluidigm Singapore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900" w:right="400" w:hanging="213"/>
        <w:spacing w:after="0" w:line="234"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Amounts represent the aggregate expense recognized for financial statement reporting purposes for fiscal 2007 calculated in accordance with SFAS No. 123(R) without regard for estimated forfeitures. See Note 2 of Notes to Consolidated Financial Statements for a discussion of assumptions made in determining the grant date fair value and compensation expense of our stock options.</w:t>
      </w:r>
    </w:p>
    <w:p>
      <w:pPr>
        <w:ind w:left="900" w:hanging="213"/>
        <w:spacing w:after="0" w:line="225"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Mr. DeLateur resigned effective February 29, 2008. From August 16, 2007 to December 31, 2007, Mr. DeLateur worked for us on a part-time basis.</w:t>
      </w:r>
    </w:p>
    <w:p>
      <w:pPr>
        <w:ind w:left="900" w:hanging="213"/>
        <w:spacing w:after="0" w:line="225"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Mr. Jones took unpaid leave during a portion of 2007.</w:t>
      </w:r>
    </w:p>
    <w:p>
      <w:pPr>
        <w:ind w:left="900" w:hanging="213"/>
        <w:spacing w:after="0" w:line="225"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Mr. Lucero resigned effective March 22, 2008. See “Employment and Severance Agreements.“</w:t>
      </w:r>
    </w:p>
    <w:p>
      <w:pPr>
        <w:ind w:left="900" w:hanging="213"/>
        <w:spacing w:after="0" w:line="225"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Ms. Yow’s salary was converted to US$ using the exchange rate as of December 29, 2007.</w:t>
      </w:r>
    </w:p>
    <w:p>
      <w:pPr>
        <w:jc w:val="both"/>
        <w:ind w:left="900" w:right="160" w:hanging="213"/>
        <w:spacing w:after="0" w:line="236"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The amounts in this column represent total performance-based bonuses earned for service rendered during fiscal 2007 under our incentive bonus plan. Under our incentive bonus plan, each executive was eligible to receive a cash bonus of up to 35% of his or her base salary based on achievement of certain corporate goals and certain individual performance goals. Please see “Incentive Bonus Plan” under “Compensation Discussion and Analysis” above for additional information regarding our fiscal 2007 cash bonuses.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Grants of Plan-Based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information concerning grants of plan-based awards to each of the Named Executive Officers during the fiscal year ended December 29, 2007.</w:t>
      </w: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Grants of Plan-Based Awards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Estimated</w:t>
            </w: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All Option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Payouts Under</w:t>
            </w:r>
          </w:p>
        </w:tc>
        <w:tc>
          <w:tcPr>
            <w:tcW w:w="9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Awards: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7"/>
              </w:rPr>
              <w:t>Non-Equity</w:t>
            </w: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2"/>
              </w:rPr>
              <w:t>Exercise or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Fair Value of</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Awards</w:t>
            </w:r>
          </w:p>
        </w:tc>
        <w:tc>
          <w:tcPr>
            <w:tcW w:w="9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2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Base Price of</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Stock and</w:t>
            </w:r>
          </w:p>
        </w:tc>
        <w:tc>
          <w:tcPr>
            <w:tcW w:w="0" w:type="dxa"/>
            <w:vAlign w:val="bottom"/>
          </w:tcPr>
          <w:p>
            <w:pPr>
              <w:spacing w:after="0"/>
              <w:rPr>
                <w:sz w:val="1"/>
                <w:szCs w:val="1"/>
                <w:color w:val="auto"/>
              </w:rPr>
            </w:pPr>
          </w:p>
        </w:tc>
      </w:tr>
      <w:tr>
        <w:trPr>
          <w:trHeight w:val="118"/>
        </w:trPr>
        <w:tc>
          <w:tcPr>
            <w:tcW w:w="4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Target</w:t>
            </w: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 Awards</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5"/>
        </w:trPr>
        <w:tc>
          <w:tcPr>
            <w:tcW w:w="4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160"/>
              <w:spacing w:after="0"/>
              <w:rPr>
                <w:sz w:val="20"/>
                <w:szCs w:val="20"/>
                <w:color w:val="auto"/>
              </w:rPr>
            </w:pPr>
            <w:r>
              <w:rPr>
                <w:rFonts w:ascii="Arial" w:cs="Arial" w:eastAsia="Arial" w:hAnsi="Arial"/>
                <w:sz w:val="10"/>
                <w:szCs w:val="10"/>
                <w:b w:val="1"/>
                <w:bCs w:val="1"/>
                <w:color w:val="auto"/>
              </w:rPr>
              <w:t>Grant Date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2"/>
              <w:spacing w:after="0"/>
              <w:rPr>
                <w:sz w:val="20"/>
                <w:szCs w:val="20"/>
                <w:color w:val="auto"/>
              </w:rPr>
            </w:pPr>
            <w:r>
              <w:rPr>
                <w:rFonts w:ascii="Arial" w:cs="Arial" w:eastAsia="Arial" w:hAnsi="Arial"/>
                <w:sz w:val="10"/>
                <w:szCs w:val="10"/>
                <w:b w:val="1"/>
                <w:bCs w:val="1"/>
                <w:color w:val="auto"/>
                <w:w w:val="97"/>
              </w:rPr>
              <w:t>($)</w:t>
            </w:r>
          </w:p>
        </w:tc>
        <w:tc>
          <w:tcPr>
            <w:tcW w:w="3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($/Sh)</w:t>
            </w:r>
            <w:r>
              <w:rPr>
                <w:rFonts w:ascii="Arial" w:cs="Arial" w:eastAsia="Arial" w:hAnsi="Arial"/>
                <w:sz w:val="8"/>
                <w:szCs w:val="8"/>
                <w:b w:val="1"/>
                <w:bCs w:val="1"/>
                <w:color w:val="auto"/>
                <w:w w:val="95"/>
              </w:rPr>
              <w:t>(8)</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(7)</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02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0"/>
              </w:rPr>
              <w:t>5/8/2007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44,285</w:t>
            </w:r>
            <w:r>
              <w:rPr>
                <w:rFonts w:ascii="Arial" w:cs="Arial" w:eastAsia="Arial" w:hAnsi="Arial"/>
                <w:sz w:val="11"/>
                <w:szCs w:val="11"/>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131,533</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3"/>
              </w:rPr>
              <w:t>4/24/2007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99,225</w:t>
            </w: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Richard DeLateur</w:t>
            </w: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0"/>
              </w:rPr>
              <w:t>5/8/2007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39,999</w:t>
            </w:r>
            <w:r>
              <w:rPr>
                <w:rFonts w:ascii="Arial" w:cs="Arial" w:eastAsia="Arial" w:hAnsi="Arial"/>
                <w:sz w:val="11"/>
                <w:szCs w:val="11"/>
                <w:color w:val="auto"/>
              </w:rPr>
              <w:t>(2)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4.76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115,674</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3"/>
              </w:rPr>
              <w:t>4/24/2007</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5/8/2007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22,856</w:t>
            </w:r>
            <w:r>
              <w:rPr>
                <w:rFonts w:ascii="Arial" w:cs="Arial" w:eastAsia="Arial" w:hAnsi="Arial"/>
                <w:sz w:val="11"/>
                <w:szCs w:val="11"/>
                <w:color w:val="auto"/>
              </w:rPr>
              <w:t>(6)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69,284</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4/24/2007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Michael Y. Lucero</w:t>
            </w: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0"/>
              </w:rPr>
              <w:t>5/8/2007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7,142</w:t>
            </w:r>
            <w:r>
              <w:rPr>
                <w:rFonts w:ascii="Arial" w:cs="Arial" w:eastAsia="Arial" w:hAnsi="Arial"/>
                <w:sz w:val="11"/>
                <w:szCs w:val="11"/>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4.76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21,753</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3"/>
              </w:rPr>
              <w:t>4/24/2007</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5/8/2007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33,714</w:t>
            </w:r>
            <w:r>
              <w:rPr>
                <w:rFonts w:ascii="Arial" w:cs="Arial" w:eastAsia="Arial" w:hAnsi="Arial"/>
                <w:sz w:val="11"/>
                <w:szCs w:val="11"/>
                <w:color w:val="auto"/>
              </w:rPr>
              <w:t>(4)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101,119</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4/24/2007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Mai Chan (Grace) Yow</w:t>
            </w: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0"/>
              </w:rPr>
              <w:t>5/8/2007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56,857</w:t>
            </w:r>
            <w:r>
              <w:rPr>
                <w:rFonts w:ascii="Arial" w:cs="Arial" w:eastAsia="Arial" w:hAnsi="Arial"/>
                <w:sz w:val="11"/>
                <w:szCs w:val="11"/>
                <w:color w:val="auto"/>
              </w:rPr>
              <w:t>(5)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4.76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165,255</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20" w:type="dxa"/>
            <w:vAlign w:val="bottom"/>
            <w:gridSpan w:val="2"/>
          </w:tcPr>
          <w:p>
            <w:pPr>
              <w:jc w:val="center"/>
              <w:ind w:left="134"/>
              <w:spacing w:after="0"/>
              <w:rPr>
                <w:sz w:val="20"/>
                <w:szCs w:val="20"/>
                <w:color w:val="auto"/>
              </w:rPr>
            </w:pPr>
            <w:r>
              <w:rPr>
                <w:rFonts w:ascii="Arial" w:cs="Arial" w:eastAsia="Arial" w:hAnsi="Arial"/>
                <w:sz w:val="13"/>
                <w:szCs w:val="13"/>
                <w:color w:val="auto"/>
                <w:w w:val="93"/>
              </w:rPr>
              <w:t>4/24/2007</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70,000</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900" w:hanging="213"/>
        <w:spacing w:after="0"/>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2,857 of the shares subject to this grant were vested as of the grant date, 2,857 shares vested on February 1, 2008, 18,571 shares vest on February 1, 2009, and 20,000 shares vest on February 1, 2010.</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19,999 of the shares subject to this grant were vested as of the grant date and 20,000 shares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All of the shares subject to this grant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2,857 of the shares subject to this grant vested on February 1, 2008, 10,857 shares vest on February 1, 2009, and 20,000 shares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14,285 of the shares subject to this grant were vested as of the grant date, 14,285 shares vested on February 1, 2008, 11,428 shares vest on February 1, 2009, and 16,859 shares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2,856 of the shares subject to this grant vest on February 1, 2009 and 20,000 shares vest on February 1, 2010.</w:t>
      </w:r>
    </w:p>
    <w:p>
      <w:pPr>
        <w:ind w:left="900" w:right="18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Amounts represent the aggregate grant date fair value of stock options granted in fiscal 2007, calculated in accordance with SFAS No. 123(R) without regard to estimated forfeitures. See Note 2 of Notes to Consolidated Financial Statements for a discussion of assumptions made in determining the grant date fair value of our stock options.</w:t>
      </w:r>
    </w:p>
    <w:p>
      <w:pPr>
        <w:ind w:left="900" w:hanging="213"/>
        <w:spacing w:after="0"/>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Our shares of common stock were not publicly traded during the 2007 fiscal year; our Board of Directors in good faith determined the fair market value on the date of grant.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Outstanding Equity Awards at Fiscal Year-End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certain information concerning equity awards held by the Named Executive Officers at the end of the fiscal year ended December 29, 2007.</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Option Awards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jc w:val="center"/>
              <w:ind w:right="424"/>
              <w:spacing w:after="0" w:line="81" w:lineRule="exact"/>
              <w:rPr>
                <w:sz w:val="20"/>
                <w:szCs w:val="20"/>
                <w:color w:val="auto"/>
              </w:rPr>
            </w:pPr>
            <w:r>
              <w:rPr>
                <w:rFonts w:ascii="Arial" w:cs="Arial" w:eastAsia="Arial" w:hAnsi="Arial"/>
                <w:sz w:val="9"/>
                <w:szCs w:val="9"/>
                <w:b w:val="1"/>
                <w:bCs w:val="1"/>
                <w:color w:val="auto"/>
              </w:rPr>
              <w:t>Number of</w:t>
            </w:r>
          </w:p>
        </w:tc>
        <w:tc>
          <w:tcPr>
            <w:tcW w:w="13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Number of</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87"/>
              </w:rPr>
              <w:t>Securities</w:t>
            </w:r>
          </w:p>
        </w:tc>
        <w:tc>
          <w:tcPr>
            <w:tcW w:w="13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5"/>
              </w:rPr>
              <w:t>Underlying</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80" w:type="dxa"/>
            <w:vAlign w:val="bottom"/>
          </w:tcPr>
          <w:p>
            <w:pPr>
              <w:spacing w:after="0"/>
              <w:rPr>
                <w:sz w:val="9"/>
                <w:szCs w:val="9"/>
                <w:color w:val="auto"/>
              </w:rPr>
            </w:pPr>
          </w:p>
        </w:tc>
        <w:tc>
          <w:tcPr>
            <w:tcW w:w="8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2"/>
              </w:rPr>
              <w:t>Option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0"/>
              </w:rPr>
              <w:t>Unexercised</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Options (#)</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Options (#)</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2"/>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Unexercisable</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6"/>
              </w:rPr>
              <w:t>Price ($)</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57,142</w:t>
            </w:r>
            <w:r>
              <w:rPr>
                <w:rFonts w:ascii="Arial" w:cs="Arial" w:eastAsia="Arial" w:hAnsi="Arial"/>
                <w:sz w:val="11"/>
                <w:szCs w:val="11"/>
                <w:color w:val="auto"/>
              </w:rPr>
              <w:t>(2)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44,285</w:t>
            </w:r>
            <w:r>
              <w:rPr>
                <w:rFonts w:ascii="Arial" w:cs="Arial" w:eastAsia="Arial" w:hAnsi="Arial"/>
                <w:sz w:val="11"/>
                <w:szCs w:val="11"/>
                <w:color w:val="auto"/>
              </w:rPr>
              <w:t>(3)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Richard DeLateur</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27,142</w:t>
            </w:r>
            <w:r>
              <w:rPr>
                <w:rFonts w:ascii="Arial" w:cs="Arial" w:eastAsia="Arial" w:hAnsi="Arial"/>
                <w:sz w:val="11"/>
                <w:szCs w:val="11"/>
                <w:color w:val="auto"/>
              </w:rPr>
              <w:t>(4)</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67,141</w:t>
            </w:r>
            <w:r>
              <w:rPr>
                <w:rFonts w:ascii="Arial" w:cs="Arial" w:eastAsia="Arial" w:hAnsi="Arial"/>
                <w:sz w:val="11"/>
                <w:szCs w:val="11"/>
                <w:color w:val="auto"/>
              </w:rPr>
              <w:t>(6)</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1.96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12/20/2015</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39,999</w:t>
            </w:r>
            <w:r>
              <w:rPr>
                <w:rFonts w:ascii="Arial" w:cs="Arial" w:eastAsia="Arial" w:hAnsi="Arial"/>
                <w:sz w:val="11"/>
                <w:szCs w:val="11"/>
                <w:color w:val="auto"/>
              </w:rPr>
              <w:t>(5)</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4.76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114,285</w:t>
            </w:r>
            <w:r>
              <w:rPr>
                <w:rFonts w:ascii="Arial" w:cs="Arial" w:eastAsia="Arial" w:hAnsi="Arial"/>
                <w:sz w:val="11"/>
                <w:szCs w:val="11"/>
                <w:color w:val="auto"/>
              </w:rPr>
              <w:t>(22)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22,856</w:t>
            </w:r>
            <w:r>
              <w:rPr>
                <w:rFonts w:ascii="Arial" w:cs="Arial" w:eastAsia="Arial" w:hAnsi="Arial"/>
                <w:sz w:val="11"/>
                <w:szCs w:val="11"/>
                <w:color w:val="auto"/>
              </w:rPr>
              <w:t>(23)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Michael Y. Lucero</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85,714</w:t>
            </w:r>
            <w:r>
              <w:rPr>
                <w:rFonts w:ascii="Arial" w:cs="Arial" w:eastAsia="Arial" w:hAnsi="Arial"/>
                <w:sz w:val="11"/>
                <w:szCs w:val="11"/>
                <w:color w:val="auto"/>
              </w:rPr>
              <w:t>(7)</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1.05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51,428</w:t>
            </w:r>
            <w:r>
              <w:rPr>
                <w:rFonts w:ascii="Arial" w:cs="Arial" w:eastAsia="Arial" w:hAnsi="Arial"/>
                <w:sz w:val="11"/>
                <w:szCs w:val="11"/>
                <w:color w:val="auto"/>
              </w:rPr>
              <w:t>(8)</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1.40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28,571</w:t>
            </w:r>
            <w:r>
              <w:rPr>
                <w:rFonts w:ascii="Arial" w:cs="Arial" w:eastAsia="Arial" w:hAnsi="Arial"/>
                <w:sz w:val="11"/>
                <w:szCs w:val="11"/>
                <w:color w:val="auto"/>
              </w:rPr>
              <w:t>(9)</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1.05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42,857</w:t>
            </w:r>
            <w:r>
              <w:rPr>
                <w:rFonts w:ascii="Arial" w:cs="Arial" w:eastAsia="Arial" w:hAnsi="Arial"/>
                <w:sz w:val="11"/>
                <w:szCs w:val="11"/>
                <w:color w:val="auto"/>
              </w:rPr>
              <w:t>(10)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1.96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20,000</w:t>
            </w:r>
            <w:r>
              <w:rPr>
                <w:rFonts w:ascii="Arial" w:cs="Arial" w:eastAsia="Arial" w:hAnsi="Arial"/>
                <w:sz w:val="11"/>
                <w:szCs w:val="11"/>
                <w:color w:val="auto"/>
              </w:rPr>
              <w:t>(11)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2.90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7,142</w:t>
            </w:r>
            <w:r>
              <w:rPr>
                <w:rFonts w:ascii="Arial" w:cs="Arial" w:eastAsia="Arial" w:hAnsi="Arial"/>
                <w:sz w:val="11"/>
                <w:szCs w:val="11"/>
                <w:color w:val="auto"/>
              </w:rPr>
              <w:t>(12)</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4.76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11,142</w:t>
            </w:r>
            <w:r>
              <w:rPr>
                <w:rFonts w:ascii="Arial" w:cs="Arial" w:eastAsia="Arial" w:hAnsi="Arial"/>
                <w:sz w:val="11"/>
                <w:szCs w:val="11"/>
                <w:color w:val="auto"/>
              </w:rPr>
              <w:t>(13)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12,857</w:t>
            </w:r>
            <w:r>
              <w:rPr>
                <w:rFonts w:ascii="Arial" w:cs="Arial" w:eastAsia="Arial" w:hAnsi="Arial"/>
                <w:sz w:val="11"/>
                <w:szCs w:val="11"/>
                <w:color w:val="auto"/>
              </w:rPr>
              <w:t>(15)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28,571</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28,571</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33,714</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3"/>
                <w:szCs w:val="13"/>
                <w:color w:val="auto"/>
              </w:rPr>
              <w:t>42,857</w:t>
            </w:r>
          </w:p>
        </w:tc>
        <w:tc>
          <w:tcPr>
            <w:tcW w:w="480" w:type="dxa"/>
            <w:vAlign w:val="bottom"/>
          </w:tcPr>
          <w:p>
            <w:pPr>
              <w:jc w:val="right"/>
              <w:ind w:right="244"/>
              <w:spacing w:after="0"/>
              <w:rPr>
                <w:sz w:val="20"/>
                <w:szCs w:val="20"/>
                <w:color w:val="auto"/>
              </w:rPr>
            </w:pPr>
            <w:r>
              <w:rPr>
                <w:rFonts w:ascii="Arial" w:cs="Arial" w:eastAsia="Arial" w:hAnsi="Arial"/>
                <w:sz w:val="11"/>
                <w:szCs w:val="11"/>
                <w:color w:val="auto"/>
                <w:w w:val="81"/>
              </w:rPr>
              <w:t>(19)</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1.96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3,571</w:t>
            </w:r>
            <w:r>
              <w:rPr>
                <w:rFonts w:ascii="Arial" w:cs="Arial" w:eastAsia="Arial" w:hAnsi="Arial"/>
                <w:sz w:val="11"/>
                <w:szCs w:val="11"/>
                <w:color w:val="auto"/>
              </w:rPr>
              <w:t>(20)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10,714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2.90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09/26/2016</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14,285</w:t>
            </w:r>
            <w:r>
              <w:rPr>
                <w:rFonts w:ascii="Arial" w:cs="Arial" w:eastAsia="Arial" w:hAnsi="Arial"/>
                <w:sz w:val="11"/>
                <w:szCs w:val="11"/>
                <w:color w:val="auto"/>
              </w:rPr>
              <w:t>(21)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42,572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4.76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2" w:lineRule="exact"/>
        <w:rPr>
          <w:sz w:val="20"/>
          <w:szCs w:val="20"/>
          <w:color w:val="auto"/>
        </w:rPr>
      </w:pPr>
    </w:p>
    <w:p>
      <w:pPr>
        <w:ind w:left="900" w:right="260" w:hanging="207"/>
        <w:spacing w:after="0" w:line="259"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for any reason which right lapses in accordance with the vesting schedule of the option.</w:t>
      </w:r>
    </w:p>
    <w:p>
      <w:pPr>
        <w:spacing w:after="0" w:line="7" w:lineRule="exact"/>
        <w:rPr>
          <w:rFonts w:ascii="Arial" w:cs="Arial" w:eastAsia="Arial" w:hAnsi="Arial"/>
          <w:sz w:val="10"/>
          <w:szCs w:val="10"/>
          <w:color w:val="auto"/>
        </w:rPr>
      </w:pPr>
    </w:p>
    <w:p>
      <w:pPr>
        <w:ind w:left="900" w:right="100" w:hanging="207"/>
        <w:spacing w:after="0" w:line="259"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17"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2,857 of the shares subject to this grant were vested as of May 8, 2007, the grant date, 2,857 shares vested on February 1, 2008, 18,571 shares vest on February 1, 2009, and 20,000 vest on February 1, 2010.</w:t>
      </w:r>
    </w:p>
    <w:p>
      <w:pPr>
        <w:spacing w:after="0" w:line="4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December 21, 2005 and vest over 4 years. 25% of the shares vest one year after grant and 2.083% of the shares vest at the end of each monthly period thereafter.</w:t>
      </w:r>
    </w:p>
    <w:p>
      <w:pPr>
        <w:spacing w:after="0" w:line="4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19,999 of the shares subject to this grant were vested as of May 8, 2007, the grant date, and 20,000 shares vest on February 1, 2010.</w:t>
      </w:r>
    </w:p>
    <w:p>
      <w:pPr>
        <w:spacing w:after="0" w:line="4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This option may not be exercised prior to vesting.</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00" w:right="20" w:hanging="281"/>
        <w:spacing w:after="0" w:line="259"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000" w:hanging="277"/>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May 8, 2007. All of the shares subject to this grant vest on February 1, 2010.</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at the rate of 2.083% of the shares per month.</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000" w:right="20" w:hanging="281"/>
        <w:spacing w:after="0" w:line="259"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4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May 8, 2007. 2,857 of the shares subject to this grant vested on February 1, 2008, 10,857 shares vest on February 1, 2009, and 20,000 shares vest on February 1, 2010.</w:t>
      </w:r>
    </w:p>
    <w:p>
      <w:pPr>
        <w:spacing w:after="0" w:line="4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August 3,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000" w:right="160" w:hanging="281"/>
        <w:spacing w:after="0" w:line="259"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September 27, 2006. These stock options vest over 4 years in monthly increments. During the first two years, 1.67% of the shares vest each month and during the final two years, 2.5% of the shares vest each month.</w:t>
      </w:r>
    </w:p>
    <w:p>
      <w:pPr>
        <w:spacing w:after="0" w:line="17"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9"/>
          <w:szCs w:val="9"/>
          <w:color w:val="auto"/>
        </w:rPr>
      </w:pPr>
      <w:r>
        <w:rPr>
          <w:rFonts w:ascii="Arial" w:cs="Arial" w:eastAsia="Arial" w:hAnsi="Arial"/>
          <w:sz w:val="9"/>
          <w:szCs w:val="9"/>
          <w:color w:val="auto"/>
        </w:rPr>
        <w:t>14,285 of the shares subject to this grant were vested as of May 8, 2007, the grant date, 14,285 shares vested on February 1, 2008, 11,428 shares vest on February 1, 2009, and 16,859 shares vest on February 1, 2010.</w:t>
      </w:r>
    </w:p>
    <w:p>
      <w:pPr>
        <w:spacing w:after="0" w:line="12" w:lineRule="exact"/>
        <w:rPr>
          <w:rFonts w:ascii="Arial" w:cs="Arial" w:eastAsia="Arial" w:hAnsi="Arial"/>
          <w:sz w:val="9"/>
          <w:szCs w:val="9"/>
          <w:color w:val="auto"/>
        </w:rPr>
      </w:pPr>
    </w:p>
    <w:p>
      <w:pPr>
        <w:ind w:left="1000" w:hanging="281"/>
        <w:spacing w:after="0" w:line="225"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This option was granted on August 3, 2005 and vests over 4 years. Twenty-five percent of the shares vest one year after grant and 2.083% of the shares vest each month thereafter.</w:t>
      </w: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May 8, 2007. 2,856 of the shares subject to this grant vest on February 1, 2009, and 20,000 shares subject to this grant vest on February 1, 2010.</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Employment Agreements and Offer Letters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Richard A DeLateur. </w:t>
      </w:r>
      <w:r>
        <w:rPr>
          <w:rFonts w:ascii="Arial" w:cs="Arial" w:eastAsia="Arial" w:hAnsi="Arial"/>
          <w:sz w:val="13"/>
          <w:szCs w:val="13"/>
          <w:color w:val="auto"/>
        </w:rPr>
        <w:t>We entered into a consulting agreement dated February 29, 2008 with Richard A. DeLateur, our former Chief Financial Officer. Under the consulting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we agreed to pay Mr. DeLateur $200 per hour for performing various consulting services, provided that Mr. DeLateur shall work no more than five hours per week without our written authorization. The consulting agreement terminated on May 17, 2008.</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Michael Y. Lucero. </w:t>
      </w:r>
      <w:r>
        <w:rPr>
          <w:rFonts w:ascii="Arial" w:cs="Arial" w:eastAsia="Arial" w:hAnsi="Arial"/>
          <w:sz w:val="13"/>
          <w:szCs w:val="13"/>
          <w:color w:val="auto"/>
        </w:rPr>
        <w:t>We entered into to a Settlement Agreement and General Release of Claims effective March 30, 2008 with Michael Y. Lucero, our former Executive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of Sales and Marketing. Under the settlement agreement, we agreed, in exchange for a general release of all claims and other customary terms and conditions, (i) to pay Mr. Lucero on each pay day through July 15, 2008 an amount equal to what he would have received on that pay day based on an annual base salary of $265,000 and (ii) to reimburse Mr. Lucero for costs of coverage under the Consolidated Omnibus Budget Reconciliation Act of 1985, or COBRA, that are incurred during April, May, June and July of 2008, in an amount no greater than the amount we contributed on Mr. Lucero’s behalf for February 2008. We also agreed to make a one time payment to Mr. Lucero of $144,000 ($90,000 net of applicable payroll withholding taxes).</w:t>
      </w:r>
    </w:p>
    <w:p>
      <w:pPr>
        <w:spacing w:after="0" w:line="72"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Vikram Jog. </w:t>
      </w:r>
      <w:r>
        <w:rPr>
          <w:rFonts w:ascii="Arial" w:cs="Arial" w:eastAsia="Arial" w:hAnsi="Arial"/>
          <w:sz w:val="12"/>
          <w:szCs w:val="12"/>
          <w:color w:val="auto"/>
        </w:rPr>
        <w:t>We are a party to an offer letter dated January 29, 2008, with Vikram Jog, our Chief Financial Officer. Under the offer letter, we employ Mr. Jog on an at-will basis for</w:t>
      </w:r>
      <w:r>
        <w:rPr>
          <w:rFonts w:ascii="Arial" w:cs="Arial" w:eastAsia="Arial" w:hAnsi="Arial"/>
          <w:sz w:val="12"/>
          <w:szCs w:val="12"/>
          <w:i w:val="1"/>
          <w:iCs w:val="1"/>
          <w:color w:val="auto"/>
        </w:rPr>
        <w:t xml:space="preserve"> </w:t>
      </w:r>
      <w:r>
        <w:rPr>
          <w:rFonts w:ascii="Arial" w:cs="Arial" w:eastAsia="Arial" w:hAnsi="Arial"/>
          <w:sz w:val="12"/>
          <w:szCs w:val="12"/>
          <w:color w:val="auto"/>
        </w:rPr>
        <w:t>no specified term and agreed to pay Mr. Jog an annual base salary of $278,000, which continues to be his base salary. We also agreed to pay Mr. Jog a signing bonus of $20,000 pursuant to his offer letter. Pursuant to the offer letter, we granted Mr. Jog an initial options to purchase a total of 171,428 shares of our common stock.</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Payments Upon Termination or Change of Control</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February 2008, we entered into employment and severance agreements with Gajus V. Worthington, William M. Smith, Mai Chan (Grace) Yow, Robert C. Jones and Vikram Jog, which require us to make payments if the named executive officer’s employment with us is terminated in certain circumstances.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a “change of control” is defined as the occurrence of the following events:</w:t>
      </w:r>
    </w:p>
    <w:p>
      <w:pPr>
        <w:spacing w:after="0" w:line="96" w:lineRule="exact"/>
        <w:rPr>
          <w:sz w:val="20"/>
          <w:szCs w:val="20"/>
          <w:color w:val="auto"/>
        </w:rPr>
      </w:pPr>
    </w:p>
    <w:p>
      <w:pPr>
        <w:ind w:left="1280" w:right="40" w:hanging="190"/>
        <w:spacing w:after="0" w:line="371" w:lineRule="auto"/>
        <w:tabs>
          <w:tab w:leader="none" w:pos="12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2" w:lineRule="exact"/>
        <w:rPr>
          <w:rFonts w:ascii="Arial" w:cs="Arial" w:eastAsia="Arial" w:hAnsi="Arial"/>
          <w:sz w:val="11"/>
          <w:szCs w:val="11"/>
          <w:color w:val="auto"/>
        </w:rPr>
      </w:pPr>
    </w:p>
    <w:p>
      <w:pPr>
        <w:ind w:left="1280" w:right="6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date of the consummation of the sale or disposition by us of all or substantially all of our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“cause” is defined as:</w:t>
      </w:r>
    </w:p>
    <w:p>
      <w:pPr>
        <w:spacing w:after="0" w:line="96" w:lineRule="exact"/>
        <w:rPr>
          <w:sz w:val="20"/>
          <w:szCs w:val="20"/>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 act of dishonesty in connection with a named executive officer’s responsibilities as an employee;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a conviction of, or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any crime involving fraud, embezzlement or any other act of moral turpitude;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gross misconduct;</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 unauthorized use or disclosure of any of our proprietary information or of any other party to whom he or she owes an obligation of nondisclosure as a result of his or her relationship with us;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willful breach of any obligations under any written agreement or covenant with us; or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Pursuant to our employment and severance agreements with Gajus V. Worthington, William M. Smith, Robert C. Jones and Vikram Jog, “good reason” means the occurrence of one or more of the following events effected without the named executive officer’s prior consent, provided that he or she terminates his or her employment within one year thereafter:</w:t>
      </w:r>
    </w:p>
    <w:p>
      <w:pPr>
        <w:spacing w:after="0" w:line="35" w:lineRule="exact"/>
        <w:rPr>
          <w:sz w:val="20"/>
          <w:szCs w:val="20"/>
          <w:color w:val="auto"/>
        </w:rPr>
      </w:pPr>
    </w:p>
    <w:p>
      <w:pPr>
        <w:ind w:left="1280" w:right="40" w:hanging="190"/>
        <w:spacing w:after="0" w:line="264"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material reduction of the named executive officer’s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relocation of the named executive officer to a facility or a location greater than 50 miles from his or her present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Pursuant to our employment and severance agreement with Mai Chan (Grace) Yow, “good reason” means the occurrence of one or more of the following events effected without her consent, provided that she terminates her employment within one year thereafter:</w:t>
      </w:r>
    </w:p>
    <w:p>
      <w:pPr>
        <w:spacing w:after="0" w:line="59" w:lineRule="exact"/>
        <w:rPr>
          <w:sz w:val="20"/>
          <w:szCs w:val="20"/>
          <w:color w:val="auto"/>
        </w:rPr>
      </w:pPr>
    </w:p>
    <w:p>
      <w:pPr>
        <w:ind w:left="1280" w:hanging="190"/>
        <w:spacing w:after="0" w:line="264"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assignment to Ms. Yow of any duties or a reduction of her duties, either of which significantly reduces her responsibilities; provided that the continuance of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material reduction of Ms. Yow’s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relocation of Ms. Yow to a facility or a location outside the country of Singapore;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70" w:lineRule="exact"/>
        <w:rPr>
          <w:sz w:val="20"/>
          <w:szCs w:val="20"/>
          <w:color w:val="auto"/>
        </w:rPr>
      </w:pPr>
    </w:p>
    <w:p>
      <w:pPr>
        <w:ind w:left="1280" w:right="4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amount, payable in accordance with our customary payroll practices, equal to six months of the named executive officer’s base salary in effect immediately prior to the time of termination;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employment and severance agreements further provide that in the event the named executive officer’s employment is terminated by (i) us or our successor without “cause” and within 12 months 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70" w:lineRule="exact"/>
        <w:rPr>
          <w:sz w:val="20"/>
          <w:szCs w:val="20"/>
          <w:color w:val="auto"/>
        </w:rPr>
      </w:pPr>
    </w:p>
    <w:p>
      <w:pPr>
        <w:ind w:left="1280" w:right="420" w:hanging="190"/>
        <w:spacing w:after="0" w:line="276"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describes the payments and benefits that each of our named executive officers would be entitled to receive pursuant to the employment and severance agreements, assuming that each of the following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triggers occurred in December 29, 2007: their employment was terminated without “cause” prior to or after 12 months following a “change of control” and (ii) their employment was terminated without “cause” or for “good reason” within 12 months following a “change of control”.</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gridSpan w:val="5"/>
          </w:tcPr>
          <w:p>
            <w:pPr>
              <w:jc w:val="center"/>
              <w:ind w:right="520"/>
              <w:spacing w:after="0"/>
              <w:rPr>
                <w:sz w:val="20"/>
                <w:szCs w:val="20"/>
                <w:color w:val="auto"/>
              </w:rPr>
            </w:pPr>
            <w:r>
              <w:rPr>
                <w:rFonts w:ascii="Arial" w:cs="Arial" w:eastAsia="Arial" w:hAnsi="Arial"/>
                <w:sz w:val="10"/>
                <w:szCs w:val="10"/>
                <w:b w:val="1"/>
                <w:bCs w:val="1"/>
                <w:color w:val="auto"/>
                <w:w w:val="97"/>
              </w:rPr>
              <w:t>Employment Terminated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without Cause Prior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to or After 12 Months</w:t>
            </w:r>
          </w:p>
        </w:tc>
        <w:tc>
          <w:tcPr>
            <w:tcW w:w="100" w:type="dxa"/>
            <w:vAlign w:val="bottom"/>
          </w:tcPr>
          <w:p>
            <w:pPr>
              <w:spacing w:after="0"/>
              <w:rPr>
                <w:sz w:val="9"/>
                <w:szCs w:val="9"/>
                <w:color w:val="auto"/>
              </w:rPr>
            </w:pPr>
          </w:p>
        </w:tc>
        <w:tc>
          <w:tcPr>
            <w:tcW w:w="3140" w:type="dxa"/>
            <w:vAlign w:val="bottom"/>
            <w:gridSpan w:val="8"/>
            <w:vMerge w:val="restart"/>
          </w:tcPr>
          <w:p>
            <w:pPr>
              <w:jc w:val="center"/>
              <w:ind w:right="240"/>
              <w:spacing w:after="0"/>
              <w:rPr>
                <w:sz w:val="20"/>
                <w:szCs w:val="20"/>
                <w:color w:val="auto"/>
              </w:rPr>
            </w:pPr>
            <w:r>
              <w:rPr>
                <w:rFonts w:ascii="Arial" w:cs="Arial" w:eastAsia="Arial" w:hAnsi="Arial"/>
                <w:sz w:val="10"/>
                <w:szCs w:val="10"/>
                <w:b w:val="1"/>
                <w:bCs w:val="1"/>
                <w:color w:val="auto"/>
                <w:w w:val="96"/>
              </w:rPr>
              <w:t>Employment Terminated within 12 Months</w:t>
            </w: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Following Change of</w:t>
            </w:r>
          </w:p>
        </w:tc>
        <w:tc>
          <w:tcPr>
            <w:tcW w:w="10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Control</w:t>
            </w:r>
          </w:p>
        </w:tc>
        <w:tc>
          <w:tcPr>
            <w:tcW w:w="7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Following Change of Control</w:t>
            </w:r>
            <w:r>
              <w:rPr>
                <w:rFonts w:ascii="Arial" w:cs="Arial" w:eastAsia="Arial" w:hAnsi="Arial"/>
                <w:sz w:val="8"/>
                <w:szCs w:val="8"/>
                <w:b w:val="1"/>
                <w:bCs w:val="1"/>
                <w:color w:val="auto"/>
                <w:w w:val="95"/>
              </w:rPr>
              <w:t>(1)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jc w:val="center"/>
              <w:ind w:right="488"/>
              <w:spacing w:after="0" w:line="81" w:lineRule="exact"/>
              <w:rPr>
                <w:sz w:val="20"/>
                <w:szCs w:val="20"/>
                <w:color w:val="auto"/>
              </w:rPr>
            </w:pPr>
            <w:r>
              <w:rPr>
                <w:rFonts w:ascii="Arial" w:cs="Arial" w:eastAsia="Arial" w:hAnsi="Arial"/>
                <w:sz w:val="9"/>
                <w:szCs w:val="9"/>
                <w:b w:val="1"/>
                <w:bCs w:val="1"/>
                <w:color w:val="auto"/>
              </w:rPr>
              <w:t>Severance</w:t>
            </w:r>
          </w:p>
        </w:tc>
        <w:tc>
          <w:tcPr>
            <w:tcW w:w="80" w:type="dxa"/>
            <w:vAlign w:val="bottom"/>
          </w:tcPr>
          <w:p>
            <w:pPr>
              <w:spacing w:after="0"/>
              <w:rPr>
                <w:sz w:val="7"/>
                <w:szCs w:val="7"/>
                <w:color w:val="auto"/>
              </w:rPr>
            </w:pPr>
          </w:p>
        </w:tc>
        <w:tc>
          <w:tcPr>
            <w:tcW w:w="7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tcPr>
          <w:p>
            <w:pPr>
              <w:jc w:val="center"/>
              <w:ind w:right="580"/>
              <w:spacing w:after="0" w:line="81" w:lineRule="exact"/>
              <w:rPr>
                <w:sz w:val="20"/>
                <w:szCs w:val="20"/>
                <w:color w:val="auto"/>
              </w:rPr>
            </w:pPr>
            <w:r>
              <w:rPr>
                <w:rFonts w:ascii="Arial" w:cs="Arial" w:eastAsia="Arial" w:hAnsi="Arial"/>
                <w:sz w:val="9"/>
                <w:szCs w:val="9"/>
                <w:b w:val="1"/>
                <w:bCs w:val="1"/>
                <w:color w:val="auto"/>
              </w:rPr>
              <w:t>Equity</w:t>
            </w:r>
          </w:p>
        </w:tc>
        <w:tc>
          <w:tcPr>
            <w:tcW w:w="102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Severance</w:t>
            </w:r>
          </w:p>
        </w:tc>
        <w:tc>
          <w:tcPr>
            <w:tcW w:w="100" w:type="dxa"/>
            <w:vAlign w:val="bottom"/>
          </w:tcPr>
          <w:p>
            <w:pPr>
              <w:spacing w:after="0"/>
              <w:rPr>
                <w:sz w:val="7"/>
                <w:szCs w:val="7"/>
                <w:color w:val="auto"/>
              </w:rPr>
            </w:pPr>
          </w:p>
        </w:tc>
        <w:tc>
          <w:tcPr>
            <w:tcW w:w="7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00" w:type="dxa"/>
            <w:vAlign w:val="bottom"/>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w w:val="93"/>
              </w:rPr>
              <w:t>Payments</w:t>
            </w:r>
          </w:p>
        </w:tc>
        <w:tc>
          <w:tcPr>
            <w:tcW w:w="8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0"/>
                <w:szCs w:val="10"/>
                <w:b w:val="1"/>
                <w:bCs w:val="1"/>
                <w:color w:val="auto"/>
                <w:w w:val="93"/>
              </w:rPr>
              <w:t>Acceleration</w:t>
            </w: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Payments</w:t>
            </w:r>
          </w:p>
        </w:tc>
        <w:tc>
          <w:tcPr>
            <w:tcW w:w="10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Benefits</w:t>
            </w:r>
          </w:p>
        </w:tc>
        <w:tc>
          <w:tcPr>
            <w:tcW w:w="0" w:type="dxa"/>
            <w:vAlign w:val="bottom"/>
          </w:tcPr>
          <w:p>
            <w:pPr>
              <w:spacing w:after="0"/>
              <w:rPr>
                <w:sz w:val="1"/>
                <w:szCs w:val="1"/>
                <w:color w:val="auto"/>
              </w:rPr>
            </w:pPr>
          </w:p>
        </w:tc>
      </w:tr>
      <w:tr>
        <w:trPr>
          <w:trHeight w:val="125"/>
        </w:trPr>
        <w:tc>
          <w:tcPr>
            <w:tcW w:w="4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(3)</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135,200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9,213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135,200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3"/>
                <w:szCs w:val="13"/>
                <w:color w:val="auto"/>
              </w:rPr>
              <w:t>William M. Smith</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3"/>
                <w:szCs w:val="13"/>
                <w:color w:val="auto"/>
              </w:rPr>
              <w:t>8,056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2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3"/>
                <w:szCs w:val="13"/>
                <w:color w:val="auto"/>
              </w:rPr>
              <w:t>Vice President, Legal Affairs and General Counsel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Worldwide Manufacturing and Managing Director of</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Fluidigm Singapore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3"/>
                <w:szCs w:val="13"/>
                <w:color w:val="auto"/>
              </w:rPr>
              <w:t>Robert C. Jones</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3"/>
                <w:szCs w:val="13"/>
                <w:color w:val="auto"/>
              </w:rPr>
              <w:t>9,213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2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3"/>
                <w:szCs w:val="13"/>
                <w:color w:val="auto"/>
              </w:rPr>
              <w:t>Executive Vice President, Research and Development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Vikram Jog</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139,000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10,142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10,142</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-1129030</wp:posOffset>
            </wp:positionV>
            <wp:extent cx="2476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63690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4" w:lineRule="exact"/>
        <w:rPr>
          <w:sz w:val="20"/>
          <w:szCs w:val="20"/>
          <w:color w:val="auto"/>
        </w:rPr>
      </w:pPr>
    </w:p>
    <w:p>
      <w:pPr>
        <w:ind w:left="900" w:hanging="213"/>
        <w:spacing w:after="0"/>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Includes involuntary termination other than for cause, death or disability, and voluntary termination for good reason.</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amounts shown in this column are equal to 6 months of the named executive officer’s base salary as of December 29, 2007.</w:t>
      </w:r>
    </w:p>
    <w:p>
      <w:pPr>
        <w:ind w:left="900" w:right="520" w:hanging="213"/>
        <w:spacing w:after="0" w:line="225" w:lineRule="auto"/>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spread value between (i) the unvested portion of all outstanding stock options, equity appreciation rights or similar equity awards held by the named executive officer on December 29, 2007 and (ii) the initial public offering price of our common stock, which we have assumed to be the midpoint of the price range set forth on the cover page of this prospectus.</w:t>
      </w:r>
    </w:p>
    <w:p>
      <w:pPr>
        <w:ind w:left="900" w:right="140" w:hanging="213"/>
        <w:spacing w:after="0" w:line="225" w:lineRule="auto"/>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900" w:hanging="213"/>
        <w:spacing w:after="0"/>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Amount shown has been converted from Singapore dollars to U.S. dollars based on the interbank exchange rate for December 29, 2007 of 1 Singapore dollar = 0.6909 U.S. dollars.</w:t>
      </w:r>
    </w:p>
    <w:p>
      <w:pPr>
        <w:spacing w:after="0" w:line="7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to the benefits described above, our 2008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2008 Equity Incentive Plan.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Board of Directors adopted our 2008 Equity Incentive Plan on January 29, 2008, and we expect our stockholders will approve it prior to the completion of this offer. Subject to stockholder approval, the 2008 Equity Incentive Plan is effective upon its adoption by our Board of Directors,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5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 total of 2,000,000 shares of our common stock are reserved for issuance pursuant to the 2008 Equity Incentive Plan, of which no options are issued and outstanding. In addition, the shares reserved for issuance under our 2008 Equity Incentive Plan will also include (a) those shares reserved but unissued under the 1999 Stock Option</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60" w:lineRule="auto"/>
        <w:rPr>
          <w:sz w:val="20"/>
          <w:szCs w:val="20"/>
          <w:color w:val="auto"/>
        </w:rPr>
      </w:pPr>
      <w:r>
        <w:rPr>
          <w:rFonts w:ascii="Arial" w:cs="Arial" w:eastAsia="Arial" w:hAnsi="Arial"/>
          <w:sz w:val="13"/>
          <w:szCs w:val="13"/>
          <w:color w:val="auto"/>
        </w:rPr>
        <w:t>Plan as of the effective date of the first registration statement filed by us and declared effective with respect to any class of our securities and (b) shares returned to the 1999 Stock Option Plan as the result of expiration or termination of options (provided that the maximum number of shares that may be added to the 2008 Equity Incentive Plan pursuant to (a) and (b) is 3,000,000 shares). The number of shares available for issuance under the 2008 Equity Incentive Plan will also include an annual increase on the first day of each fiscal year beginning in 2009, equal to the lesser of:</w:t>
      </w:r>
    </w:p>
    <w:p>
      <w:pPr>
        <w:spacing w:after="0" w:line="70" w:lineRule="exact"/>
        <w:rPr>
          <w:sz w:val="20"/>
          <w:szCs w:val="20"/>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1,200,000 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4% of the outstanding shares of common stock as of the last day of our immediately preceding fiscal year;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such other amount as our Board of Directors may determine.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Board of Directors or a committee appointed by our Board administers our 2008 Equity Incentive Plan. Our compensation committee will administer our 2008 Equity Incentive Plan after the completion of the offering. In the case of options intended to qualify as “performance-based compensation” within the meaning of Section 162(m) of the Internal Revenue Code, the committee will consist of two or more “outside directors” within the meaning of Section 162(m).</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Subject to the provisions of our 2008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exercise price of options granted under our 2008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 market value on the grant date. Subject to the provisions of our 2008 Equity Incentive Plan, the administrator determines the term of all other options.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Stock appreciation rights may be granted under our 2008 Equity Incentive Plan. Stock appreciation rights allow the recipient to receive the appreciation in the fair market value of our common stock between the exercise date and the date of grant. Subject to the provisions of our 2008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3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Restricted stock may be granted under our 2008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Restricted stock units may be granted under our 2008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Performance units and performance shares may be granted under our 2008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2008 Equity Incentive Plan provides that all non-employee directors will be eligible to receive all types of awards (except for incentive stock options) under the 2008 Equity Incentive Plan. Please see the description of our Outside Director Equity Compensation Policy below.</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the administrator provides otherwise, our 2008 Equity Incentive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2008 Equity Incentive Plan provides that in the event of a merger or “change in control,” as defined in the 2008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1999 Stock Option Plan, as amended</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1999 Stock Option Plan was adopted by our Board of Directors and approved by our stockholders on May 12, 1999. Our 1999 Stock Option Plan was most recently amended on April 24, 2008. Our 1999 Stock Option Plan provides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 Our Board of Directors has decided not to grant any additional options under our 1999 Stock Option Plan following the completion of this offering. However, our 1999 Stock Option Plan will continue to govern the terms and conditions of the outstanding stock options previously granted thereunder.</w:t>
      </w:r>
    </w:p>
    <w:p>
      <w:pPr>
        <w:spacing w:after="0" w:line="5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Subject to the provisions of our 1999 Stock Option Plan, the maximum aggregate number of shares which may be subject to option and sold under our 1999 Stock Option Plan is 4,228,571 shares. As of June 28, 2008, options to purchase 2,373,978 shares of our common stock were outstanding and 601,584 shares were available for future grant under the 1999 Stock Option Plan.</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35"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exercise price of options granted under our 1999 Stock Option Plan must at least be equal to the fair market value of our common stock on the date of grant. The term of an incentive stock option may not exceed 10 years, except that with respect to any optionee who owns 10% of the voting power of all classes of our outstanding stock as of the grant date, the term must not exceed 5 years and the exercise price must equal at least 110% of the fair market value on the grant date. Subject to the provisions of our 1999 Stock Option Plan, the administrator determines the terms of all other options in its discretion.</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 pursuant to our 1999 Stock Option Plan provide that they may be exercised at anytime prior to the expiration of the ten year term of the option. However, in no event may an option be exercised later than the expiration of its term.</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Unless the administrator provides otherwise, our 1999 Stock Option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5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Board of Directors has the authority to amend, suspend or terminate the 1999 Stock Option Plan provided such action does not impair the rights of any optionee without his or her written consent.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Retirement Plans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401(k) Plan. </w:t>
      </w:r>
      <w:r>
        <w:rPr>
          <w:rFonts w:ascii="Arial" w:cs="Arial" w:eastAsia="Arial" w:hAnsi="Arial"/>
          <w:sz w:val="13"/>
          <w:szCs w:val="13"/>
          <w:color w:val="auto"/>
        </w:rPr>
        <w:t>We maintain a tax-qualified retirement plan that provides eligible employees with an opportunity to save for retirement on a tax advantaged basis. Eligible employees</w:t>
      </w:r>
      <w:r>
        <w:rPr>
          <w:rFonts w:ascii="Arial" w:cs="Arial" w:eastAsia="Arial" w:hAnsi="Arial"/>
          <w:sz w:val="13"/>
          <w:szCs w:val="13"/>
          <w:i w:val="1"/>
          <w:iCs w:val="1"/>
          <w:color w:val="auto"/>
        </w:rPr>
        <w:t xml:space="preserve"> </w:t>
      </w:r>
      <w:r>
        <w:rPr>
          <w:rFonts w:ascii="Arial" w:cs="Arial" w:eastAsia="Arial" w:hAnsi="Arial"/>
          <w:sz w:val="13"/>
          <w:szCs w:val="13"/>
          <w:color w:val="auto"/>
        </w:rPr>
        <w:t>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on Liability and Indemnification Matters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67" w:lineRule="exact"/>
        <w:rPr>
          <w:sz w:val="20"/>
          <w:szCs w:val="20"/>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Delaware General Corporation Law;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provides that we indemnify our directors and officers to the fullest extent permitted by Delaware law. Our amended and 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6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director and executive compensation arrangements discussed above in “Management,” we have been a party to the following transactions since January 1, 2005,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Series E Preferred Stock</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table below summarizes purchases of shares of our Series E preferred stock since January 1, 2005, by our directors, executive officers, holders of more than 5% of any class of our voting securities, or any member of the immediate family of or any entities affiliated with any of the foregoing persons. In connection with these sales, we granted the purchasers certain registration rights with respect to their securities. See “Description of Capital Stock — Registration Rights.” Each outstanding share of our preferred stock will be converted automatically into one share of our common stock upon the completion of this offering.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Shares of</w:t>
            </w: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Series E</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Purchasers</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Preferred</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Purchase</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Stock</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46,070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644,980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112,785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1,578,990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60,500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Biomedical Sciences Investment Fund Pte Ltd</w:t>
            </w:r>
            <w:r>
              <w:rPr>
                <w:rFonts w:ascii="Arial" w:cs="Arial" w:eastAsia="Arial" w:hAnsi="Arial"/>
                <w:sz w:val="11"/>
                <w:szCs w:val="11"/>
                <w:color w:val="auto"/>
              </w:rPr>
              <w:t>(4)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1,273,793</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17,833,102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14,284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199,976</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Lehman Brothers Holdings, Inc.</w:t>
            </w:r>
            <w:r>
              <w:rPr>
                <w:rFonts w:ascii="Arial" w:cs="Arial" w:eastAsia="Arial" w:hAnsi="Arial"/>
                <w:sz w:val="11"/>
                <w:szCs w:val="11"/>
                <w:color w:val="auto"/>
              </w:rPr>
              <w:t>(6)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45,642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638,988</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Lilly Ventures</w:t>
            </w:r>
            <w:r>
              <w:rPr>
                <w:rFonts w:ascii="Arial" w:cs="Arial" w:eastAsia="Arial" w:hAnsi="Arial"/>
                <w:sz w:val="11"/>
                <w:szCs w:val="11"/>
                <w:color w:val="auto"/>
              </w:rPr>
              <w:t>(7)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25,642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358,988</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Versant Ventures</w:t>
            </w:r>
            <w:r>
              <w:rPr>
                <w:rFonts w:ascii="Arial" w:cs="Arial" w:eastAsia="Arial" w:hAnsi="Arial"/>
                <w:sz w:val="11"/>
                <w:szCs w:val="11"/>
                <w:color w:val="auto"/>
              </w:rPr>
              <w:t>(8)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71,427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999,978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1,650,143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23,102,002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900" w:hanging="207"/>
        <w:spacing w:after="0" w:line="259" w:lineRule="auto"/>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605 shares purchased by Alloy Partners 2002, L.P., 22,430 shares purchased by Alloy Ventures 2002, L.P. and 23,035 shares purchased by Alloy Ventures 2005, L.P. Michael Hunkapiller, an affiliate of Alloy Ventures, is a member of our Board of Directors.</w:t>
      </w:r>
    </w:p>
    <w:p>
      <w:pPr>
        <w:spacing w:after="0" w:line="17" w:lineRule="exact"/>
        <w:rPr>
          <w:rFonts w:ascii="Arial" w:cs="Arial" w:eastAsia="Arial" w:hAnsi="Arial"/>
          <w:sz w:val="10"/>
          <w:szCs w:val="10"/>
          <w:color w:val="auto"/>
        </w:rPr>
      </w:pP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Bruce Burrows served as member of our Board of Directors from January 3, 2000 to January 15, 2008.</w:t>
      </w:r>
    </w:p>
    <w:p>
      <w:pPr>
        <w:spacing w:after="0" w:line="42" w:lineRule="exact"/>
        <w:rPr>
          <w:rFonts w:ascii="Arial" w:cs="Arial" w:eastAsia="Arial" w:hAnsi="Arial"/>
          <w:sz w:val="10"/>
          <w:szCs w:val="10"/>
          <w:color w:val="auto"/>
        </w:rPr>
      </w:pPr>
    </w:p>
    <w:p>
      <w:pPr>
        <w:ind w:left="900" w:hanging="207"/>
        <w:spacing w:after="0"/>
        <w:tabs>
          <w:tab w:leader="none" w:pos="900" w:val="left"/>
        </w:tabs>
        <w:numPr>
          <w:ilvl w:val="0"/>
          <w:numId w:val="66"/>
        </w:numPr>
        <w:rPr>
          <w:rFonts w:ascii="Arial" w:cs="Arial" w:eastAsia="Arial" w:hAnsi="Arial"/>
          <w:sz w:val="9"/>
          <w:szCs w:val="9"/>
          <w:color w:val="auto"/>
        </w:rPr>
      </w:pPr>
      <w:r>
        <w:rPr>
          <w:rFonts w:ascii="Arial" w:cs="Arial" w:eastAsia="Arial" w:hAnsi="Arial"/>
          <w:sz w:val="9"/>
          <w:szCs w:val="9"/>
          <w:color w:val="auto"/>
        </w:rPr>
        <w:t>Consists of 30,250 shares purchased EuclidSR Biotechnology Partners, L.P. and 30,250 shares purchased by EuclidSR Partners, L.P. Elaine Jones, an affiliate of Euclid SR Partners, is a member of our Board of Directors.</w:t>
      </w:r>
    </w:p>
    <w:p>
      <w:pPr>
        <w:spacing w:after="0" w:line="53" w:lineRule="exact"/>
        <w:rPr>
          <w:rFonts w:ascii="Arial" w:cs="Arial" w:eastAsia="Arial" w:hAnsi="Arial"/>
          <w:sz w:val="9"/>
          <w:szCs w:val="9"/>
          <w:color w:val="auto"/>
        </w:rPr>
      </w:pP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shares issued to Biomedical Sciences Investment Fund Pte Ltd in connection with the conversion of convertible promissory notes.</w:t>
      </w:r>
    </w:p>
    <w:p>
      <w:pPr>
        <w:spacing w:after="0" w:line="42" w:lineRule="exact"/>
        <w:rPr>
          <w:rFonts w:ascii="Arial" w:cs="Arial" w:eastAsia="Arial" w:hAnsi="Arial"/>
          <w:sz w:val="10"/>
          <w:szCs w:val="10"/>
          <w:color w:val="auto"/>
        </w:rPr>
      </w:pP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652 shares purchased by InterWest Investors VII, L.P. and 13,632 shares purchased by InterWest Partners VII, L.P.</w:t>
      </w:r>
    </w:p>
    <w:p>
      <w:pPr>
        <w:spacing w:after="0" w:line="42" w:lineRule="exact"/>
        <w:rPr>
          <w:rFonts w:ascii="Arial" w:cs="Arial" w:eastAsia="Arial" w:hAnsi="Arial"/>
          <w:sz w:val="10"/>
          <w:szCs w:val="10"/>
          <w:color w:val="auto"/>
        </w:rPr>
      </w:pPr>
    </w:p>
    <w:p>
      <w:pPr>
        <w:ind w:left="900" w:right="160" w:hanging="207"/>
        <w:spacing w:after="0" w:line="307" w:lineRule="auto"/>
        <w:tabs>
          <w:tab w:leader="none" w:pos="900" w:val="left"/>
        </w:tabs>
        <w:numPr>
          <w:ilvl w:val="0"/>
          <w:numId w:val="66"/>
        </w:numPr>
        <w:rPr>
          <w:rFonts w:ascii="Arial" w:cs="Arial" w:eastAsia="Arial" w:hAnsi="Arial"/>
          <w:sz w:val="9"/>
          <w:szCs w:val="9"/>
          <w:color w:val="auto"/>
        </w:rPr>
      </w:pPr>
      <w:r>
        <w:rPr>
          <w:rFonts w:ascii="Arial" w:cs="Arial" w:eastAsia="Arial" w:hAnsi="Arial"/>
          <w:sz w:val="9"/>
          <w:szCs w:val="9"/>
          <w:color w:val="auto"/>
        </w:rPr>
        <w:t>Consists of 11,410 shares purchased by Lehman Brothers Healthcare Venture Capital L.P., 2,552 shares purchased by Lehman Brothers Offshore Partnership Account 2000/2001, L.P., 21,840 shares purchased by Lehman Brothers P.A., LLC, and 9,840 purchased by Lehman Brothers Partnership Account 2001/2001, L.P. Hingge Hsu, an affiliate of Lehman Brothers Holdings, Inc., served as a member of our Board of Directors at the time of the financing.</w:t>
      </w: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Ed Torres, an affiliate of Lilly Ventures, served as a member of our Board of Directors at the time of the financing.</w:t>
      </w:r>
    </w:p>
    <w:p>
      <w:pPr>
        <w:spacing w:after="0" w:line="42" w:lineRule="exact"/>
        <w:rPr>
          <w:rFonts w:ascii="Arial" w:cs="Arial" w:eastAsia="Arial" w:hAnsi="Arial"/>
          <w:sz w:val="10"/>
          <w:szCs w:val="10"/>
          <w:color w:val="auto"/>
        </w:rPr>
      </w:pPr>
    </w:p>
    <w:p>
      <w:pPr>
        <w:ind w:left="900" w:right="260" w:hanging="207"/>
        <w:spacing w:after="0" w:line="259" w:lineRule="auto"/>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1,428 shares purchased by Versant Affiliates Fund 1-A, L.P., 3,000 shares purchased by Versant Affiliates Fund 1-B, L.P., 1,285 shares purchased by Versant Side Fund I, L.P. and 65,714 shares purchased by Versant Venture Capital I, L.P. Sam Colella, an affiliate of Versant Ventures, is a member of our Board of Directors.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with the Singapore Government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Convertible Note Financings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18, 2003, we entered into a convertible note purchase agreement (as amended December 17, 2004) with Biomedical Sciences Investment Fund Pte Ltd, or BMSIF, an investment arm of the Singapore Economic Development Board, or EDB. Upon execution of the agreement, BMSIF purchased a convertible promissory note in the principal amount of $2,000,000 at an interest rate equal to 8% per annum. The principal and</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interest on this note was convertible into our Series D preferred stock at a price of $9.80 per share, which was equal to the per share purchase price of our Series D preferred stock sold to other investors in December 2003. This note was converted into 237,895 shares of our Series D preferred stock on December 15, 2005. Additionally, the agreement provided for the issuance of up to two additional convertible promissory notes, each in the principal amount of $1,500,000, or a single additional convertible promissory note in the principal amount of $3,000,000, and all at an interest rate of 8% per annum. Pursuant to the terms of the agreement, on June 20, 2006 we issued a single note in the principal amount of $3,000,000 to BMSIF. The principal and interest on this note was also convertible into our Series D preferred stock at a price of $9.80 per share. This note was converted into 330,612 shares of our Series D preferred stock on July 2, 2007.</w:t>
      </w:r>
    </w:p>
    <w:p>
      <w:pPr>
        <w:spacing w:after="0" w:line="72"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On August 7, 2006, we entered into a second convertible note purchase agreement with BMSIF pursuant to which BMSIF purchased three convertible promissory notes each in the principal amount of $5 million, for an aggregate principal amount of $15,000,000, and each at an interest rate equal to 8% per annum. The principal and interest on these notes was convertible into our Series E preferred stock at a price of $12.60 per share, which represented a 10% discount on the $14.00 per share price at which our Series E preferred stock was sold to other investors in our Series E preferred stock financing which occurred between June 2006 and December 2007. The first note was issued on August 7, 2006 and was converted into 417,351 shares of our Series E preferred stock on March 31, 2007. The second note was issued on November 20, 2006 and was converted into 426,744 shares of our Series E preferred stock on March 31, 2007. The last note was issued on April 19, 2007 and was converted into 429,698 shares of our Series E preferred stock on April 30, 2008. Each such conversion was completed following the agreement of the parties that the required milestones had been met to the parties satisfaction or waived.</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Government Incentive Grants</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In October 2005, Fluidigm Singapore entered into a letter agreement providing for up to SG$10 million (approximately US$7.3 million using June 28, 2008 exchange rates) in incentive grants from the Singapore Economic Development Board, or EDB. The incentive grants are payable for the period August 1, 2005 through July 31, 2010 in connection with the establishment and operation of a research, development and manufacturing center for IFCs in Singapore. 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42"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5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Specifically, this agreement requires that we must employ at least 24 research scientists and engineers in Singapore by December 31, 2009 to remain eligible for incentive grant payments. As of June 28, 2008, we employed 16 research scientists and engineers involved in the research and development of our IFCs.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On February 12, 2007, Fluidigm Singapore entered into a second letter agreement with EDB which provided for up to an additional SG$3.7 million (approximately US$2.7 million using a June 28, 2008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IFC instrumentation. As of June 28, 2008, we employed</w:t>
      </w:r>
    </w:p>
    <w:p>
      <w:pPr>
        <w:spacing w:after="0" w:line="2" w:lineRule="exact"/>
        <w:rPr>
          <w:sz w:val="20"/>
          <w:szCs w:val="20"/>
          <w:color w:val="auto"/>
        </w:rPr>
      </w:pPr>
    </w:p>
    <w:p>
      <w:pPr>
        <w:ind w:left="680" w:right="320"/>
        <w:spacing w:after="0" w:line="258" w:lineRule="auto"/>
        <w:rPr>
          <w:sz w:val="20"/>
          <w:szCs w:val="20"/>
          <w:color w:val="auto"/>
        </w:rPr>
      </w:pPr>
      <w:r>
        <w:rPr>
          <w:rFonts w:ascii="Arial" w:cs="Arial" w:eastAsia="Arial" w:hAnsi="Arial"/>
          <w:sz w:val="13"/>
          <w:szCs w:val="13"/>
          <w:color w:val="auto"/>
        </w:rPr>
        <w:t>10 research scientists and engineers involved in the research and development of our IFC instrumentation. The primary focus of this grant agreement was the ongoing development and manufacture in Singapore of instrumentation to be used with our IFCs. This letter agreement applies to research, development and manufacturing activity by Fluidigm Singapore in Singapore from June 1, 2006 through May 31, 2011.</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Loan to Gajus Worthington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Worthington $250,000 at an interest rate of 3.52% per annum and the principal and interest were not due and payable until 7 years after the date of the loan or upon the earlier occurrence</w:t>
      </w:r>
    </w:p>
    <w:p>
      <w:pPr>
        <w:spacing w:after="0" w:line="31"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of certain events. The loan was secured by the pledge of 238,095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market value of such stock on the date of such sale, which was determined by the Board of Directors to be $11.16 per share. The note and Mr. Worthington’s loan were repaid in full and cancelled in exchange for 25,975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 with Stephen Quake</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May 2006, we entered into an agreement with Stephen Quake pursuant to which we have agreed to pay Dr. Quake $8,333 per month for providing various consulting services to us including serving on our Scientific Advisory Board. The agreement has a term of 10 years and is terminable by us only for cause. At approximately the same time, we repurchased from Dr. Quake approximately 35,421 shares of our common stock for aggregate consideration of $69,425. In 2005 and 2006, we paid Dr. Quake $45,000 and $97,000 pursuant to a consulting agreement that was entered into in 2000 and terminated in 2006. Dr. Quake served as a director of Fluidigm from its inception until December 2005 and, at the time of these transactions, was the holder of more than 5% of our outstanding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Engagement of Townsend and Townsend and Crew LLP</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Since before 2005, the law firm of Townsend and Townsend and Crew LLP, or Townsend, has served as our primary outside patent counsel. William Smith, our Vice President, Legal Affairs and General Counsel as well as our Secretary since May 2000 and a director from May 2000 until April 7, 2008, was a partner at Townsend from</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320" w:lineRule="auto"/>
        <w:rPr>
          <w:sz w:val="20"/>
          <w:szCs w:val="20"/>
          <w:color w:val="auto"/>
        </w:rPr>
      </w:pPr>
      <w:r>
        <w:rPr>
          <w:rFonts w:ascii="Arial" w:cs="Arial" w:eastAsia="Arial" w:hAnsi="Arial"/>
          <w:sz w:val="12"/>
          <w:szCs w:val="12"/>
          <w:color w:val="auto"/>
        </w:rPr>
        <w:t>1985 to April 1, 2008. Amounts paid to Townsend for services and direct patent fees were $880,000, $960,000, $576,000 and $312,000 for 2005, 2006, 2007, and the six months ended June 28, 2008. Accrued amounts payable to Townsend were $174,000, $257,000, and $411,000 as of December 31, 2006, December 29, 2007 and June 28, 2008.</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 Grants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stock option grants to our directors and executive officers and related option grant policies are described above in this prospectus under the caption “Management.”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Arrangements and Indemnification Agreements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entered into employment arrangements with certain of our executive officers. See “Management — Employment Agreements and Offer Letters” above.</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 Limitations on Liability and Indemnification Matters”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 Policy</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policy.</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common stock at June 28, 2008, as adjusted to reflect the sale of common stock offered by us in this offering, for:</w:t>
      </w:r>
    </w:p>
    <w:p>
      <w:pPr>
        <w:spacing w:after="0" w:line="59" w:lineRule="exact"/>
        <w:rPr>
          <w:sz w:val="20"/>
          <w:szCs w:val="20"/>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person who we know beneficially owns more than five percent of our common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Applicable percentage ownership is based on 19,490,535 shares of common stock outstanding at June 28, 2008. For purposes of the table below, we have assumed that</w:t>
      </w:r>
    </w:p>
    <w:p>
      <w:pPr>
        <w:spacing w:after="0" w:line="27" w:lineRule="exact"/>
        <w:rPr>
          <w:sz w:val="20"/>
          <w:szCs w:val="20"/>
          <w:color w:val="auto"/>
        </w:rPr>
      </w:pPr>
    </w:p>
    <w:p>
      <w:pPr>
        <w:ind w:left="680" w:right="20"/>
        <w:spacing w:after="0" w:line="284" w:lineRule="auto"/>
        <w:rPr>
          <w:sz w:val="20"/>
          <w:szCs w:val="20"/>
          <w:color w:val="auto"/>
        </w:rPr>
      </w:pPr>
      <w:r>
        <w:rPr>
          <w:rFonts w:ascii="Arial" w:cs="Arial" w:eastAsia="Arial" w:hAnsi="Arial"/>
          <w:sz w:val="12"/>
          <w:szCs w:val="12"/>
          <w:color w:val="auto"/>
        </w:rPr>
        <w:t>24,790,535 shares of common stock will be outstanding upon completion of this offering, based upon an assumed initial public offering price of $15.00 per share. In computing the number of shares of common 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June 28, 2008. We did not deem these shares outstanding, however, for the purpose of computing the percentage ownership of any other person. Beneficial ownership representing less than one percent is denoted with an “*.”</w:t>
      </w:r>
    </w:p>
    <w:p>
      <w:pPr>
        <w:spacing w:after="0" w:line="5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Unless otherwise indicated, the address of each beneficial owner listed in the table below is c/o Fluidigm Corporation, 7000 Shoreline Court, Suite 100, South San Francisco, California 94080.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0"/>
                <w:szCs w:val="10"/>
                <w:b w:val="1"/>
                <w:bCs w:val="1"/>
                <w:color w:val="auto"/>
              </w:rPr>
              <w:t>Beneficial Ownership</w:t>
            </w:r>
          </w:p>
        </w:tc>
        <w:tc>
          <w:tcPr>
            <w:tcW w:w="2000" w:type="dxa"/>
            <w:vAlign w:val="bottom"/>
            <w:gridSpan w:val="4"/>
          </w:tcPr>
          <w:p>
            <w:pPr>
              <w:jc w:val="right"/>
              <w:ind w:right="580"/>
              <w:spacing w:after="0"/>
              <w:rPr>
                <w:sz w:val="20"/>
                <w:szCs w:val="20"/>
                <w:color w:val="auto"/>
              </w:rPr>
            </w:pPr>
            <w:r>
              <w:rPr>
                <w:rFonts w:ascii="Arial" w:cs="Arial" w:eastAsia="Arial" w:hAnsi="Arial"/>
                <w:sz w:val="10"/>
                <w:szCs w:val="10"/>
                <w:b w:val="1"/>
                <w:bCs w:val="1"/>
                <w:color w:val="auto"/>
              </w:rPr>
              <w:t>Beneficial Ownership</w:t>
            </w:r>
          </w:p>
        </w:tc>
        <w:tc>
          <w:tcPr>
            <w:tcW w:w="0" w:type="dxa"/>
            <w:vAlign w:val="bottom"/>
          </w:tcPr>
          <w:p>
            <w:pPr>
              <w:spacing w:after="0"/>
              <w:rPr>
                <w:sz w:val="1"/>
                <w:szCs w:val="1"/>
                <w:color w:val="auto"/>
              </w:rPr>
            </w:pPr>
          </w:p>
        </w:tc>
      </w:tr>
      <w:tr>
        <w:trPr>
          <w:trHeight w:val="125"/>
        </w:trPr>
        <w:tc>
          <w:tcPr>
            <w:tcW w:w="56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2340" w:type="dxa"/>
            <w:vAlign w:val="bottom"/>
            <w:gridSpan w:val="4"/>
          </w:tcPr>
          <w:p>
            <w:pPr>
              <w:jc w:val="right"/>
              <w:ind w:right="940"/>
              <w:spacing w:after="0"/>
              <w:rPr>
                <w:sz w:val="20"/>
                <w:szCs w:val="20"/>
                <w:color w:val="auto"/>
              </w:rPr>
            </w:pPr>
            <w:r>
              <w:rPr>
                <w:rFonts w:ascii="Arial" w:cs="Arial" w:eastAsia="Arial" w:hAnsi="Arial"/>
                <w:sz w:val="10"/>
                <w:szCs w:val="10"/>
                <w:b w:val="1"/>
                <w:bCs w:val="1"/>
                <w:color w:val="auto"/>
              </w:rPr>
              <w:t>Prior to the Offering</w:t>
            </w:r>
          </w:p>
        </w:tc>
        <w:tc>
          <w:tcPr>
            <w:tcW w:w="2000" w:type="dxa"/>
            <w:vAlign w:val="bottom"/>
            <w:gridSpan w:val="4"/>
          </w:tcPr>
          <w:p>
            <w:pPr>
              <w:jc w:val="right"/>
              <w:ind w:right="640"/>
              <w:spacing w:after="0"/>
              <w:rPr>
                <w:sz w:val="20"/>
                <w:szCs w:val="20"/>
                <w:color w:val="auto"/>
              </w:rPr>
            </w:pPr>
            <w:r>
              <w:rPr>
                <w:rFonts w:ascii="Arial" w:cs="Arial" w:eastAsia="Arial" w:hAnsi="Arial"/>
                <w:sz w:val="10"/>
                <w:szCs w:val="10"/>
                <w:b w:val="1"/>
                <w:bCs w:val="1"/>
                <w:color w:val="auto"/>
              </w:rPr>
              <w:t>After the Offering</w:t>
            </w:r>
          </w:p>
        </w:tc>
        <w:tc>
          <w:tcPr>
            <w:tcW w:w="0" w:type="dxa"/>
            <w:vAlign w:val="bottom"/>
          </w:tcPr>
          <w:p>
            <w:pPr>
              <w:spacing w:after="0"/>
              <w:rPr>
                <w:sz w:val="1"/>
                <w:szCs w:val="1"/>
                <w:color w:val="auto"/>
              </w:rPr>
            </w:pPr>
          </w:p>
        </w:tc>
      </w:tr>
      <w:tr>
        <w:trPr>
          <w:trHeight w:val="108"/>
        </w:trPr>
        <w:tc>
          <w:tcPr>
            <w:tcW w:w="5640" w:type="dxa"/>
            <w:vAlign w:val="bottom"/>
            <w:vMerge w:val="continue"/>
          </w:tcPr>
          <w:p>
            <w:pPr>
              <w:spacing w:after="0"/>
              <w:rPr>
                <w:sz w:val="9"/>
                <w:szCs w:val="9"/>
                <w:color w:val="auto"/>
              </w:rPr>
            </w:pPr>
          </w:p>
        </w:tc>
        <w:tc>
          <w:tcPr>
            <w:tcW w:w="1180" w:type="dxa"/>
            <w:vAlign w:val="bottom"/>
            <w:tcBorders>
              <w:top w:val="single" w:sz="8" w:color="auto"/>
            </w:tcBorders>
            <w:gridSpan w:val="2"/>
          </w:tcPr>
          <w:p>
            <w:pPr>
              <w:ind w:left="240"/>
              <w:spacing w:after="0" w:line="108" w:lineRule="exact"/>
              <w:rPr>
                <w:sz w:val="20"/>
                <w:szCs w:val="20"/>
                <w:color w:val="auto"/>
              </w:rPr>
            </w:pPr>
            <w:r>
              <w:rPr>
                <w:rFonts w:ascii="Arial" w:cs="Arial" w:eastAsia="Arial" w:hAnsi="Arial"/>
                <w:sz w:val="10"/>
                <w:szCs w:val="10"/>
                <w:b w:val="1"/>
                <w:bCs w:val="1"/>
                <w:color w:val="auto"/>
              </w:rPr>
              <w:t>Shares</w:t>
            </w:r>
          </w:p>
        </w:tc>
        <w:tc>
          <w:tcPr>
            <w:tcW w:w="700" w:type="dxa"/>
            <w:vAlign w:val="bottom"/>
            <w:tcBorders>
              <w:top w:val="single" w:sz="8" w:color="auto"/>
            </w:tcBorders>
          </w:tcPr>
          <w:p>
            <w:pPr>
              <w:jc w:val="right"/>
              <w:ind w:right="35"/>
              <w:spacing w:after="0" w:line="108" w:lineRule="exact"/>
              <w:rPr>
                <w:sz w:val="20"/>
                <w:szCs w:val="20"/>
                <w:color w:val="auto"/>
              </w:rPr>
            </w:pPr>
            <w:r>
              <w:rPr>
                <w:rFonts w:ascii="Arial" w:cs="Arial" w:eastAsia="Arial" w:hAnsi="Arial"/>
                <w:sz w:val="10"/>
                <w:szCs w:val="10"/>
                <w:b w:val="1"/>
                <w:bCs w:val="1"/>
                <w:color w:val="auto"/>
              </w:rPr>
              <w:t>Percentage</w:t>
            </w:r>
          </w:p>
        </w:tc>
        <w:tc>
          <w:tcPr>
            <w:tcW w:w="460" w:type="dxa"/>
            <w:vAlign w:val="bottom"/>
          </w:tcPr>
          <w:p>
            <w:pPr>
              <w:spacing w:after="0"/>
              <w:rPr>
                <w:sz w:val="9"/>
                <w:szCs w:val="9"/>
                <w:color w:val="auto"/>
              </w:rPr>
            </w:pPr>
          </w:p>
        </w:tc>
        <w:tc>
          <w:tcPr>
            <w:tcW w:w="1200" w:type="dxa"/>
            <w:vAlign w:val="bottom"/>
            <w:tcBorders>
              <w:top w:val="single" w:sz="8" w:color="auto"/>
            </w:tcBorders>
            <w:gridSpan w:val="2"/>
          </w:tcPr>
          <w:p>
            <w:pPr>
              <w:jc w:val="right"/>
              <w:ind w:right="640"/>
              <w:spacing w:after="0" w:line="108" w:lineRule="exact"/>
              <w:rPr>
                <w:sz w:val="20"/>
                <w:szCs w:val="20"/>
                <w:color w:val="auto"/>
              </w:rPr>
            </w:pPr>
            <w:r>
              <w:rPr>
                <w:rFonts w:ascii="Arial" w:cs="Arial" w:eastAsia="Arial" w:hAnsi="Arial"/>
                <w:sz w:val="10"/>
                <w:szCs w:val="10"/>
                <w:b w:val="1"/>
                <w:bCs w:val="1"/>
                <w:color w:val="auto"/>
              </w:rPr>
              <w:t>Shares</w:t>
            </w:r>
          </w:p>
        </w:tc>
        <w:tc>
          <w:tcPr>
            <w:tcW w:w="680" w:type="dxa"/>
            <w:vAlign w:val="bottom"/>
            <w:tcBorders>
              <w:top w:val="single" w:sz="8" w:color="auto"/>
            </w:tcBorders>
          </w:tcPr>
          <w:p>
            <w:pPr>
              <w:jc w:val="right"/>
              <w:ind w:right="35"/>
              <w:spacing w:after="0" w:line="108" w:lineRule="exact"/>
              <w:rPr>
                <w:sz w:val="20"/>
                <w:szCs w:val="20"/>
                <w:color w:val="auto"/>
              </w:rPr>
            </w:pPr>
            <w:r>
              <w:rPr>
                <w:rFonts w:ascii="Arial" w:cs="Arial" w:eastAsia="Arial" w:hAnsi="Arial"/>
                <w:sz w:val="10"/>
                <w:szCs w:val="10"/>
                <w:b w:val="1"/>
                <w:bCs w:val="1"/>
                <w:color w:val="auto"/>
              </w:rPr>
              <w:t>Percentage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6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1,066,477</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5.47%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1,066,477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1,399,710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1,399,710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Entities affiliated with the Singapore government</w:t>
            </w:r>
            <w:r>
              <w:rPr>
                <w:rFonts w:ascii="Arial" w:cs="Arial" w:eastAsia="Arial" w:hAnsi="Arial"/>
                <w:sz w:val="11"/>
                <w:szCs w:val="11"/>
                <w:color w:val="auto"/>
              </w:rPr>
              <w:t>(3)</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2,573,988</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13.21%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2,573,988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10.38%</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Fidelity Funds</w:t>
            </w:r>
            <w:r>
              <w:rPr>
                <w:rFonts w:ascii="Arial" w:cs="Arial" w:eastAsia="Arial" w:hAnsi="Arial"/>
                <w:sz w:val="11"/>
                <w:szCs w:val="11"/>
                <w:color w:val="auto"/>
              </w:rPr>
              <w:t>(4)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1,785,714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9.16%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1,785,714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1,079,107</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5.54%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1,079,107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Lehman Funds</w:t>
            </w:r>
            <w:r>
              <w:rPr>
                <w:rFonts w:ascii="Arial" w:cs="Arial" w:eastAsia="Arial" w:hAnsi="Arial"/>
                <w:sz w:val="11"/>
                <w:szCs w:val="11"/>
                <w:color w:val="auto"/>
              </w:rPr>
              <w:t>(6)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1,055,398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5.41%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1,055,398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SMALLCAP World Fund, Inc.</w:t>
            </w:r>
            <w:r>
              <w:rPr>
                <w:rFonts w:ascii="Arial" w:cs="Arial" w:eastAsia="Arial" w:hAnsi="Arial"/>
                <w:sz w:val="11"/>
                <w:szCs w:val="11"/>
                <w:color w:val="auto"/>
              </w:rPr>
              <w:t>(7)</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1,251,055</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6.42%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1,251,055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Versant Funds</w:t>
            </w:r>
            <w:r>
              <w:rPr>
                <w:rFonts w:ascii="Arial" w:cs="Arial" w:eastAsia="Arial" w:hAnsi="Arial"/>
                <w:sz w:val="11"/>
                <w:szCs w:val="11"/>
                <w:color w:val="auto"/>
              </w:rPr>
              <w:t>(8)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1,679,988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1,679,988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Bruce Burrows</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1,042,094</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5.35%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1,042,094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Gajus V. Worthington</w:t>
            </w:r>
            <w:r>
              <w:rPr>
                <w:rFonts w:ascii="Arial" w:cs="Arial" w:eastAsia="Arial" w:hAnsi="Arial"/>
                <w:sz w:val="11"/>
                <w:szCs w:val="11"/>
                <w:color w:val="auto"/>
              </w:rPr>
              <w:t>(9)</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810,307</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4.13%</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810,307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Richard DeLateur</w:t>
            </w:r>
            <w:r>
              <w:rPr>
                <w:rFonts w:ascii="Arial" w:cs="Arial" w:eastAsia="Arial" w:hAnsi="Arial"/>
                <w:sz w:val="11"/>
                <w:szCs w:val="11"/>
                <w:color w:val="auto"/>
              </w:rPr>
              <w:t>(10)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76,330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76,330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Robert C. Jones</w:t>
            </w:r>
            <w:r>
              <w:rPr>
                <w:rFonts w:ascii="Arial" w:cs="Arial" w:eastAsia="Arial" w:hAnsi="Arial"/>
                <w:sz w:val="11"/>
                <w:szCs w:val="11"/>
                <w:color w:val="auto"/>
              </w:rPr>
              <w:t>(11)</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197,139</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1.00%*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197,139</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(12)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William M. Smith</w:t>
            </w:r>
            <w:r>
              <w:rPr>
                <w:rFonts w:ascii="Arial" w:cs="Arial" w:eastAsia="Arial" w:hAnsi="Arial"/>
                <w:sz w:val="11"/>
                <w:szCs w:val="11"/>
                <w:color w:val="auto"/>
              </w:rPr>
              <w:t>(13)</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319,138</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1.62%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319,138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Mai Chan (Grace) Yow</w:t>
            </w:r>
            <w:r>
              <w:rPr>
                <w:rFonts w:ascii="Arial" w:cs="Arial" w:eastAsia="Arial" w:hAnsi="Arial"/>
                <w:sz w:val="11"/>
                <w:szCs w:val="11"/>
                <w:color w:val="auto"/>
              </w:rPr>
              <w:t>(14)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88,332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88,332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Vikram Jog</w:t>
            </w:r>
            <w:r>
              <w:rPr>
                <w:rFonts w:ascii="Arial" w:cs="Arial" w:eastAsia="Arial" w:hAnsi="Arial"/>
                <w:sz w:val="11"/>
                <w:szCs w:val="11"/>
                <w:color w:val="auto"/>
              </w:rPr>
              <w:t>(15)</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171,427</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171,427</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1,679,988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1,679,988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Michael Hunkapiller</w:t>
            </w:r>
            <w:r>
              <w:rPr>
                <w:rFonts w:ascii="Arial" w:cs="Arial" w:eastAsia="Arial" w:hAnsi="Arial"/>
                <w:sz w:val="11"/>
                <w:szCs w:val="11"/>
                <w:color w:val="auto"/>
              </w:rPr>
              <w:t>(1)</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1,066,477</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5.47%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1,066,477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Elaine V. Jones</w:t>
            </w:r>
            <w:r>
              <w:rPr>
                <w:rFonts w:ascii="Arial" w:cs="Arial" w:eastAsia="Arial" w:hAnsi="Arial"/>
                <w:sz w:val="11"/>
                <w:szCs w:val="11"/>
                <w:color w:val="auto"/>
              </w:rPr>
              <w:t>(2)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1,399,710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1,399,710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57"/>
        </w:trPr>
        <w:tc>
          <w:tcPr>
            <w:tcW w:w="5640" w:type="dxa"/>
            <w:vAlign w:val="bottom"/>
          </w:tcPr>
          <w:p>
            <w:pPr>
              <w:ind w:left="140"/>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(16)</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40,178</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40,178</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John Young</w:t>
            </w:r>
            <w:r>
              <w:rPr>
                <w:rFonts w:ascii="Arial" w:cs="Arial" w:eastAsia="Arial" w:hAnsi="Arial"/>
                <w:sz w:val="11"/>
                <w:szCs w:val="11"/>
                <w:color w:val="auto"/>
              </w:rPr>
              <w:t>(17)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5640" w:type="dxa"/>
            <w:vAlign w:val="bottom"/>
          </w:tcPr>
          <w:p>
            <w:pPr>
              <w:spacing w:after="0"/>
              <w:rPr>
                <w:sz w:val="20"/>
                <w:szCs w:val="20"/>
                <w:color w:val="auto"/>
              </w:rPr>
            </w:pPr>
            <w:r>
              <w:rPr>
                <w:rFonts w:ascii="Arial" w:cs="Arial" w:eastAsia="Arial" w:hAnsi="Arial"/>
                <w:sz w:val="13"/>
                <w:szCs w:val="13"/>
                <w:color w:val="auto"/>
              </w:rPr>
              <w:t>All directors and executive officers as a group (12 persons)</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5,849,026</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28.72%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5,849,026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1000" w:hanging="313"/>
        <w:spacing w:after="0"/>
        <w:tabs>
          <w:tab w:leader="none" w:pos="1000" w:val="left"/>
        </w:tabs>
        <w:numPr>
          <w:ilvl w:val="0"/>
          <w:numId w:val="68"/>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42" w:lineRule="exact"/>
        <w:rPr>
          <w:sz w:val="20"/>
          <w:szCs w:val="20"/>
          <w:color w:val="auto"/>
        </w:rPr>
      </w:pPr>
    </w:p>
    <w:p>
      <w:pPr>
        <w:ind w:left="1000" w:right="40" w:hanging="313"/>
        <w:spacing w:after="0" w:line="259" w:lineRule="auto"/>
        <w:tabs>
          <w:tab w:leader="none" w:pos="10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533,239 shares held of record by Alloy Ventures 2005, L.P., 519,220 shares held of record by Alloy Ventures 2002, L.P., and 14,018 shares held of record by Alloy Partners 2002, L.P. Michael Hunkapiller, a member of our Board of Directors, is a Managing Member</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000" w:right="320"/>
        <w:spacing w:after="0" w:line="234" w:lineRule="auto"/>
        <w:rPr>
          <w:sz w:val="20"/>
          <w:szCs w:val="20"/>
          <w:color w:val="auto"/>
        </w:rPr>
      </w:pPr>
      <w:r>
        <w:rPr>
          <w:rFonts w:ascii="Arial" w:cs="Arial" w:eastAsia="Arial" w:hAnsi="Arial"/>
          <w:sz w:val="10"/>
          <w:szCs w:val="10"/>
          <w:color w:val="auto"/>
        </w:rPr>
        <w:t>of Alloy Ventures 2005, LLC, the General Partner of Alloy Ventures 2005, L.P. Alloy Ventures 2002, LLC is the General Partner of Alloy Ventures 2002, L.P. and Alloy Partners 2002, L.P. The Managing Members of Alloy Ventures 2002, LLC are Craig C. Taylor,</w:t>
      </w:r>
    </w:p>
    <w:p>
      <w:pPr>
        <w:ind w:left="1000" w:right="100"/>
        <w:spacing w:after="0" w:line="273" w:lineRule="auto"/>
        <w:rPr>
          <w:sz w:val="20"/>
          <w:szCs w:val="20"/>
          <w:color w:val="auto"/>
        </w:rPr>
      </w:pPr>
      <w:r>
        <w:rPr>
          <w:rFonts w:ascii="Arial" w:cs="Arial" w:eastAsia="Arial" w:hAnsi="Arial"/>
          <w:sz w:val="9"/>
          <w:szCs w:val="9"/>
          <w:color w:val="auto"/>
        </w:rPr>
        <w:t>John F. Shoch, Douglas E. Kelly, Daniel I. Rubin and Tony Di Bona. Each of the Managing Members of Alloy Ventures 2002, LLC is also a Managing Member of Alloy Ventures 2005, LLC.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12" w:lineRule="exact"/>
        <w:rPr>
          <w:sz w:val="20"/>
          <w:szCs w:val="20"/>
          <w:color w:val="auto"/>
        </w:rPr>
      </w:pPr>
    </w:p>
    <w:p>
      <w:pPr>
        <w:ind w:left="1000" w:right="60" w:hanging="313"/>
        <w:spacing w:after="0" w:line="235"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699,855 shares held of record by EuclidSR Partners, L.P. and 699,855 shares held of record by EuclidSR Biotechnology Partners, L.P. Elaine V. Jones, a member of our Board of Directors shares voting and investment power with Graham D.S. Anderson, Raymond J. Whitaker,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3240, New York, NY 10111.</w:t>
      </w:r>
    </w:p>
    <w:p>
      <w:pPr>
        <w:spacing w:after="0" w:line="26" w:lineRule="exact"/>
        <w:rPr>
          <w:rFonts w:ascii="Arial" w:cs="Arial" w:eastAsia="Arial" w:hAnsi="Arial"/>
          <w:sz w:val="10"/>
          <w:szCs w:val="10"/>
          <w:color w:val="auto"/>
        </w:rPr>
      </w:pPr>
    </w:p>
    <w:p>
      <w:pPr>
        <w:ind w:left="1000" w:right="60" w:hanging="313"/>
        <w:spacing w:after="0" w:line="235"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2,352,504 shares held of record by Biomedical Sciences Investment Fund Pte Ltd which includes 429,698 shares issued upon conversion of a convertible promissory note, and 221,484 shares held of record by Singapore Bio-Innovations Pte Ltd, EDB Investments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20 Biopolis Way, #09-01 Centros, Singapore 138668.</w:t>
      </w:r>
    </w:p>
    <w:p>
      <w:pPr>
        <w:spacing w:after="0" w:line="26" w:lineRule="exact"/>
        <w:rPr>
          <w:rFonts w:ascii="Arial" w:cs="Arial" w:eastAsia="Arial" w:hAnsi="Arial"/>
          <w:sz w:val="10"/>
          <w:szCs w:val="10"/>
          <w:color w:val="auto"/>
        </w:rPr>
      </w:pPr>
    </w:p>
    <w:p>
      <w:pPr>
        <w:ind w:left="1000" w:hanging="313"/>
        <w:spacing w:after="0"/>
        <w:tabs>
          <w:tab w:leader="none" w:pos="1000" w:val="left"/>
        </w:tabs>
        <w:numPr>
          <w:ilvl w:val="0"/>
          <w:numId w:val="70"/>
        </w:numPr>
        <w:rPr>
          <w:rFonts w:ascii="Arial" w:cs="Arial" w:eastAsia="Arial" w:hAnsi="Arial"/>
          <w:sz w:val="9"/>
          <w:szCs w:val="9"/>
          <w:color w:val="auto"/>
        </w:rPr>
      </w:pPr>
      <w:r>
        <w:rPr>
          <w:rFonts w:ascii="Arial" w:cs="Arial" w:eastAsia="Arial" w:hAnsi="Arial"/>
          <w:sz w:val="9"/>
          <w:szCs w:val="9"/>
          <w:color w:val="auto"/>
        </w:rPr>
        <w:t>Consists of 137,477 shares held of record by Fidelity Contrafund: Fidelity Advisor New Insights Fund, 1,254,247 shares held of record by Fidelity Contrafund: Fidelity Contrafund and 393,990 shares held of record by Variable</w:t>
      </w:r>
    </w:p>
    <w:p>
      <w:pPr>
        <w:spacing w:after="0" w:line="12" w:lineRule="exact"/>
        <w:rPr>
          <w:rFonts w:ascii="Arial" w:cs="Arial" w:eastAsia="Arial" w:hAnsi="Arial"/>
          <w:sz w:val="9"/>
          <w:szCs w:val="9"/>
          <w:color w:val="auto"/>
        </w:rPr>
      </w:pPr>
    </w:p>
    <w:p>
      <w:pPr>
        <w:ind w:left="1000" w:right="40"/>
        <w:spacing w:after="0" w:line="250" w:lineRule="auto"/>
        <w:rPr>
          <w:rFonts w:ascii="Arial" w:cs="Arial" w:eastAsia="Arial" w:hAnsi="Arial"/>
          <w:sz w:val="9"/>
          <w:szCs w:val="9"/>
          <w:color w:val="auto"/>
        </w:rPr>
      </w:pPr>
      <w:r>
        <w:rPr>
          <w:rFonts w:ascii="Arial" w:cs="Arial" w:eastAsia="Arial" w:hAnsi="Arial"/>
          <w:sz w:val="9"/>
          <w:szCs w:val="9"/>
          <w:color w:val="auto"/>
        </w:rPr>
        <w:t>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Corp. and an investment adviser registered under Section 203 of the Investment Advisers Act of 1940 is</w:t>
      </w:r>
    </w:p>
    <w:p>
      <w:pPr>
        <w:ind w:left="1000" w:right="60"/>
        <w:spacing w:after="0" w:line="232" w:lineRule="auto"/>
        <w:rPr>
          <w:rFonts w:ascii="Arial" w:cs="Arial" w:eastAsia="Arial" w:hAnsi="Arial"/>
          <w:sz w:val="9"/>
          <w:szCs w:val="9"/>
          <w:color w:val="auto"/>
        </w:rPr>
      </w:pPr>
      <w:r>
        <w:rPr>
          <w:rFonts w:ascii="Arial" w:cs="Arial" w:eastAsia="Arial" w:hAnsi="Arial"/>
          <w:sz w:val="10"/>
          <w:szCs w:val="10"/>
          <w:color w:val="auto"/>
        </w:rPr>
        <w:t>82 Devonshire Street, Boston Massachusetts 02109. Edward C. Johnson 3d, FMR Corp., through its control of FMR Co., and each Fund has power to dispose of the securities owned by such Fund. Neither FMR Corp. nor Edward C. Johnson 3d, Chairman of FMR Corp.,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25" w:lineRule="exact"/>
        <w:rPr>
          <w:rFonts w:ascii="Arial" w:cs="Arial" w:eastAsia="Arial" w:hAnsi="Arial"/>
          <w:sz w:val="9"/>
          <w:szCs w:val="9"/>
          <w:color w:val="auto"/>
        </w:rPr>
      </w:pPr>
    </w:p>
    <w:p>
      <w:pPr>
        <w:ind w:left="1000" w:right="40" w:hanging="313"/>
        <w:spacing w:after="0" w:line="266" w:lineRule="auto"/>
        <w:tabs>
          <w:tab w:leader="none" w:pos="1000" w:val="left"/>
        </w:tabs>
        <w:numPr>
          <w:ilvl w:val="0"/>
          <w:numId w:val="70"/>
        </w:numPr>
        <w:rPr>
          <w:rFonts w:ascii="Arial" w:cs="Arial" w:eastAsia="Arial" w:hAnsi="Arial"/>
          <w:sz w:val="9"/>
          <w:szCs w:val="9"/>
          <w:color w:val="auto"/>
        </w:rPr>
      </w:pPr>
      <w:r>
        <w:rPr>
          <w:rFonts w:ascii="Arial" w:cs="Arial" w:eastAsia="Arial" w:hAnsi="Arial"/>
          <w:sz w:val="9"/>
          <w:szCs w:val="9"/>
          <w:color w:val="auto"/>
        </w:rPr>
        <w:t>Consists of 49,313 shares held of record by InterWest Investors VII, L.P. and 1,029,794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Directors of InterWest Management Partners VII, LLC, have shared voting and investment control over the shares owned by InterWest Partners VII, L.P. and InterWest Investors VII, L.P. Stephen C. Bowsher, Alan W. Crites, Rodney A. Ferguson and Karen A. Wilson are Members of InterWest Management Partners VII, L.L.C. All Managing Directors and Members disclaim beneficial ownership of the shares owned by InterWest Partners VII, LP and InterWest Investor VII, LP except to the extent of their pro rata partnership interests in such shares. The address of the entities affiliated with InterWest is 2710 Sand Hill Road, Second Floor, Menlo Park, CA 94025.</w:t>
      </w:r>
    </w:p>
    <w:p>
      <w:pPr>
        <w:spacing w:after="0" w:line="16" w:lineRule="exact"/>
        <w:rPr>
          <w:rFonts w:ascii="Arial" w:cs="Arial" w:eastAsia="Arial" w:hAnsi="Arial"/>
          <w:sz w:val="9"/>
          <w:szCs w:val="9"/>
          <w:color w:val="auto"/>
        </w:rPr>
      </w:pPr>
    </w:p>
    <w:p>
      <w:pPr>
        <w:ind w:left="1000" w:right="20" w:hanging="313"/>
        <w:spacing w:after="0" w:line="233"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263,849 shares held of record by Lehman Brothers Healthcare Venture Capital, L.P., 59,009 shares held of record by Lehman Brothers Offshore Partnership Account 2000/2001, L.P., 505,010 shares held of record by Lehman Brothers P.A., LLC and 227,530 shares held of record by Lehman Brothers Partnership Account 2000/2001, L.P. Hingge Hsu, a former member of our Board of Directors, was formerly employed by Lehman Brothers Inc., and now serves as a consultant of Lehman Brothers Inc. In each of the limited partnerships referenced above, Lehman Brothers Inc. controls the general partner of the limited partnership. In the limited liability company, Lehman Brothers Inc. controls the manager of the limited liability company. In all four entities listed above, Lehman Brothers Holdings Inc., a public reporting company under the Securities Exchange Act of 1934, as amended, ultimately controls the manager and the general partners of the entities and ultimately has voting and investment control over the shares held by such entities. The address of the entities affiliated with Lehman Brothers Inc. is 399 Park Avenue, 11</w:t>
      </w:r>
      <w:r>
        <w:rPr>
          <w:rFonts w:ascii="Arial" w:cs="Arial" w:eastAsia="Arial" w:hAnsi="Arial"/>
          <w:sz w:val="8"/>
          <w:szCs w:val="8"/>
          <w:color w:val="auto"/>
        </w:rPr>
        <w:t>th</w:t>
      </w:r>
      <w:r>
        <w:rPr>
          <w:rFonts w:ascii="Arial" w:cs="Arial" w:eastAsia="Arial" w:hAnsi="Arial"/>
          <w:sz w:val="10"/>
          <w:szCs w:val="10"/>
          <w:color w:val="auto"/>
        </w:rPr>
        <w:t xml:space="preserve"> Floor, New York, NY 10022.</w:t>
      </w:r>
    </w:p>
    <w:p>
      <w:pPr>
        <w:spacing w:after="0" w:line="77" w:lineRule="exact"/>
        <w:rPr>
          <w:rFonts w:ascii="Arial" w:cs="Arial" w:eastAsia="Arial" w:hAnsi="Arial"/>
          <w:sz w:val="10"/>
          <w:szCs w:val="10"/>
          <w:color w:val="auto"/>
        </w:rPr>
      </w:pPr>
    </w:p>
    <w:p>
      <w:pPr>
        <w:ind w:left="1000" w:hanging="313"/>
        <w:spacing w:after="0" w:line="235"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1,251,055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are the primary portfolio counselors of CRMC. In such capacity, CRMC Messrs. Crawford, Frank, Knowles, Enright, Denning and Ms. Huntington may be deemed to beneficially own the shares held by SMALLCAP. CRMC, however, each disclaims such beneficial ownership. The address of the SMALLCAP is The Capital Group Companies, 333, South Hope Street, Los Angeles, California 90071.</w:t>
      </w:r>
    </w:p>
    <w:p>
      <w:pPr>
        <w:spacing w:after="0" w:line="26" w:lineRule="exact"/>
        <w:rPr>
          <w:rFonts w:ascii="Arial" w:cs="Arial" w:eastAsia="Arial" w:hAnsi="Arial"/>
          <w:sz w:val="10"/>
          <w:szCs w:val="10"/>
          <w:color w:val="auto"/>
        </w:rPr>
      </w:pPr>
    </w:p>
    <w:p>
      <w:pPr>
        <w:ind w:left="1000" w:right="60" w:hanging="313"/>
        <w:spacing w:after="0" w:line="242"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1,536,575 shares held of record by Versant Venture Capital I, L.P., 28,188 shares held of record by Versant Affiliates Fund I-A, L.P., 83,183 shares held of record by Versant Affiliates Fund I-B, L.P. and 32,042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000"/>
        <w:spacing w:after="0" w:line="229" w:lineRule="auto"/>
        <w:rPr>
          <w:sz w:val="20"/>
          <w:szCs w:val="20"/>
          <w:color w:val="auto"/>
        </w:rPr>
      </w:pPr>
      <w:r>
        <w:rPr>
          <w:rFonts w:ascii="Arial" w:cs="Arial" w:eastAsia="Arial" w:hAnsi="Arial"/>
          <w:sz w:val="10"/>
          <w:szCs w:val="10"/>
          <w:color w:val="auto"/>
        </w:rPr>
        <w:t>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2" w:lineRule="exact"/>
        <w:rPr>
          <w:sz w:val="20"/>
          <w:szCs w:val="20"/>
          <w:color w:val="auto"/>
        </w:rPr>
      </w:pPr>
    </w:p>
    <w:p>
      <w:pPr>
        <w:ind w:left="1000" w:right="22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668,881 shares held of record by Gajus Worthington and Jami A. Worthington as TTEES of the Worthington Family Trust dtd 3-6-07 and options to purchase 141,426 shares of Common Stock that are exercisable within 60 days of June 28, 2008, of which 75,711 shares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Mr. DeLateur held options to purchase an additional 16,407 shares which expired on August 17,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197,139 shares of common stock that are exercisable within 60 days of June 28, 2008 of which 97,141 shares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No options are currently outstanding or exercisable.</w:t>
      </w:r>
    </w:p>
    <w:p>
      <w:pPr>
        <w:ind w:left="1000" w:hanging="313"/>
        <w:spacing w:after="0"/>
        <w:tabs>
          <w:tab w:leader="none" w:pos="1000" w:val="left"/>
        </w:tabs>
        <w:numPr>
          <w:ilvl w:val="0"/>
          <w:numId w:val="71"/>
        </w:numPr>
        <w:rPr>
          <w:rFonts w:ascii="Arial" w:cs="Arial" w:eastAsia="Arial" w:hAnsi="Arial"/>
          <w:sz w:val="9"/>
          <w:szCs w:val="9"/>
          <w:color w:val="auto"/>
        </w:rPr>
      </w:pPr>
      <w:r>
        <w:rPr>
          <w:rFonts w:ascii="Arial" w:cs="Arial" w:eastAsia="Arial" w:hAnsi="Arial"/>
          <w:sz w:val="9"/>
          <w:szCs w:val="9"/>
          <w:color w:val="auto"/>
        </w:rPr>
        <w:t>Consists of 85,714 shares held of record by William M. Smith and options to purchase 233,424 shares of common stock that are exercisable within 60 days of June 28, 2008, of which 223,283 are vested as of August 27, 2008.</w:t>
      </w:r>
    </w:p>
    <w:p>
      <w:pPr>
        <w:spacing w:after="0" w:line="4" w:lineRule="exact"/>
        <w:rPr>
          <w:rFonts w:ascii="Arial" w:cs="Arial" w:eastAsia="Arial" w:hAnsi="Arial"/>
          <w:sz w:val="9"/>
          <w:szCs w:val="9"/>
          <w:color w:val="auto"/>
        </w:rPr>
      </w:pP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88,332 shares of common stock that are exercisable within 60 days of June 28, 2008, of which 79,403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171,427 shares of common stock that are exercisable within 60 days of June 28, 2008, none of which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40,178 shares of common stock that are exercisable within 60 days of June 28, 2008, all of which are vested as of August 27, 2008.</w:t>
      </w:r>
    </w:p>
    <w:p>
      <w:pPr>
        <w:ind w:left="1000" w:right="100" w:hanging="313"/>
        <w:spacing w:after="0" w:line="243"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Mr. Young disclaims beneficial ownership of 77,142 shares as all of the shares were subsequently transferred to his children, Diana Young, Gregory Young and John Peter Young. As of August 27, 2008 4,762 shares of common stock are subject to a right of repurchase at cost. The right of repurchase lapses at a rate of approximately 595 shares of common stock per month.</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Immediately following the completion of this offering, our authorized capital stock will consist of 320,000,000 shares, all with a par value of $0.001 per share, of which:</w:t>
      </w:r>
    </w:p>
    <w:p>
      <w:pPr>
        <w:spacing w:after="0" w:line="96" w:lineRule="exact"/>
        <w:rPr>
          <w:sz w:val="20"/>
          <w:szCs w:val="20"/>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300,000,000 shares are designated as common stock;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20,000,000 shares are designated as preferred stock.</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As of June 28, 2008, we had outstanding 19,490,535 shares of common stock held of record by 252 stockholders, assuming the automatic conversion of all outstanding shares of our preferred stock on a one-for-one basis into 16,625,970 shares of common stock. This automatic conversion of our preferred stock has been approved by the holders of our outstanding preferred stock and will be effective upon the closing of this offering. In addition, as of June 28, 2008, 2,373,978 shares of our common stock were subject to outstanding options and 216,409 shares of our capital stock were subject to outstanding warrants. No options will expire prior to the completion of this offering. For more information on our capitalization, see “Capitalization” above.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Immediately after the completion of this offering, no shares of preferred stock will be outstanding (assuming the automatic conversion of all outstanding shares of our preferred stock on a one-for-one basis into 16,625,970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20,000,000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73" w:lineRule="exact"/>
        <w:rPr>
          <w:sz w:val="20"/>
          <w:szCs w:val="20"/>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diluting the voting power of the holders of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dividend payments;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payments in the event of our liquidation, dissolution, or winding up;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delaying, deterring or preventing a change-in-control or other corporate takeover.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of June 28, 2008, we had outstanding warrants to purchase an aggregate of 216,409 shares of our preferred stock, all of which will be converted into warrants to purchase an equal number of shares of our common stock at exercise prices ranging from $9.03 per share to $14.00 per share. These warrants will expire at various times between March 2012 and February 2015. In the event of a distribution of dividends, a stock split, a reorganization, a reclassification, a consolidation, or a similar event, each warrant provides for adjustment of the exercise price and the number of shares issuable upon exercise. In June 2008, the number of shares subject to a certain warrant to purchase Series E Preferred Stock issued to Lighthouse Capital Partners V, L.P. increased by 57,142 shares pursuant to its terms as a result of our borrowing an additional $10 million under our loan agreement with Lighthouse.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Issuance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7, 2003, we entered into a Master Closing Agreement with Oculus Pharmaceuticals, Inc. and The UAB Research Foundation, or UAB, related to certain intellectual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and technology rights licensed by us from UAB. Pursuant to the agreement, we are obligated to issue UAB shares of our common stock with a value equal to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$1,500,000 upon the achievement of a certain milestone and based upon the fair market value of our common stock at the time the milestone is achieved. We currently do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achieving this milestone in the foreseeable future and do not anticipate issuing these shares. The potential issuance discussed above is not reflected in the number of shares of common stock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outstanding in this prospectus.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June 28, 2008, the holders of an aggregate of 18,199,960 shares of our common stock, which includes 16,621,278 shares of common stock issued on conversion of outstanding preferred stock and 216,409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1,362,273 shares of common stock entitled to the rights described below, in the section titled “Piggyback Registration Rights.” We refer to these shares collectively as “registrable securities.”</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If at any time after this offering the holders of at least a majority of the registrable securities request in writing that we effect a registration that has a reasonably anticipated aggregate price to the public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at any time after this offering we propose to register any shares of our common stock under the Securities Act, subject to certain exceptions, the holders of registrable securities will be entitled to notice of the registration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7" w:lineRule="exact"/>
        <w:rPr>
          <w:sz w:val="20"/>
          <w:szCs w:val="20"/>
          <w:color w:val="auto"/>
        </w:rPr>
      </w:pPr>
    </w:p>
    <w:p>
      <w:pPr>
        <w:ind w:left="1280" w:hanging="190"/>
        <w:spacing w:after="0"/>
        <w:tabs>
          <w:tab w:leader="none" w:pos="12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removal of a director requires the vote of a majority of the voting power of our issued and outstanding capital stock entitled to vote in the election of directors; and</w:t>
      </w:r>
    </w:p>
    <w:p>
      <w:pPr>
        <w:spacing w:after="0" w:line="58" w:lineRule="exact"/>
        <w:rPr>
          <w:rFonts w:ascii="Arial" w:cs="Arial" w:eastAsia="Arial" w:hAnsi="Arial"/>
          <w:sz w:val="12"/>
          <w:szCs w:val="12"/>
          <w:color w:val="auto"/>
        </w:rPr>
      </w:pPr>
    </w:p>
    <w:p>
      <w:pPr>
        <w:ind w:left="1280" w:right="120" w:hanging="190"/>
        <w:spacing w:after="0" w:line="264"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the amendment of certain provisions of our restated certificate of incorporation require the vote of 66 2/3% of our then outstanding voting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 Takeover Effects of Delaware Law and Our Certificate of Incorporation and Bylaws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Certificate of Incorporation and Bylaws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amended and restated certificate of incorporation and bylaws to become effective upon completion of this offering include provisions that:</w:t>
      </w:r>
    </w:p>
    <w:p>
      <w:pPr>
        <w:spacing w:after="0" w:line="96" w:lineRule="exact"/>
        <w:rPr>
          <w:sz w:val="20"/>
          <w:szCs w:val="20"/>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58" w:lineRule="exact"/>
        <w:rPr>
          <w:rFonts w:ascii="Arial" w:cs="Arial" w:eastAsia="Arial" w:hAnsi="Arial"/>
          <w:sz w:val="12"/>
          <w:szCs w:val="12"/>
          <w:color w:val="auto"/>
        </w:rPr>
      </w:pPr>
    </w:p>
    <w:p>
      <w:pPr>
        <w:ind w:left="1280" w:right="320" w:hanging="190"/>
        <w:spacing w:after="0" w:line="27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provide that directors may be removed only for cause;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the Board of Directors;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67" w:lineRule="exact"/>
        <w:rPr>
          <w:sz w:val="20"/>
          <w:szCs w:val="20"/>
          <w:color w:val="auto"/>
        </w:rPr>
      </w:pPr>
    </w:p>
    <w:p>
      <w:pPr>
        <w:ind w:left="1280" w:right="460" w:hanging="190"/>
        <w:spacing w:after="0" w:line="276"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prior to the date of the transaction, the Board of Directors of the corporation approved either the business combination or the transaction which resulted in the stockholder becoming an interested stockholder;</w:t>
      </w:r>
    </w:p>
    <w:p>
      <w:pPr>
        <w:spacing w:after="0" w:line="10"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2"/>
          <w:szCs w:val="12"/>
          <w:color w:val="auto"/>
        </w:rPr>
      </w:pPr>
    </w:p>
    <w:p>
      <w:pPr>
        <w:ind w:left="1280" w:right="20" w:hanging="190"/>
        <w:spacing w:after="0" w:line="290" w:lineRule="auto"/>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voting stock which is not owned by the interested stockholder.</w:t>
      </w:r>
    </w:p>
    <w:p>
      <w:pPr>
        <w:jc w:val="both"/>
        <w:ind w:left="680" w:firstLine="399"/>
        <w:spacing w:after="0" w:line="322" w:lineRule="auto"/>
        <w:rPr>
          <w:sz w:val="20"/>
          <w:szCs w:val="20"/>
          <w:color w:val="auto"/>
        </w:rPr>
      </w:pPr>
      <w:r>
        <w:rPr>
          <w:rFonts w:ascii="Arial" w:cs="Arial" w:eastAsia="Arial" w:hAnsi="Arial"/>
          <w:sz w:val="11"/>
          <w:szCs w:val="11"/>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3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transfer agent and registrar for our common stock is Computershare Trust Company, N.A. The transfer agent’s address is 250 Royall Street, Canton, MA 02021, and its telephone number is (781) 575-2900.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 Global Market Listing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applied to have our common stock listed on the NASDAQ Global Market under the symbol “FLDM.”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Upon the completion of this offering, a total of 24,790,535 shares of common stock will be outstanding, assuming that there are no exercises of options or warrants after June 28, 2008. Of these shares, all 5,300,000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32"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remaining 19,490,535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Subject to the lock up agreements described below and the provisions of Rules 144 and 701 under the Securities Act, these restricted securities will be available for sale in the public market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Number of</w:t>
            </w:r>
          </w:p>
        </w:tc>
        <w:tc>
          <w:tcPr>
            <w:tcW w:w="0" w:type="dxa"/>
            <w:vAlign w:val="bottom"/>
          </w:tcPr>
          <w:p>
            <w:pPr>
              <w:spacing w:after="0"/>
              <w:rPr>
                <w:sz w:val="1"/>
                <w:szCs w:val="1"/>
                <w:color w:val="auto"/>
              </w:rPr>
            </w:pPr>
          </w:p>
        </w:tc>
      </w:tr>
      <w:tr>
        <w:trPr>
          <w:trHeight w:val="125"/>
        </w:trPr>
        <w:tc>
          <w:tcPr>
            <w:tcW w:w="9000" w:type="dxa"/>
            <w:vAlign w:val="bottom"/>
            <w:gridSpan w:val="2"/>
            <w:vMerge w:val="continue"/>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Between 90 and 180 days after the date of this prospectus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various times beginning more than 180 days after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19,490,535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addition, of the 2,373,978 shares of our common stock that were subject to stock options outstanding as of June 28, 2008, options to purchase 1,098,706 shares of common stock were vested as of June 28, 2008 and will be eligible for sale 180 days following the effective date of this offering.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5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35" w:lineRule="exact"/>
        <w:rPr>
          <w:sz w:val="20"/>
          <w:szCs w:val="20"/>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1% of the number of shares of common stock then outstanding, which will equal approximately 247,905 shares immediately after this offering; or</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during the four calendar weeks preceding the filing of a notice on Form 144 with respect to that sale.</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701</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 Up Agreements</w:t>
      </w:r>
    </w:p>
    <w:p>
      <w:pPr>
        <w:spacing w:after="0" w:line="10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and all of our directors and officers, as well as the other holders of substantially all shares of common stock outstanding immediately prior to this offering, have agreed that, without the prior written consent of Morgan Stanley &amp; Co. Incorporated on behalf of the underwriters, we and they will not, during the period ending 180 days after the date of this prospectus:</w:t>
      </w:r>
    </w:p>
    <w:p>
      <w:pPr>
        <w:spacing w:after="0" w:line="67" w:lineRule="exact"/>
        <w:rPr>
          <w:sz w:val="20"/>
          <w:szCs w:val="20"/>
          <w:color w:val="auto"/>
        </w:rPr>
      </w:pPr>
    </w:p>
    <w:p>
      <w:pPr>
        <w:ind w:left="1280" w:right="40" w:hanging="190"/>
        <w:spacing w:after="0" w:line="371" w:lineRule="auto"/>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our common stock,</w:t>
      </w:r>
    </w:p>
    <w:p>
      <w:pPr>
        <w:spacing w:after="0" w:line="96"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Upon completion of this offering, the holders of 18,199,960 shares of common stock or series of common stock issuable upon exercise of warrants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 — Registration Rights” for additional information.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Statements</w:t>
      </w:r>
    </w:p>
    <w:p>
      <w:pPr>
        <w:spacing w:after="0" w:line="100" w:lineRule="exact"/>
        <w:rPr>
          <w:sz w:val="20"/>
          <w:szCs w:val="20"/>
          <w:color w:val="auto"/>
        </w:rPr>
      </w:pPr>
    </w:p>
    <w:p>
      <w:pPr>
        <w:ind w:left="680" w:right="240" w:firstLine="399"/>
        <w:spacing w:after="0" w:line="322" w:lineRule="auto"/>
        <w:rPr>
          <w:sz w:val="20"/>
          <w:szCs w:val="20"/>
          <w:color w:val="auto"/>
        </w:rPr>
      </w:pPr>
      <w:r>
        <w:rPr>
          <w:rFonts w:ascii="Arial" w:cs="Arial" w:eastAsia="Arial" w:hAnsi="Arial"/>
          <w:sz w:val="11"/>
          <w:szCs w:val="11"/>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 S. FEDERAL INCOME AND ESTATE TAX</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CONSEQUENCES TO NON-U. S. HOLDERS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general discussion of certain material United States federal income and estate tax considerations with respect to the acquisition, ownership and disposition of shares of our common stock applicable to non-U.S. holders. In general, a “non-U.S. holder” is any holder other than:</w:t>
      </w:r>
    </w:p>
    <w:p>
      <w:pPr>
        <w:spacing w:after="0" w:line="59" w:lineRule="exact"/>
        <w:rPr>
          <w:sz w:val="20"/>
          <w:szCs w:val="20"/>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 for United States federal income tax purposes;</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United States federal income tax purposes) created or organized in or under the laws of the United States, any state thereof or the District of Columbia;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estate, the income of which is includible in gross income for United States federal income tax purposes regardless of its source; or</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This discussion is based on current provisions of the Internal Revenue Code, final, temporary or proposed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50" w:lineRule="exact"/>
        <w:rPr>
          <w:sz w:val="20"/>
          <w:szCs w:val="20"/>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banks, insurance companies or other financial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partnerships or other pass-through entities or persons that hold shares of our common stock through such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tax-exempt organizations;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tax-qualified retirement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dealers in securities or currencies;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traders in securities that elect to use a mark-to-market method of accounting for their securities holdings;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United States expatriates;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persons that will hold common stock as a position in a hedging transaction, “straddle” or “conversion transaction” for tax purposes.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Accordingly, we urge prospective investors to consult with their own tax advisors regarding the United States federal, state and local income and non-U.S. income and other tax considerations of acquiring, holding and disposing of shares of our common stock.</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If a partnership or other pass-through entity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8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 Gain on Sale or Other Disposition of Common Stock” below).</w:t>
      </w:r>
    </w:p>
    <w:p>
      <w:pPr>
        <w:spacing w:after="0" w:line="42"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In general, dividends we pay, if any, to a non-U.S. holder will be subject to United States withholding tax at a rate of 30% of the gross amount. The withholding tax might not apply or might apply at a reduced rate under the terms of an applicable income tax treaty between the United States and the non-U.S. holder’s country of residence. A non-U.S. holder must demonstrate its entitlement to treaty benefits by certifying, among other things, its nonresident status. A non-U.S. holder generally can meet this certification requirement by providing an Internal Revenue Service Form W-8BEN or appropriate substitute form to us or our paying agent. Also, special rules apply if the dividends are effectively connected with a trade or business carried on by the non-U.S. holder within the United States and, if a treaty applies, are attributable to a permanent establishment of the non-U.S. holder within the United States. Dividends effectively connected with this United States trade or business, and, if a treaty applies, attributable to such a permanent establishment of a non-U.S. holder, generally will not be subject to United States withholding tax if the non-U.S. holder files certain forms, including Internal Revenue Service Form W-8ECI (or any successor form), with the payor of the dividend, and generally will be subject to United States federal income tax on a net income basis, in the same manner as if the non-U.S. holder were a resident of the United States. A non-U.S. holder that is a corporation may be subject to an additional “branch profits tax” at a rate of 30% (or a reduced rate as may be specified by an applicable income tax treaty) on the repatriation from the United States of its “effectively connected earnings and profits,” subject to certain adjustments. A non-U.S. holder of shares of our common stock eligible for a reduced rate of United States withholding tax pursuant to an income tax treaty may obtain a refund of any excess amounts withheld by timely filing an appropriate claim for refund with the Internal Revenue Service.</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general, a non-U.S. holder will not be subject to United States federal income tax on any gain realized upon the sale or other disposition of the holder’s shares of our common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unless:</w:t>
      </w:r>
    </w:p>
    <w:p>
      <w:pPr>
        <w:spacing w:after="0" w:line="59" w:lineRule="exact"/>
        <w:rPr>
          <w:sz w:val="20"/>
          <w:szCs w:val="20"/>
          <w:color w:val="auto"/>
        </w:rPr>
      </w:pPr>
    </w:p>
    <w:p>
      <w:pPr>
        <w:ind w:left="1280" w:right="40" w:hanging="190"/>
        <w:spacing w:after="0" w:line="258"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a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1" w:lineRule="exact"/>
        <w:rPr>
          <w:rFonts w:ascii="Arial" w:cs="Arial" w:eastAsia="Arial" w:hAnsi="Arial"/>
          <w:sz w:val="13"/>
          <w:szCs w:val="13"/>
          <w:color w:val="auto"/>
        </w:rPr>
      </w:pPr>
    </w:p>
    <w:p>
      <w:pPr>
        <w:jc w:val="both"/>
        <w:ind w:left="1280" w:right="320" w:hanging="190"/>
        <w:spacing w:after="0" w:line="264"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non-U.S. holder is an individual and is present in the United States for 183 days or more in the taxable year of disposition and certain other tests are met, in which case a non-U.S. holder will be subject to a flat 30% tax on any gain realized upon the sale or other disposition, which tax may be offset by United States source capital losses (even though the individual is not considered a resident of the United States); or</w:t>
      </w:r>
    </w:p>
    <w:p>
      <w:pPr>
        <w:spacing w:after="0" w:line="27" w:lineRule="exact"/>
        <w:rPr>
          <w:rFonts w:ascii="Arial" w:cs="Arial" w:eastAsia="Arial" w:hAnsi="Arial"/>
          <w:sz w:val="13"/>
          <w:szCs w:val="13"/>
          <w:color w:val="auto"/>
        </w:rPr>
      </w:pPr>
    </w:p>
    <w:p>
      <w:pPr>
        <w:ind w:left="1280" w:right="40" w:hanging="190"/>
        <w:spacing w:after="0" w:line="256"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Internal Revenue Code). Our common stock will be treated as regularly traded on an established securities market during any period in which it is listed on a registered national securities exchange or any over-the-counter market.</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States Federal Estate Tax</w:t>
      </w:r>
    </w:p>
    <w:p>
      <w:pPr>
        <w:spacing w:after="0" w:line="8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Information Reporting and Other Reporting Requirements</w:t>
      </w:r>
    </w:p>
    <w:p>
      <w:pPr>
        <w:spacing w:after="0" w:line="8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2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United States backup withholding tax is imposed (at a current rate of 28%) on certain payments to persons that fail to furnish the information required under the United States information reporting requirements. A non-U.S. holder 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52" w:lineRule="exact"/>
        <w:rPr>
          <w:sz w:val="20"/>
          <w:szCs w:val="20"/>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United States person;</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“controlled foreign corporation” for United States federal income tax purposes;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foreign person 50% or more of whose gross income from certain periods is effectively connected with a United States trade or business; or</w:t>
      </w:r>
    </w:p>
    <w:p>
      <w:pPr>
        <w:spacing w:after="0" w:line="5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foreign partnership if at any time during its tax year (a) one or more of its partners are United States persons who, in the aggregate, hold more than 50% of the income or capital interests of the partnership or (b) the foreign partnership is engaged in a United States trade or business;</w:t>
      </w:r>
    </w:p>
    <w:p>
      <w:pPr>
        <w:spacing w:after="0" w:line="30"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3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1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terms and subject to the conditions contained in an underwriting agreement dated the date of this prospectus, the underwriters named below, for whom Morgan Stanley &amp;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 Incorporated is acting as the representative, have severally agreed to purchase, and we have agreed to sell to them, severally, the number of shares indicated in the table below: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Pacific Growth Equities,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5715</wp:posOffset>
            </wp:positionV>
            <wp:extent cx="43688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1187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11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up to an aggregate of additional shares of common stock at the public offering price set forth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55"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795,000 shares of common stock.</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700" w:type="dxa"/>
            <w:vAlign w:val="bottom"/>
          </w:tcPr>
          <w:p>
            <w:pPr>
              <w:jc w:val="right"/>
              <w:ind w:right="69"/>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0"/>
                <w:szCs w:val="10"/>
                <w:color w:val="auto"/>
              </w:rPr>
            </w:pPr>
          </w:p>
        </w:tc>
        <w:tc>
          <w:tcPr>
            <w:tcW w:w="800" w:type="dxa"/>
            <w:vAlign w:val="bottom"/>
          </w:tcPr>
          <w:p>
            <w:pPr>
              <w:jc w:val="right"/>
              <w:ind w:right="88"/>
              <w:spacing w:after="0"/>
              <w:rPr>
                <w:sz w:val="20"/>
                <w:szCs w:val="20"/>
                <w:color w:val="auto"/>
              </w:rPr>
            </w:pPr>
            <w:r>
              <w:rPr>
                <w:rFonts w:ascii="Arial" w:cs="Arial" w:eastAsia="Arial" w:hAnsi="Arial"/>
                <w:sz w:val="10"/>
                <w:szCs w:val="10"/>
                <w:b w:val="1"/>
                <w:bCs w:val="1"/>
                <w:color w:val="auto"/>
              </w:rPr>
              <w:t>No exercise</w:t>
            </w:r>
          </w:p>
        </w:tc>
        <w:tc>
          <w:tcPr>
            <w:tcW w:w="400" w:type="dxa"/>
            <w:vAlign w:val="bottom"/>
          </w:tcPr>
          <w:p>
            <w:pPr>
              <w:spacing w:after="0"/>
              <w:rPr>
                <w:sz w:val="10"/>
                <w:szCs w:val="10"/>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29"/>
        </w:trPr>
        <w:tc>
          <w:tcPr>
            <w:tcW w:w="67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700" w:type="dxa"/>
            <w:vAlign w:val="bottom"/>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7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7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offering expenses payable by us, exclusive of the underwriting discounts and commissions are approximately $3.1 million.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underwriters have informed us that they do not intend sales to discretionary accounts to exceed five percent of the total number of shares of common stock offered by them.</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applied to have the common stock listed on the NASDAQ Global Market under the symbol “FLDM.”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and all directors, officers and substantially all of our other security holders have agreed that, without the prior written consent of Morgan Stanley &amp; Co. Incorporated on behalf of the underwriters, we and they will not, during the period ending 180 days after the date of this prospectus:</w:t>
      </w:r>
    </w:p>
    <w:p>
      <w:pPr>
        <w:spacing w:after="0" w:line="59" w:lineRule="exact"/>
        <w:rPr>
          <w:sz w:val="20"/>
          <w:szCs w:val="20"/>
          <w:color w:val="auto"/>
        </w:rPr>
      </w:pPr>
    </w:p>
    <w:p>
      <w:pPr>
        <w:ind w:left="1280" w:right="40" w:hanging="190"/>
        <w:spacing w:after="0" w:line="320" w:lineRule="auto"/>
        <w:tabs>
          <w:tab w:leader="none" w:pos="12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the common stock; or</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 our case only, file or cause to be filed a registration statement, including any amendments with respect to the registration statement of any shares of common stock or securities convertible, exercisable or exchangeable into our common stock or any other securities of the company (other than any registration statement on Form S-8),</w:t>
      </w:r>
    </w:p>
    <w:p>
      <w:pPr>
        <w:spacing w:after="0" w:line="35"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whether any such transaction described above is to be settled by delivery of common stock or such other securities, in cash or otherwise. In addition, each such person agrees that, without the prior written consent of Morgan Stanley &amp; Co. Incorporated on behalf of the underwriters, they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Subject to certain restrictions, the restrictions described in the immediately preceding paragraph do not apply to:</w:t>
      </w:r>
    </w:p>
    <w:p>
      <w:pPr>
        <w:spacing w:after="0" w:line="96" w:lineRule="exact"/>
        <w:rPr>
          <w:sz w:val="20"/>
          <w:szCs w:val="20"/>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sale of shares to the underwriters;</w:t>
      </w:r>
    </w:p>
    <w:p>
      <w:pPr>
        <w:spacing w:after="0" w:line="96"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transactions relating to shares of common stock or other securities acquired in this offering or in open market transactions after the completion of this offering, provided that no filing under Section 16(a) of the Securities Exchange Act of 1934, as amended, shall be required or shall be voluntarily made in connection with subsequent sales of common stock or other securities acquired in such transactions;</w:t>
      </w:r>
    </w:p>
    <w:p>
      <w:pPr>
        <w:spacing w:after="0" w:line="6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exercise of any options to acquire common stock or conversion of any convertible security into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as a bona fide gift;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distributions of shares of common stock or any security convertible into common stock to limited partners, members or stockholders of the transferor;</w:t>
      </w:r>
    </w:p>
    <w:p>
      <w:pPr>
        <w:spacing w:after="0" w:line="9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by will or intestacy to the transferor’s immediate family or to a trust, the beneficiaries of which are members of the transferor’s immediate family;</w:t>
      </w:r>
    </w:p>
    <w:p>
      <w:pPr>
        <w:spacing w:after="0" w:line="5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establishment of a trading plan pursuant to Rule 10b5-1 under the Exchange Act for the transfer of shares of common stock, provided that such plan does not provide for the transfer of common stock during the restricted period;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issuance of shares of, or options to purchase shares of, common stock to our employees, officers, directors, advisors or consultants pursuant to our employee benefit plans;</w:t>
      </w:r>
    </w:p>
    <w:p>
      <w:pPr>
        <w:spacing w:after="0" w:line="107" w:lineRule="exact"/>
        <w:rPr>
          <w:rFonts w:ascii="Arial" w:cs="Arial" w:eastAsia="Arial" w:hAnsi="Arial"/>
          <w:sz w:val="12"/>
          <w:szCs w:val="12"/>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filing of a registration statement on Form S-8 for the registration of shares of common stock issued pursuant our employee benefit plans; or</w:t>
      </w:r>
    </w:p>
    <w:p>
      <w:pPr>
        <w:spacing w:after="0" w:line="9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issuance of shares of common stock, or any securities convertible into or exercisable or exchangeable for common stock, in an amount having an aggregate value equal to 15% of the gross proceeds from this offering in connection with a merger or acquisition transaction.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180-day restricted period described in the preceding paragraph will be extended if:</w:t>
      </w:r>
    </w:p>
    <w:p>
      <w:pPr>
        <w:spacing w:after="0" w:line="96" w:lineRule="exact"/>
        <w:rPr>
          <w:sz w:val="20"/>
          <w:szCs w:val="20"/>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during the last 17 days of the 180-day restricted period, we issue a release regarding earnings or regarding material news or events relating to us;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prior to the expiration of the 180-day restricted period, we announce that we will release earnings results during the 16-day period beginning on the last day of the 180-day period,</w:t>
      </w:r>
    </w:p>
    <w:p>
      <w:pPr>
        <w:spacing w:after="0" w:line="119" w:lineRule="exact"/>
        <w:rPr>
          <w:sz w:val="20"/>
          <w:szCs w:val="20"/>
          <w:color w:val="auto"/>
        </w:rPr>
      </w:pPr>
    </w:p>
    <w:p>
      <w:pPr>
        <w:ind w:left="1080"/>
        <w:spacing w:after="0" w:line="320" w:lineRule="auto"/>
        <w:rPr>
          <w:sz w:val="20"/>
          <w:szCs w:val="20"/>
          <w:color w:val="auto"/>
        </w:rPr>
      </w:pPr>
      <w:r>
        <w:rPr>
          <w:rFonts w:ascii="Arial" w:cs="Arial" w:eastAsia="Arial" w:hAnsi="Arial"/>
          <w:sz w:val="12"/>
          <w:szCs w:val="12"/>
          <w:color w:val="auto"/>
        </w:rPr>
        <w:t>in which case, the restrictions described in the preceding paragraph will continue to apply until the expiration of the 18-day period beginning on the issuance of the earnings release or the occurrence of the material news or material event, unless such extension is waived, in writing, by Morgan Stanley &amp; Co. Incorporated on behalf of the underwriters.</w:t>
      </w:r>
    </w:p>
    <w:p>
      <w:pPr>
        <w:spacing w:after="0" w:line="35"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As an additional means of facilitating the offering,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and the underwriters have agreed to indemnify each other against certain liabilities, including liabilities under the Securities Act.</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websites maintained by one or more underwriters participating in this offering. Other than the prospectus in electronic format, the information on the underwriters’ websites is not part of this prospectus. The underwriters may agree to allocate a number of shares of common stock to underwriters for sale to their online brokerage account holders. Internet distributions will be allocated by Morgan Stanley &amp; Co. Incorporated to underwriters that may make Internet distributions on the same basis as other allocations.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European Economic Area</w:t>
      </w:r>
    </w:p>
    <w:p>
      <w:pPr>
        <w:spacing w:after="0" w:line="10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common stock to the public in that Member State, except that it may, with effect from and including such date, make an offer of the common stock to the public in that Member State:</w:t>
      </w:r>
    </w:p>
    <w:p>
      <w:pPr>
        <w:spacing w:after="0" w:line="67" w:lineRule="exact"/>
        <w:rPr>
          <w:sz w:val="20"/>
          <w:szCs w:val="20"/>
          <w:color w:val="auto"/>
        </w:rPr>
      </w:pPr>
    </w:p>
    <w:p>
      <w:pPr>
        <w:ind w:left="1280" w:right="20" w:hanging="190"/>
        <w:spacing w:after="0" w:line="276" w:lineRule="auto"/>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at any time to legal entities which are authorized or regulated to operate in the financial markets or, if not so authorized or regulated, whose corporate purpose is solely to invest in securities;</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at any time in any other circumstances which do not require the publication by us of a prospectus pursuant to Article 3 of the Prospectus Directive.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the purposes of the above, the expression an “offer of the common stock to the public” in relation to any shares of common stock in any Member State means the communication in any form and by any means of sufficient information on the terms of the offer and the common stock to be offered so as to enable an investor to decide to purchase or subscribe shares of common stock,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Kingdom</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shares of common stock in circumstances in which Section 21(1) of such Act does not apply to us and it has complied and will comply with all applicable provisions of such Act with respect to anything done by it in relation to any shares of common stock in, from or otherwise involving the United Kingdom.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Relationships</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October 2007, we sold shares of our Series E preferred stock in a private placement transaction. Leerink Swann LLC acted as the placement agent in the October 2007 offering and received a fee of $1,000,000 for services rendered. Entities affiliated with Leerink Swann LLC also participated in the October 2007 offering and purchased an aggregate of 40,357 shares of our Series E preferred stock for an aggregate purchase price of $565,000. One or more of the underwriters may in the future provide investment banking services to us for which they would receive customary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Pricing of the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this offering, there has been no public market for our common stock. The initial public offering price will be determined by negotiations between us and the underwriters.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Among the factors to be considered in determining the initial public offering price are:</w:t>
      </w:r>
    </w:p>
    <w:p>
      <w:pPr>
        <w:spacing w:after="0" w:line="89"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our future prospects and those of our industry in general;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our sales, earnings and certain other financial and operating information in recent periods; and</w:t>
      </w:r>
    </w:p>
    <w:p>
      <w:pPr>
        <w:spacing w:after="0" w:line="86" w:lineRule="exact"/>
        <w:rPr>
          <w:rFonts w:ascii="Arial" w:cs="Arial" w:eastAsia="Arial" w:hAnsi="Arial"/>
          <w:sz w:val="13"/>
          <w:szCs w:val="13"/>
          <w:color w:val="auto"/>
        </w:rPr>
      </w:pPr>
    </w:p>
    <w:p>
      <w:pPr>
        <w:ind w:left="1080" w:right="160" w:firstLine="10"/>
        <w:spacing w:after="0" w:line="356" w:lineRule="auto"/>
        <w:tabs>
          <w:tab w:leader="none" w:pos="12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price-earnings ratios, price-sales ratios and market prices of securities and certain financial and operating information of companies engaged in activities similar to ours. An active trading market for the shares may not develop. It is also possible that after the offering the shares will not trade in the public market at or above the initial public offering</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45,987 shares of our common stock.</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consolidated financial statements at December 31, 2006 and December 29, 2007, and for each of the three years in the period ended December 29, 2007,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site is www.sec.gov.</w:t>
      </w:r>
    </w:p>
    <w:p>
      <w:pPr>
        <w:spacing w:after="0" w:line="7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intend to provide our stockholders with annual reports containing financial statements that have been audited by an independent registered public accounting firm, and to file with the SEC quarterly reports containing unaudited financial data for the first three quarters of each year.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133">
              <w:r>
                <w:rPr>
                  <w:rFonts w:ascii="Arial" w:cs="Arial" w:eastAsia="Arial" w:hAnsi="Arial"/>
                  <w:sz w:val="13"/>
                  <w:szCs w:val="13"/>
                  <w:color w:val="0000EE"/>
                  <w:w w:val="92"/>
                </w:rPr>
                <w:t>Report of Independent Registered Public Accounting Firm</w:t>
              </w:r>
            </w:hyperlink>
          </w:p>
        </w:tc>
        <w:tc>
          <w:tcPr>
            <w:tcW w:w="1780" w:type="dxa"/>
            <w:vAlign w:val="bottom"/>
            <w:gridSpan w:val="2"/>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2"/>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4">
              <w:r>
                <w:rPr>
                  <w:rFonts w:ascii="Arial" w:cs="Arial" w:eastAsia="Arial" w:hAnsi="Arial"/>
                  <w:sz w:val="13"/>
                  <w:szCs w:val="13"/>
                  <w:color w:val="0000EE"/>
                </w:rPr>
                <w:t>Consolidated Balance Sheets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35">
              <w:r>
                <w:rPr>
                  <w:rFonts w:ascii="Arial" w:cs="Arial" w:eastAsia="Arial" w:hAnsi="Arial"/>
                  <w:sz w:val="13"/>
                  <w:szCs w:val="13"/>
                  <w:color w:val="0000EE"/>
                  <w:w w:val="89"/>
                </w:rPr>
                <w:t>Consolidated Statements of Operations</w:t>
              </w:r>
            </w:hyperlink>
          </w:p>
        </w:tc>
        <w:tc>
          <w:tcPr>
            <w:tcW w:w="2800" w:type="dxa"/>
            <w:vAlign w:val="bottom"/>
            <w:gridSpan w:val="5"/>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00" w:type="dxa"/>
            <w:vAlign w:val="bottom"/>
            <w:tcBorders>
              <w:bottom w:val="single" w:sz="8" w:color="0000EE"/>
            </w:tcBorders>
            <w:gridSpan w:val="6"/>
          </w:tcPr>
          <w:p>
            <w:pPr>
              <w:spacing w:after="0" w:line="138" w:lineRule="exact"/>
              <w:rPr>
                <w:rFonts w:ascii="Arial" w:cs="Arial" w:eastAsia="Arial" w:hAnsi="Arial"/>
                <w:sz w:val="13"/>
                <w:szCs w:val="13"/>
                <w:color w:val="0000EE"/>
                <w:w w:val="92"/>
              </w:rPr>
            </w:pPr>
            <w:hyperlink w:anchor="page136">
              <w:r>
                <w:rPr>
                  <w:rFonts w:ascii="Arial" w:cs="Arial" w:eastAsia="Arial" w:hAnsi="Arial"/>
                  <w:sz w:val="13"/>
                  <w:szCs w:val="13"/>
                  <w:color w:val="0000EE"/>
                  <w:w w:val="92"/>
                </w:rPr>
                <w:t>Consolidated Statements of Convertible Preferred Stock and Stockholders’ Equity (Deficit)</w:t>
              </w:r>
            </w:hyperlink>
          </w:p>
        </w:tc>
        <w:tc>
          <w:tcPr>
            <w:tcW w:w="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138">
              <w:r>
                <w:rPr>
                  <w:rFonts w:ascii="Arial" w:cs="Arial" w:eastAsia="Arial" w:hAnsi="Arial"/>
                  <w:sz w:val="13"/>
                  <w:szCs w:val="13"/>
                  <w:color w:val="0000EE"/>
                  <w:w w:val="89"/>
                </w:rPr>
                <w:t>Consolidated Statements of Cash Flows</w:t>
              </w:r>
            </w:hyperlink>
          </w:p>
        </w:tc>
        <w:tc>
          <w:tcPr>
            <w:tcW w:w="2760" w:type="dxa"/>
            <w:vAlign w:val="bottom"/>
            <w:gridSpan w:val="4"/>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9">
              <w:r>
                <w:rPr>
                  <w:rFonts w:ascii="Arial" w:cs="Arial" w:eastAsia="Arial" w:hAnsi="Arial"/>
                  <w:sz w:val="13"/>
                  <w:szCs w:val="13"/>
                  <w:color w:val="0000EE"/>
                </w:rPr>
                <w:t>Notes to Consolidated Financial Statements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Fluidigm Corporation</w:t>
      </w:r>
    </w:p>
    <w:p>
      <w:pPr>
        <w:spacing w:after="0" w:line="8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Fluidigm Corporation as of December 31, 2006 and December 29, 2007, and the related consolidated statements of operations, convertible preferred stock and stockholders’ equity (deficit), and cash flows for each of the three fiscal years in the period ended December 29, 2007.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Fluidigm Corporation at December 31, 2006 and December 29, 2007, and the consolidated results of its operations and its cash flows for each of the three fiscal years in the period ended December 29, 2007, in conformity with U.S. generally accepted accounting principles.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discussed in Note 2 to the consolidated financial statements, Fluidigm Corporation changed its method of accounting for preferred stock warrants as of July 1, 2005, its method of accounting for stock-based compensation as of January 1, 2006, and its method of accounting for uncertain tax positions as of January 1,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12, 2008,</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except for Note 16 as to which the date is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217805</wp:posOffset>
            </wp:positionV>
            <wp:extent cx="633539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foregoing report is in the form that will be signed upon completion of the reverse stock split described in Note 16 to the consolidated financial statements.</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2, 2008</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Pro forma</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9"/>
                <w:szCs w:val="9"/>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w w:val="98"/>
              </w:rPr>
              <w:t>December 29,</w:t>
            </w:r>
          </w:p>
        </w:tc>
        <w:tc>
          <w:tcPr>
            <w:tcW w:w="80" w:type="dxa"/>
            <w:vAlign w:val="bottom"/>
          </w:tcPr>
          <w:p>
            <w:pPr>
              <w:spacing w:after="0"/>
              <w:rPr>
                <w:sz w:val="9"/>
                <w:szCs w:val="9"/>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9"/>
              </w:rPr>
              <w:t>June 28,</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Equity as of</w:t>
            </w: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308"/>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8"/>
              <w:spacing w:after="0"/>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June 28, 2008</w:t>
            </w: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7"/>
              </w:rPr>
              <w:t>(Unaudited)</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8"/>
              <w:spacing w:after="0"/>
              <w:rPr>
                <w:sz w:val="20"/>
                <w:szCs w:val="20"/>
                <w:color w:val="auto"/>
              </w:rPr>
            </w:pPr>
            <w:r>
              <w:rPr>
                <w:rFonts w:ascii="Arial" w:cs="Arial" w:eastAsia="Arial" w:hAnsi="Arial"/>
                <w:sz w:val="10"/>
                <w:szCs w:val="10"/>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8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25,018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34,077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28,966</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Available-for-sale securities</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6,286</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3,503</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80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w w:val="97"/>
              </w:rPr>
              <w:t>Accounts receivable (net of allowances of $3, $0 and $0; includes accounts receivable from related parties of $272, $690 and $609,</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respectively)</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1,765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1,900</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2,495</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Inventories</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3,038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5,498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6,980</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768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2,068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2,451</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Restricted cash</w:t>
            </w:r>
          </w:p>
        </w:tc>
        <w:tc>
          <w:tcPr>
            <w:tcW w:w="10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31,089</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50,329</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44,395</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Restricted cash</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381</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256</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Property and equipment, net</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4,068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3,378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2,757</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Other assets (includes receivables from related parties of $277, $287 and $71, respectively)</w:t>
            </w:r>
          </w:p>
        </w:tc>
        <w:tc>
          <w:tcPr>
            <w:tcW w:w="10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auto"/>
              </w:rPr>
              <w:t>436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688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2,270</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36,493</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54,776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49,678</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rPr>
                <w:sz w:val="20"/>
                <w:szCs w:val="20"/>
                <w:color w:val="auto"/>
              </w:rPr>
            </w:pPr>
            <w:r>
              <w:rPr>
                <w:rFonts w:ascii="Arial" w:cs="Arial" w:eastAsia="Arial" w:hAnsi="Arial"/>
                <w:sz w:val="10"/>
                <w:szCs w:val="10"/>
                <w:b w:val="1"/>
                <w:bCs w:val="1"/>
                <w:color w:val="auto"/>
              </w:rPr>
              <w:t>Liabilities, Convertible Preferred Stock and Stockholders’ Equity (Deficit)</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Accounts payable (includes accounts payable to related parties of $174, $290 and $428, respectively)</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1,188</w:t>
            </w:r>
          </w:p>
        </w:tc>
        <w:tc>
          <w:tcPr>
            <w:tcW w:w="16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2,725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3,231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Accrued compensation and related benefits</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397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898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1,075</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Other accrued liabilities</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856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998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1,591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revenue, current portion (includes deferred revenue from related parties of $227, $276 and $253, respectively)</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1,010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2,652</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2,504</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Long-term debt, current portion</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3,476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3,834</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6,081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Convertible preferred stock warrant liabilities</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223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1,269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4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Total current liabilities</w:t>
            </w: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7,150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11,575</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15,751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Deferred revenue, net of current portion (includes deferred revenue from related parties of $493, $359 and $253, respectively)</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786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762</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602</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Long-term debt, net of current portion</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9,362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5,528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10,477</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promissory notes from related parties</w:t>
            </w: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13,072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4,997</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10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163</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218</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liabilities</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30,370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23,025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27,048</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Commitments and contingencies (Note 6)</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8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w w:val="99"/>
              </w:rPr>
              <w:t>Convertible preferred stock issuable in series, $0.001 par value: 14,981, 17,655 and 17,655 shares authorized, 12,367, 16,192 and</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w w:val="97"/>
              </w:rPr>
              <w:t>16,626 shares issued and outstanding as of December 31, 2006, December 29, 2007 and June 28, 2008 (unaudited), respectively;</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w w:val="96"/>
              </w:rPr>
              <w:t>aggregate liquidation preference of $171,228 as of June 28, 2008 (unaudited); no shares authorized, issued or outstanding pro forma</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(unaudited)</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112,295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162,082</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167,538</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0" w:type="dxa"/>
            <w:vAlign w:val="bottom"/>
          </w:tcPr>
          <w:p>
            <w:pPr>
              <w:spacing w:after="0" w:line="108" w:lineRule="exact"/>
              <w:rPr>
                <w:sz w:val="20"/>
                <w:szCs w:val="20"/>
                <w:color w:val="auto"/>
              </w:rPr>
            </w:pPr>
            <w:r>
              <w:rPr>
                <w:rFonts w:ascii="Arial" w:cs="Arial" w:eastAsia="Arial" w:hAnsi="Arial"/>
                <w:sz w:val="10"/>
                <w:szCs w:val="10"/>
                <w:color w:val="auto"/>
              </w:rPr>
              <w:t>Stockholders’ equity (deficit):</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80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rPr>
              <w:t>Common stock, $0.001 par value: 22,244, 24,967 and 24,967 shares authorized, 2,714, 2,829 and 2,858 shares issued and</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w w:val="96"/>
              </w:rPr>
              <w:t>outstanding as of December 31, 2006, December 29, 2007 and June 28, 2008 (unaudited), respectively; 24,967 shares authorized,</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19,484 shares issued and outstanding pro forma (unaudited)</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Additional paid-in capital</w:t>
            </w:r>
          </w:p>
        </w:tc>
        <w:tc>
          <w:tcPr>
            <w:tcW w:w="100" w:type="dxa"/>
            <w:vAlign w:val="bottom"/>
          </w:tcPr>
          <w:p>
            <w:pPr>
              <w:spacing w:after="0"/>
              <w:rPr>
                <w:sz w:val="9"/>
                <w:szCs w:val="9"/>
                <w:color w:val="auto"/>
              </w:rPr>
            </w:pPr>
          </w:p>
        </w:tc>
        <w:tc>
          <w:tcPr>
            <w:tcW w:w="8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2,114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3,599</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4,390</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173,181</w:t>
            </w: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Accumulated other comprehensive loss</w:t>
            </w:r>
          </w:p>
        </w:tc>
        <w:tc>
          <w:tcPr>
            <w:tcW w:w="100" w:type="dxa"/>
            <w:vAlign w:val="bottom"/>
            <w:shd w:val="clear" w:color="auto" w:fill="CCEEFF"/>
          </w:tcPr>
          <w:p>
            <w:pPr>
              <w:spacing w:after="0"/>
              <w:rPr>
                <w:sz w:val="9"/>
                <w:szCs w:val="9"/>
                <w:color w:val="auto"/>
              </w:rPr>
            </w:pPr>
          </w:p>
        </w:tc>
        <w:tc>
          <w:tcPr>
            <w:tcW w:w="100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(241)</w:t>
            </w:r>
          </w:p>
        </w:tc>
        <w:tc>
          <w:tcPr>
            <w:tcW w:w="0" w:type="dxa"/>
            <w:vAlign w:val="bottom"/>
          </w:tcPr>
          <w:p>
            <w:pPr>
              <w:spacing w:after="0"/>
              <w:rPr>
                <w:sz w:val="1"/>
                <w:szCs w:val="1"/>
                <w:color w:val="auto"/>
              </w:rPr>
            </w:pPr>
          </w:p>
        </w:tc>
      </w:tr>
      <w:tr>
        <w:trPr>
          <w:trHeight w:val="108"/>
        </w:trPr>
        <w:tc>
          <w:tcPr>
            <w:tcW w:w="5800" w:type="dxa"/>
            <w:vAlign w:val="bottom"/>
          </w:tcPr>
          <w:p>
            <w:pPr>
              <w:ind w:left="120"/>
              <w:spacing w:after="0" w:line="108" w:lineRule="exact"/>
              <w:rPr>
                <w:sz w:val="20"/>
                <w:szCs w:val="20"/>
                <w:color w:val="auto"/>
              </w:rPr>
            </w:pPr>
            <w:r>
              <w:rPr>
                <w:rFonts w:ascii="Arial" w:cs="Arial" w:eastAsia="Arial" w:hAnsi="Arial"/>
                <w:sz w:val="10"/>
                <w:szCs w:val="10"/>
                <w:color w:val="auto"/>
              </w:rPr>
              <w:t>Accumulated deficit</w:t>
            </w:r>
          </w:p>
        </w:tc>
        <w:tc>
          <w:tcPr>
            <w:tcW w:w="100" w:type="dxa"/>
            <w:vAlign w:val="bottom"/>
          </w:tcPr>
          <w:p>
            <w:pPr>
              <w:spacing w:after="0"/>
              <w:rPr>
                <w:sz w:val="9"/>
                <w:szCs w:val="9"/>
                <w:color w:val="auto"/>
              </w:rPr>
            </w:pPr>
          </w:p>
        </w:tc>
        <w:tc>
          <w:tcPr>
            <w:tcW w:w="10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(108,272)</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(133,798)</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(149,060)</w:t>
            </w: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(149,060)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8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stockholders’ equity (deficit)</w:t>
            </w:r>
          </w:p>
        </w:tc>
        <w:tc>
          <w:tcPr>
            <w:tcW w:w="100" w:type="dxa"/>
            <w:vAlign w:val="bottom"/>
            <w:shd w:val="clear" w:color="auto" w:fill="CCEEFF"/>
          </w:tcPr>
          <w:p>
            <w:pPr>
              <w:spacing w:after="0"/>
              <w:rPr>
                <w:sz w:val="9"/>
                <w:szCs w:val="9"/>
                <w:color w:val="auto"/>
              </w:rPr>
            </w:pPr>
          </w:p>
        </w:tc>
        <w:tc>
          <w:tcPr>
            <w:tcW w:w="100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(106,172)</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(130,331)</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(144,908)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23,899</w:t>
            </w:r>
          </w:p>
        </w:tc>
        <w:tc>
          <w:tcPr>
            <w:tcW w:w="0" w:type="dxa"/>
            <w:vAlign w:val="bottom"/>
          </w:tcPr>
          <w:p>
            <w:pPr>
              <w:spacing w:after="0"/>
              <w:rPr>
                <w:sz w:val="1"/>
                <w:szCs w:val="1"/>
                <w:color w:val="auto"/>
              </w:rPr>
            </w:pPr>
          </w:p>
        </w:tc>
      </w:tr>
      <w:tr>
        <w:trPr>
          <w:trHeight w:val="117"/>
        </w:trPr>
        <w:tc>
          <w:tcPr>
            <w:tcW w:w="5800" w:type="dxa"/>
            <w:vAlign w:val="bottom"/>
          </w:tcPr>
          <w:p>
            <w:pPr>
              <w:spacing w:after="0" w:line="108" w:lineRule="exact"/>
              <w:rPr>
                <w:sz w:val="20"/>
                <w:szCs w:val="20"/>
                <w:color w:val="auto"/>
              </w:rPr>
            </w:pPr>
            <w:r>
              <w:rPr>
                <w:rFonts w:ascii="Arial" w:cs="Arial" w:eastAsia="Arial" w:hAnsi="Arial"/>
                <w:sz w:val="10"/>
                <w:szCs w:val="10"/>
                <w:color w:val="auto"/>
              </w:rPr>
              <w:t>Total liabilities, convertible preferred stock and stockholders’ equity (deficit)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36,493</w:t>
            </w: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54,776</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49,678</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4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82"/>
              <w:spacing w:after="0" w:line="81" w:lineRule="exact"/>
              <w:rPr>
                <w:sz w:val="20"/>
                <w:szCs w:val="20"/>
                <w:color w:val="auto"/>
              </w:rPr>
            </w:pPr>
            <w:r>
              <w:rPr>
                <w:rFonts w:ascii="Arial" w:cs="Arial" w:eastAsia="Arial" w:hAnsi="Arial"/>
                <w:sz w:val="9"/>
                <w:szCs w:val="9"/>
                <w:b w:val="1"/>
                <w:bCs w:val="1"/>
                <w:color w:val="auto"/>
              </w:rPr>
              <w:t>December 29,</w:t>
            </w: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ind w:right="343"/>
              <w:spacing w:after="0" w:line="81"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June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2007</w:t>
            </w:r>
          </w:p>
        </w:tc>
        <w:tc>
          <w:tcPr>
            <w:tcW w:w="3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71"/>
              </w:rPr>
              <w:t>(Unaudited)</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6"/>
              </w:rPr>
              <w:t>Product revenue (includes product revenue from related parties of $205, $241, $15, $0 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$96, respectively)</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6,076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3,959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4,451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1,489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4,382</w:t>
            </w:r>
          </w:p>
        </w:tc>
        <w:tc>
          <w:tcPr>
            <w:tcW w:w="0" w:type="dxa"/>
            <w:vAlign w:val="bottom"/>
          </w:tcPr>
          <w:p>
            <w:pPr>
              <w:spacing w:after="0"/>
              <w:rPr>
                <w:sz w:val="1"/>
                <w:szCs w:val="1"/>
                <w:color w:val="auto"/>
              </w:rPr>
            </w:pPr>
          </w:p>
        </w:tc>
      </w:tr>
      <w:tr>
        <w:trPr>
          <w:trHeight w:val="150"/>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Collaboration revenue</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1,376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7"/>
              </w:rPr>
              <w:t>Grant revenue (includes grant revenue from related parties of $0, $879, $1,758, $843 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$810, respectively)</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1,063</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2,364</w:t>
            </w:r>
          </w:p>
        </w:tc>
        <w:tc>
          <w:tcPr>
            <w:tcW w:w="80" w:type="dxa"/>
            <w:vAlign w:val="bottom"/>
          </w:tcPr>
          <w:p>
            <w:pPr>
              <w:spacing w:after="0"/>
              <w:rPr>
                <w:sz w:val="13"/>
                <w:szCs w:val="13"/>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1,198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revenue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7,275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2,997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5,520</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Costs and expenses: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 of product revenue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4,764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2,773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3,514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1,490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2,988</w:t>
            </w: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2"/>
              </w:rPr>
              <w:t>Research and development (includes research and development expenses from related parties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of $84, $128, $100, $50 and $50, respectively)</w:t>
            </w:r>
          </w:p>
        </w:tc>
        <w:tc>
          <w:tcPr>
            <w:tcW w:w="12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11,449</w:t>
            </w: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15,589</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14,389</w:t>
            </w:r>
          </w:p>
        </w:tc>
        <w:tc>
          <w:tcPr>
            <w:tcW w:w="80" w:type="dxa"/>
            <w:vAlign w:val="bottom"/>
          </w:tcPr>
          <w:p>
            <w:pPr>
              <w:spacing w:after="0"/>
              <w:rPr>
                <w:sz w:val="13"/>
                <w:szCs w:val="13"/>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7,053</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7,151</w:t>
            </w:r>
          </w:p>
        </w:tc>
        <w:tc>
          <w:tcPr>
            <w:tcW w:w="0" w:type="dxa"/>
            <w:vAlign w:val="bottom"/>
          </w:tcPr>
          <w:p>
            <w:pPr>
              <w:spacing w:after="0"/>
              <w:rPr>
                <w:sz w:val="1"/>
                <w:szCs w:val="1"/>
                <w:color w:val="auto"/>
              </w:rPr>
            </w:pPr>
          </w:p>
        </w:tc>
      </w:tr>
      <w:tr>
        <w:trPr>
          <w:trHeight w:val="143"/>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Selling, general and administrative (includes selling, general and administrative expense from</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related parties of $946, $809, $660, $288 and $616, respectively)</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9,699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12,898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6,183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9,843</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20"/>
              <w:spacing w:after="0"/>
              <w:rPr>
                <w:sz w:val="20"/>
                <w:szCs w:val="20"/>
                <w:color w:val="auto"/>
              </w:rPr>
            </w:pPr>
            <w:r>
              <w:rPr>
                <w:rFonts w:ascii="Arial" w:cs="Arial" w:eastAsia="Arial" w:hAnsi="Arial"/>
                <w:sz w:val="12"/>
                <w:szCs w:val="12"/>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24,168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28,061</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30,801</w:t>
            </w:r>
          </w:p>
        </w:tc>
        <w:tc>
          <w:tcPr>
            <w:tcW w:w="80" w:type="dxa"/>
            <w:vAlign w:val="bottom"/>
          </w:tcPr>
          <w:p>
            <w:pPr>
              <w:spacing w:after="0"/>
              <w:rPr>
                <w:sz w:val="12"/>
                <w:szCs w:val="12"/>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14,726</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19,982</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(16,494)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(21,663)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(23,526)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(11,729)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(14,462)</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w w:val="98"/>
              </w:rPr>
              <w:t>Interest expense (includes interest to related parties of $160, $445, $1,286, $980 and $417)</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(898)</w:t>
            </w: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(2,261)</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(2,790)</w:t>
            </w:r>
          </w:p>
        </w:tc>
        <w:tc>
          <w:tcPr>
            <w:tcW w:w="80" w:type="dxa"/>
            <w:vAlign w:val="bottom"/>
          </w:tcPr>
          <w:p>
            <w:pPr>
              <w:spacing w:after="0"/>
              <w:rPr>
                <w:sz w:val="12"/>
                <w:szCs w:val="12"/>
                <w:color w:val="auto"/>
              </w:rPr>
            </w:pP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(1,790)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565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565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(170)</w:t>
            </w:r>
          </w:p>
        </w:tc>
        <w:tc>
          <w:tcPr>
            <w:tcW w:w="80" w:type="dxa"/>
            <w:vAlign w:val="bottom"/>
          </w:tcPr>
          <w:p>
            <w:pPr>
              <w:spacing w:after="0"/>
              <w:rPr>
                <w:sz w:val="12"/>
                <w:szCs w:val="12"/>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w w:val="95"/>
              </w:rPr>
              <w:t>Loss before provision for income taxes and cumulative effect of change in accounting principle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(17,022)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(25,346)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(12,917)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(15,219)</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2"/>
                <w:szCs w:val="12"/>
                <w:color w:val="auto"/>
              </w:rPr>
            </w:pP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before cumulative effect of change in accounting principle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(17,022)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(25,451)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(12,969)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(15,262)</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(16,385)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(25,451)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(12,969)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(15,262)</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20"/>
                <w:szCs w:val="20"/>
                <w:color w:val="auto"/>
              </w:rPr>
            </w:pPr>
            <w:r>
              <w:rPr>
                <w:rFonts w:ascii="Arial" w:cs="Arial" w:eastAsia="Arial" w:hAnsi="Arial"/>
                <w:sz w:val="12"/>
                <w:szCs w:val="12"/>
                <w:color w:val="auto"/>
                <w:w w:val="94"/>
              </w:rPr>
              <w:t>Net loss per share of common stock before cumulative effect of change in accounting principle,</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120"/>
              <w:spacing w:after="0"/>
              <w:rPr>
                <w:sz w:val="20"/>
                <w:szCs w:val="20"/>
                <w:color w:val="auto"/>
              </w:rPr>
            </w:pPr>
            <w:r>
              <w:rPr>
                <w:rFonts w:ascii="Arial" w:cs="Arial" w:eastAsia="Arial" w:hAnsi="Arial"/>
                <w:sz w:val="12"/>
                <w:szCs w:val="12"/>
                <w:color w:val="auto"/>
              </w:rPr>
              <w:t>basic and diluted</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(6.60)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(8.82)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(9.21)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(4.74)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(5.39)</w:t>
            </w:r>
          </w:p>
        </w:tc>
        <w:tc>
          <w:tcPr>
            <w:tcW w:w="0" w:type="dxa"/>
            <w:vAlign w:val="bottom"/>
          </w:tcPr>
          <w:p>
            <w:pPr>
              <w:spacing w:after="0"/>
              <w:rPr>
                <w:sz w:val="1"/>
                <w:szCs w:val="1"/>
                <w:color w:val="auto"/>
              </w:rPr>
            </w:pPr>
          </w:p>
        </w:tc>
      </w:tr>
      <w:tr>
        <w:trPr>
          <w:trHeight w:val="15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 basic and diluted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2"/>
                <w:szCs w:val="12"/>
                <w:color w:val="auto"/>
              </w:rPr>
              <w:t>Net loss per share of common stock, basic and diluted</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vMerge w:val="continue"/>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(6.35)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(8.82)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(9.21)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(4.74)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(5.39)</w:t>
            </w:r>
          </w:p>
        </w:tc>
        <w:tc>
          <w:tcPr>
            <w:tcW w:w="0" w:type="dxa"/>
            <w:vAlign w:val="bottom"/>
          </w:tcPr>
          <w:p>
            <w:pPr>
              <w:spacing w:after="0"/>
              <w:rPr>
                <w:sz w:val="1"/>
                <w:szCs w:val="1"/>
                <w:color w:val="auto"/>
              </w:rPr>
            </w:pPr>
          </w:p>
        </w:tc>
      </w:tr>
      <w:tr>
        <w:trPr>
          <w:trHeight w:val="35"/>
        </w:trPr>
        <w:tc>
          <w:tcPr>
            <w:tcW w:w="48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Shares used in computing net loss per share of common stock, basic and diluted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2,671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2,765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2,736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2,832</w:t>
            </w:r>
          </w:p>
        </w:tc>
        <w:tc>
          <w:tcPr>
            <w:tcW w:w="0" w:type="dxa"/>
            <w:vAlign w:val="bottom"/>
          </w:tcPr>
          <w:p>
            <w:pPr>
              <w:spacing w:after="0"/>
              <w:rPr>
                <w:sz w:val="1"/>
                <w:szCs w:val="1"/>
                <w:color w:val="auto"/>
              </w:rPr>
            </w:pPr>
          </w:p>
        </w:tc>
      </w:tr>
      <w:tr>
        <w:trPr>
          <w:trHeight w:val="29"/>
        </w:trPr>
        <w:tc>
          <w:tcPr>
            <w:tcW w:w="4800" w:type="dxa"/>
            <w:vAlign w:val="bottom"/>
            <w:vMerge w:val="restart"/>
          </w:tcPr>
          <w:p>
            <w:pPr>
              <w:spacing w:after="0"/>
              <w:rPr>
                <w:sz w:val="20"/>
                <w:szCs w:val="20"/>
                <w:color w:val="auto"/>
              </w:rPr>
            </w:pPr>
            <w:r>
              <w:rPr>
                <w:rFonts w:ascii="Arial" w:cs="Arial" w:eastAsia="Arial" w:hAnsi="Arial"/>
                <w:sz w:val="12"/>
                <w:szCs w:val="12"/>
                <w:color w:val="auto"/>
              </w:rPr>
              <w:t>Pro forma net loss per share of common stock, basic and diluted (unaudited)</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(1.52)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(0.78)</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w w:val="98"/>
              </w:rPr>
              <w:t>Shares used in computing pro forma net loss per share of common stock, basic and diluted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16,577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19,149</w:t>
            </w:r>
          </w:p>
        </w:tc>
        <w:tc>
          <w:tcPr>
            <w:tcW w:w="0" w:type="dxa"/>
            <w:vAlign w:val="bottom"/>
          </w:tcPr>
          <w:p>
            <w:pPr>
              <w:spacing w:after="0"/>
              <w:rPr>
                <w:sz w:val="1"/>
                <w:szCs w:val="1"/>
                <w:color w:val="auto"/>
              </w:rPr>
            </w:pPr>
          </w:p>
        </w:tc>
      </w:tr>
      <w:tr>
        <w:trPr>
          <w:trHeight w:val="32"/>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103"/>
        </w:trPr>
        <w:tc>
          <w:tcPr>
            <w:tcW w:w="5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5700" w:type="dxa"/>
            <w:vAlign w:val="bottom"/>
          </w:tcPr>
          <w:p>
            <w:pPr>
              <w:spacing w:after="0"/>
              <w:rPr>
                <w:sz w:val="8"/>
                <w:szCs w:val="8"/>
                <w:color w:val="auto"/>
              </w:rPr>
            </w:pPr>
          </w:p>
        </w:tc>
        <w:tc>
          <w:tcPr>
            <w:tcW w:w="1160" w:type="dxa"/>
            <w:vAlign w:val="bottom"/>
            <w:tcBorders>
              <w:right w:val="single" w:sz="8" w:color="auto"/>
            </w:tcBorders>
            <w:gridSpan w:val="6"/>
          </w:tcPr>
          <w:p>
            <w:pPr>
              <w:jc w:val="right"/>
              <w:ind w:right="46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4"/>
          </w:tcPr>
          <w:p>
            <w:pPr>
              <w:ind w:left="100"/>
              <w:spacing w:after="0" w:line="98"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right"/>
              <w:ind w:right="26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5700" w:type="dxa"/>
            <w:vAlign w:val="bottom"/>
          </w:tcPr>
          <w:p>
            <w:pPr>
              <w:spacing w:after="0"/>
              <w:rPr>
                <w:sz w:val="9"/>
                <w:szCs w:val="9"/>
                <w:color w:val="auto"/>
              </w:rPr>
            </w:pPr>
          </w:p>
        </w:tc>
        <w:tc>
          <w:tcPr>
            <w:tcW w:w="1160" w:type="dxa"/>
            <w:vAlign w:val="bottom"/>
            <w:tcBorders>
              <w:right w:val="single" w:sz="8" w:color="auto"/>
            </w:tcBorders>
            <w:gridSpan w:val="6"/>
          </w:tcPr>
          <w:p>
            <w:pPr>
              <w:jc w:val="right"/>
              <w:ind w:right="38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40" w:type="dxa"/>
            <w:vAlign w:val="bottom"/>
            <w:gridSpan w:val="3"/>
          </w:tcPr>
          <w:p>
            <w:pPr>
              <w:ind w:left="120"/>
              <w:spacing w:after="0"/>
              <w:rPr>
                <w:sz w:val="20"/>
                <w:szCs w:val="20"/>
                <w:color w:val="auto"/>
              </w:rPr>
            </w:pPr>
            <w:r>
              <w:rPr>
                <w:rFonts w:ascii="Arial" w:cs="Arial" w:eastAsia="Arial" w:hAnsi="Arial"/>
                <w:sz w:val="9"/>
                <w:szCs w:val="9"/>
                <w:b w:val="1"/>
                <w:bCs w:val="1"/>
                <w:color w:val="auto"/>
                <w:w w:val="90"/>
              </w:rPr>
              <w:t>Common Stock</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9"/>
                <w:szCs w:val="9"/>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91"/>
              </w:rPr>
              <w:t>Comprehensive</w:t>
            </w:r>
          </w:p>
        </w:tc>
        <w:tc>
          <w:tcPr>
            <w:tcW w:w="640" w:type="dxa"/>
            <w:vAlign w:val="bottom"/>
            <w:gridSpan w:val="3"/>
          </w:tcPr>
          <w:p>
            <w:pPr>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9"/>
                <w:szCs w:val="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w w:val="87"/>
              </w:rPr>
              <w:t>Stockholders’</w:t>
            </w:r>
          </w:p>
        </w:tc>
      </w:tr>
      <w:tr>
        <w:trPr>
          <w:trHeight w:val="88"/>
        </w:trPr>
        <w:tc>
          <w:tcPr>
            <w:tcW w:w="570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00" w:type="dxa"/>
            <w:vAlign w:val="bottom"/>
            <w:tcBorders>
              <w:top w:val="single" w:sz="8" w:color="auto"/>
            </w:tcBorders>
          </w:tcPr>
          <w:p>
            <w:pPr>
              <w:spacing w:after="0"/>
              <w:rPr>
                <w:sz w:val="7"/>
                <w:szCs w:val="7"/>
                <w:color w:val="auto"/>
              </w:rPr>
            </w:pPr>
          </w:p>
        </w:tc>
        <w:tc>
          <w:tcPr>
            <w:tcW w:w="30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w w:val="91"/>
              </w:rPr>
              <w:t>Income (Loss)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94"/>
              <w:spacing w:after="0" w:line="88" w:lineRule="exact"/>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b w:val="1"/>
                <w:bCs w:val="1"/>
                <w:color w:val="auto"/>
                <w:w w:val="88"/>
              </w:rPr>
              <w:t>Equity (Deficit)</w:t>
            </w:r>
          </w:p>
        </w:tc>
        <w:tc>
          <w:tcPr>
            <w:tcW w:w="40" w:type="dxa"/>
            <w:vAlign w:val="bottom"/>
          </w:tcPr>
          <w:p>
            <w:pPr>
              <w:spacing w:after="0"/>
              <w:rPr>
                <w:sz w:val="7"/>
                <w:szCs w:val="7"/>
                <w:color w:val="auto"/>
              </w:rPr>
            </w:pPr>
          </w:p>
        </w:tc>
      </w:tr>
      <w:tr>
        <w:trPr>
          <w:trHeight w:val="88"/>
        </w:trPr>
        <w:tc>
          <w:tcPr>
            <w:tcW w:w="57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January 1, 2005</w:t>
            </w: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9,384</w:t>
            </w:r>
          </w:p>
        </w:tc>
        <w:tc>
          <w:tcPr>
            <w:tcW w:w="18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76,596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2,551</w:t>
            </w:r>
          </w:p>
        </w:tc>
        <w:tc>
          <w:tcPr>
            <w:tcW w:w="2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3</w:t>
            </w:r>
          </w:p>
        </w:tc>
        <w:tc>
          <w:tcPr>
            <w:tcW w:w="16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2,876</w:t>
            </w:r>
          </w:p>
        </w:tc>
        <w:tc>
          <w:tcPr>
            <w:tcW w:w="1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9"/>
                <w:szCs w:val="9"/>
                <w:color w:val="auto"/>
              </w:rPr>
              <w:t>(16)</w:t>
            </w:r>
          </w:p>
        </w:tc>
        <w:tc>
          <w:tcPr>
            <w:tcW w:w="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(68,334)</w:t>
            </w:r>
          </w:p>
        </w:tc>
        <w:tc>
          <w:tcPr>
            <w:tcW w:w="1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
                <w:szCs w:val="1"/>
                <w:color w:val="auto"/>
                <w:w w:val="4294967288"/>
              </w:rPr>
              <w:t>$</w:t>
            </w:r>
          </w:p>
        </w:tc>
        <w:tc>
          <w:tcPr>
            <w:tcW w:w="6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(65,471)</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46</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Issuance of Series D convertible preferred stock for cash at $9.80 per share, net of issuance costs of $11</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1,025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10,042</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Issuance of common stock for services</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23</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34</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Stock-based compensation expense</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Issuance of convertible preferred stock warrants in connection with financing activities</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54</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$9.80 per share</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2,328</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Reclassification of convertible preferred stock warrants to liabilities upon adoption of FSP 150-5</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(1,473)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(1,473)</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Comprehensive loss: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8"/>
        </w:trPr>
        <w:tc>
          <w:tcPr>
            <w:tcW w:w="5700" w:type="dxa"/>
            <w:vAlign w:val="bottom"/>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15</w:t>
            </w:r>
          </w:p>
        </w:tc>
      </w:tr>
      <w:tr>
        <w:trPr>
          <w:trHeight w:val="98"/>
        </w:trPr>
        <w:tc>
          <w:tcPr>
            <w:tcW w:w="57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Unrealized gain on available-for-sale securities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21</w:t>
            </w:r>
          </w:p>
        </w:tc>
      </w:tr>
      <w:tr>
        <w:trPr>
          <w:trHeight w:val="98"/>
        </w:trPr>
        <w:tc>
          <w:tcPr>
            <w:tcW w:w="5700" w:type="dxa"/>
            <w:vAlign w:val="bottom"/>
          </w:tcPr>
          <w:p>
            <w:pPr>
              <w:ind w:left="280"/>
              <w:spacing w:after="0" w:line="98" w:lineRule="exact"/>
              <w:rPr>
                <w:sz w:val="20"/>
                <w:szCs w:val="20"/>
                <w:color w:val="auto"/>
              </w:rPr>
            </w:pPr>
            <w:r>
              <w:rPr>
                <w:rFonts w:ascii="Arial" w:cs="Arial" w:eastAsia="Arial" w:hAnsi="Arial"/>
                <w:sz w:val="9"/>
                <w:szCs w:val="9"/>
                <w:color w:val="auto"/>
              </w:rPr>
              <w:t>Net loss</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(16,385)</w:t>
            </w:r>
          </w:p>
        </w:tc>
        <w:tc>
          <w:tcPr>
            <w:tcW w:w="12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(16,385)</w:t>
            </w:r>
          </w:p>
        </w:tc>
      </w:tr>
      <w:tr>
        <w:trPr>
          <w:trHeight w:val="20"/>
        </w:trPr>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comprehensive loss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(16,349)</w:t>
            </w:r>
          </w:p>
        </w:tc>
      </w:tr>
      <w:tr>
        <w:trPr>
          <w:trHeight w:val="98"/>
        </w:trPr>
        <w:tc>
          <w:tcPr>
            <w:tcW w:w="5700" w:type="dxa"/>
            <w:vAlign w:val="bottom"/>
          </w:tcPr>
          <w:p>
            <w:pPr>
              <w:spacing w:after="0" w:line="98" w:lineRule="exact"/>
              <w:rPr>
                <w:sz w:val="20"/>
                <w:szCs w:val="20"/>
                <w:color w:val="auto"/>
              </w:rPr>
            </w:pPr>
            <w:r>
              <w:rPr>
                <w:rFonts w:ascii="Arial" w:cs="Arial" w:eastAsia="Arial" w:hAnsi="Arial"/>
                <w:sz w:val="9"/>
                <w:szCs w:val="9"/>
                <w:color w:val="auto"/>
              </w:rPr>
              <w:t>Balance as of December 31, 2005</w:t>
            </w: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10,647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88,966</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2,623</w:t>
            </w: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1,542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(84,719)</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(83,154)</w:t>
            </w:r>
          </w:p>
        </w:tc>
        <w:tc>
          <w:tcPr>
            <w:tcW w:w="40" w:type="dxa"/>
            <w:vAlign w:val="bottom"/>
          </w:tcPr>
          <w:p>
            <w:pPr>
              <w:spacing w:after="0"/>
              <w:rPr>
                <w:sz w:val="8"/>
                <w:szCs w:val="8"/>
                <w:color w:val="auto"/>
              </w:rPr>
            </w:pP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126</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190</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190</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Repurchase of common stock</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(35)</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(69)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Issuance of Series D convertible preferred stock at $9.80 per share upon exercise of warrants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729</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Issuance of Series E convertible preferred stock for cash at $14.00 per share, net of issuance costs of $133</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1,582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22,003</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Issuance of Series D convertible preferred stock at $9.80 per share under license agreement, net of issuance costs of $3</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597</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145</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306</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Comprehensive loss: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57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(36)</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w:t>
            </w:r>
          </w:p>
        </w:tc>
      </w:tr>
      <w:tr>
        <w:trPr>
          <w:trHeight w:val="98"/>
        </w:trPr>
        <w:tc>
          <w:tcPr>
            <w:tcW w:w="5700" w:type="dxa"/>
            <w:vAlign w:val="bottom"/>
          </w:tcPr>
          <w:p>
            <w:pPr>
              <w:ind w:left="2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(1)</w:t>
            </w:r>
          </w:p>
        </w:tc>
      </w:tr>
      <w:tr>
        <w:trPr>
          <w:trHeight w:val="98"/>
        </w:trPr>
        <w:tc>
          <w:tcPr>
            <w:tcW w:w="57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Net loss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(23,553)</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(23,553)</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Total comprehensive loss</w:t>
            </w: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(23,590)</w:t>
            </w:r>
          </w:p>
        </w:tc>
        <w:tc>
          <w:tcPr>
            <w:tcW w:w="40" w:type="dxa"/>
            <w:vAlign w:val="bottom"/>
          </w:tcPr>
          <w:p>
            <w:pPr>
              <w:spacing w:after="0"/>
              <w:rPr>
                <w:sz w:val="8"/>
                <w:szCs w:val="8"/>
                <w:color w:val="auto"/>
              </w:rPr>
            </w:pPr>
          </w:p>
        </w:tc>
      </w:tr>
      <w:tr>
        <w:trPr>
          <w:trHeight w:val="98"/>
        </w:trPr>
        <w:tc>
          <w:tcPr>
            <w:tcW w:w="57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as of December 31, 2006</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12,367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w w:val="92"/>
              </w:rPr>
              <w:t>112,295</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2,714</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2,114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(108,272)</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(106,172)</w:t>
            </w:r>
          </w:p>
        </w:tc>
      </w:tr>
      <w:tr>
        <w:trPr>
          <w:trHeight w:val="98"/>
        </w:trPr>
        <w:tc>
          <w:tcPr>
            <w:tcW w:w="5700" w:type="dxa"/>
            <w:vAlign w:val="bottom"/>
          </w:tcPr>
          <w:p>
            <w:pPr>
              <w:ind w:left="100"/>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(75)</w:t>
            </w:r>
          </w:p>
        </w:tc>
        <w:tc>
          <w:tcPr>
            <w:tcW w:w="12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(75)</w:t>
            </w:r>
          </w:p>
        </w:tc>
      </w:tr>
      <w:tr>
        <w:trPr>
          <w:trHeight w:val="98"/>
        </w:trPr>
        <w:tc>
          <w:tcPr>
            <w:tcW w:w="5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85</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147</w:t>
            </w:r>
          </w:p>
        </w:tc>
      </w:tr>
      <w:tr>
        <w:trPr>
          <w:trHeight w:val="98"/>
        </w:trPr>
        <w:tc>
          <w:tcPr>
            <w:tcW w:w="570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for cash at $14.00 per share, net of issuance costs of $1,189</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2,650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35,911</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for services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145</w:t>
            </w:r>
          </w:p>
        </w:tc>
      </w:tr>
      <w:tr>
        <w:trPr>
          <w:trHeight w:val="98"/>
        </w:trPr>
        <w:tc>
          <w:tcPr>
            <w:tcW w:w="570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708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708</w:t>
            </w:r>
          </w:p>
        </w:tc>
      </w:tr>
      <w:tr>
        <w:trPr>
          <w:trHeight w:val="98"/>
        </w:trPr>
        <w:tc>
          <w:tcPr>
            <w:tcW w:w="5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$9.80 per share</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3,240</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upon conversion of promissory notes at $12.60 per share</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844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10,636</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5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485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485</w:t>
            </w:r>
          </w:p>
        </w:tc>
      </w:tr>
      <w:tr>
        <w:trPr>
          <w:trHeight w:val="98"/>
        </w:trPr>
        <w:tc>
          <w:tcPr>
            <w:tcW w:w="5700" w:type="dxa"/>
            <w:vAlign w:val="bottom"/>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Foreign currency translation adjustment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(107)</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(107)</w:t>
            </w:r>
          </w:p>
        </w:tc>
      </w:tr>
      <w:tr>
        <w:trPr>
          <w:trHeight w:val="98"/>
        </w:trPr>
        <w:tc>
          <w:tcPr>
            <w:tcW w:w="5700" w:type="dxa"/>
            <w:vAlign w:val="bottom"/>
          </w:tcPr>
          <w:p>
            <w:pPr>
              <w:ind w:left="20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(11)</w:t>
            </w:r>
          </w:p>
        </w:tc>
        <w:tc>
          <w:tcPr>
            <w:tcW w:w="80" w:type="dxa"/>
            <w:vAlign w:val="bottom"/>
          </w:tcPr>
          <w:p>
            <w:pPr>
              <w:spacing w:after="0"/>
              <w:rPr>
                <w:sz w:val="8"/>
                <w:szCs w:val="8"/>
                <w:color w:val="auto"/>
              </w:rPr>
            </w:pPr>
          </w:p>
        </w:tc>
        <w:tc>
          <w:tcPr>
            <w:tcW w:w="5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w:t>
            </w:r>
          </w:p>
        </w:tc>
      </w:tr>
      <w:tr>
        <w:trPr>
          <w:trHeight w:val="98"/>
        </w:trPr>
        <w:tc>
          <w:tcPr>
            <w:tcW w:w="5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loss</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(25,451)</w:t>
            </w:r>
          </w:p>
        </w:tc>
        <w:tc>
          <w:tcPr>
            <w:tcW w:w="120" w:type="dxa"/>
            <w:vAlign w:val="bottom"/>
            <w:tcBorders>
              <w:right w:val="single" w:sz="8" w:color="CCEEFF"/>
            </w:tcBorders>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(25,451)</w:t>
            </w:r>
          </w:p>
        </w:tc>
      </w:tr>
      <w:tr>
        <w:trPr>
          <w:trHeight w:val="98"/>
        </w:trPr>
        <w:tc>
          <w:tcPr>
            <w:tcW w:w="570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loss</w:t>
            </w: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(25,569)</w:t>
            </w:r>
          </w:p>
        </w:tc>
        <w:tc>
          <w:tcPr>
            <w:tcW w:w="40" w:type="dxa"/>
            <w:vAlign w:val="bottom"/>
          </w:tcPr>
          <w:p>
            <w:pPr>
              <w:spacing w:after="0"/>
              <w:rPr>
                <w:sz w:val="8"/>
                <w:szCs w:val="8"/>
                <w:color w:val="auto"/>
              </w:rPr>
            </w:pPr>
          </w:p>
        </w:tc>
      </w:tr>
      <w:tr>
        <w:trPr>
          <w:trHeight w:val="98"/>
        </w:trPr>
        <w:tc>
          <w:tcPr>
            <w:tcW w:w="5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Balance as of December 29, 2007 (carried forward)</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16,192</w:t>
            </w:r>
          </w:p>
        </w:tc>
        <w:tc>
          <w:tcPr>
            <w:tcW w:w="1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w w:val="92"/>
              </w:rPr>
              <w:t>162,082</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2,829</w:t>
            </w:r>
          </w:p>
        </w:tc>
        <w:tc>
          <w:tcPr>
            <w:tcW w:w="2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w:t>
            </w:r>
          </w:p>
        </w:tc>
        <w:tc>
          <w:tcPr>
            <w:tcW w:w="16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3,599</w:t>
            </w:r>
          </w:p>
        </w:tc>
        <w:tc>
          <w:tcPr>
            <w:tcW w:w="1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(135)</w:t>
            </w:r>
          </w:p>
        </w:tc>
        <w:tc>
          <w:tcPr>
            <w:tcW w:w="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(133,798)</w:t>
            </w:r>
          </w:p>
        </w:tc>
        <w:tc>
          <w:tcPr>
            <w:tcW w:w="1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
                <w:szCs w:val="1"/>
                <w:color w:val="auto"/>
                <w:w w:val="4294967288"/>
              </w:rPr>
              <w:t>$</w:t>
            </w:r>
          </w:p>
        </w:tc>
        <w:tc>
          <w:tcPr>
            <w:tcW w:w="6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(130,331)</w:t>
            </w:r>
          </w:p>
        </w:tc>
      </w:tr>
    </w:tbl>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343" w:right="37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 — (Continued)</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1420" w:type="dxa"/>
        <w:tblCellMar>
          <w:top w:w="0" w:type="dxa"/>
          <w:left w:w="0" w:type="dxa"/>
          <w:bottom w:w="0" w:type="dxa"/>
          <w:right w:w="0" w:type="dxa"/>
        </w:tblCellMar>
      </w:tblPr>
      <w:tr>
        <w:trPr>
          <w:trHeight w:val="103"/>
        </w:trPr>
        <w:tc>
          <w:tcPr>
            <w:tcW w:w="4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4240" w:type="dxa"/>
            <w:vAlign w:val="bottom"/>
          </w:tcPr>
          <w:p>
            <w:pPr>
              <w:spacing w:after="0"/>
              <w:rPr>
                <w:sz w:val="8"/>
                <w:szCs w:val="8"/>
                <w:color w:val="auto"/>
              </w:rPr>
            </w:pPr>
          </w:p>
        </w:tc>
        <w:tc>
          <w:tcPr>
            <w:tcW w:w="1060" w:type="dxa"/>
            <w:vAlign w:val="bottom"/>
            <w:tcBorders>
              <w:right w:val="single" w:sz="8" w:color="auto"/>
            </w:tcBorders>
            <w:gridSpan w:val="6"/>
          </w:tcPr>
          <w:p>
            <w:pPr>
              <w:ind w:left="200"/>
              <w:spacing w:after="0" w:line="98" w:lineRule="exact"/>
              <w:rPr>
                <w:sz w:val="20"/>
                <w:szCs w:val="20"/>
                <w:color w:val="auto"/>
              </w:rPr>
            </w:pPr>
            <w:r>
              <w:rPr>
                <w:rFonts w:ascii="Arial" w:cs="Arial" w:eastAsia="Arial" w:hAnsi="Arial"/>
                <w:sz w:val="9"/>
                <w:szCs w:val="9"/>
                <w:b w:val="1"/>
                <w:bCs w:val="1"/>
                <w:color w:val="auto"/>
              </w:rPr>
              <w:t>Convertible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40" w:type="dxa"/>
            <w:vAlign w:val="bottom"/>
          </w:tcPr>
          <w:p>
            <w:pPr>
              <w:spacing w:after="0"/>
              <w:rPr>
                <w:sz w:val="8"/>
                <w:szCs w:val="8"/>
                <w:color w:val="auto"/>
              </w:rPr>
            </w:pPr>
          </w:p>
        </w:tc>
        <w:tc>
          <w:tcPr>
            <w:tcW w:w="74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24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4240" w:type="dxa"/>
            <w:vAlign w:val="bottom"/>
          </w:tcPr>
          <w:p>
            <w:pPr>
              <w:spacing w:after="0"/>
              <w:rPr>
                <w:sz w:val="9"/>
                <w:szCs w:val="9"/>
                <w:color w:val="auto"/>
              </w:rPr>
            </w:pPr>
          </w:p>
        </w:tc>
        <w:tc>
          <w:tcPr>
            <w:tcW w:w="1060" w:type="dxa"/>
            <w:vAlign w:val="bottom"/>
            <w:tcBorders>
              <w:right w:val="single" w:sz="8" w:color="auto"/>
            </w:tcBorders>
            <w:gridSpan w:val="6"/>
          </w:tcPr>
          <w:p>
            <w:pPr>
              <w:ind w:left="120"/>
              <w:spacing w:after="0"/>
              <w:rPr>
                <w:sz w:val="20"/>
                <w:szCs w:val="20"/>
                <w:color w:val="auto"/>
              </w:rPr>
            </w:pPr>
            <w:r>
              <w:rPr>
                <w:rFonts w:ascii="Arial" w:cs="Arial" w:eastAsia="Arial" w:hAnsi="Arial"/>
                <w:sz w:val="9"/>
                <w:szCs w:val="9"/>
                <w:b w:val="1"/>
                <w:bCs w:val="1"/>
                <w:color w:val="auto"/>
              </w:rPr>
              <w:t>Preferred Stock</w:t>
            </w:r>
          </w:p>
        </w:tc>
        <w:tc>
          <w:tcPr>
            <w:tcW w:w="60" w:type="dxa"/>
            <w:vAlign w:val="bottom"/>
          </w:tcPr>
          <w:p>
            <w:pPr>
              <w:spacing w:after="0"/>
              <w:rPr>
                <w:sz w:val="9"/>
                <w:szCs w:val="9"/>
                <w:color w:val="auto"/>
              </w:rPr>
            </w:pPr>
          </w:p>
        </w:tc>
        <w:tc>
          <w:tcPr>
            <w:tcW w:w="720" w:type="dxa"/>
            <w:vAlign w:val="bottom"/>
            <w:gridSpan w:val="3"/>
          </w:tcPr>
          <w:p>
            <w:pPr>
              <w:ind w:left="100"/>
              <w:spacing w:after="0"/>
              <w:rPr>
                <w:sz w:val="20"/>
                <w:szCs w:val="20"/>
                <w:color w:val="auto"/>
              </w:rPr>
            </w:pPr>
            <w:r>
              <w:rPr>
                <w:rFonts w:ascii="Arial" w:cs="Arial" w:eastAsia="Arial" w:hAnsi="Arial"/>
                <w:sz w:val="9"/>
                <w:szCs w:val="9"/>
                <w:b w:val="1"/>
                <w:bCs w:val="1"/>
                <w:color w:val="auto"/>
                <w:w w:val="90"/>
              </w:rPr>
              <w:t>Common Stock</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3"/>
              </w:rPr>
              <w:t>Paid-In</w:t>
            </w:r>
          </w:p>
        </w:tc>
        <w:tc>
          <w:tcPr>
            <w:tcW w:w="7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8"/>
              </w:rPr>
              <w:t>Comprehensive</w:t>
            </w:r>
          </w:p>
        </w:tc>
        <w:tc>
          <w:tcPr>
            <w:tcW w:w="660" w:type="dxa"/>
            <w:vAlign w:val="bottom"/>
            <w:gridSpan w:val="3"/>
          </w:tcPr>
          <w:p>
            <w:pPr>
              <w:spacing w:after="0"/>
              <w:rPr>
                <w:sz w:val="20"/>
                <w:szCs w:val="20"/>
                <w:color w:val="auto"/>
              </w:rPr>
            </w:pPr>
            <w:r>
              <w:rPr>
                <w:rFonts w:ascii="Arial" w:cs="Arial" w:eastAsia="Arial" w:hAnsi="Arial"/>
                <w:sz w:val="9"/>
                <w:szCs w:val="9"/>
                <w:b w:val="1"/>
                <w:bCs w:val="1"/>
                <w:color w:val="auto"/>
              </w:rPr>
              <w:t>Accumulated</w:t>
            </w:r>
          </w:p>
        </w:tc>
        <w:tc>
          <w:tcPr>
            <w:tcW w:w="64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4240" w:type="dxa"/>
            <w:vAlign w:val="bottom"/>
          </w:tcPr>
          <w:p>
            <w:pPr>
              <w:spacing w:after="0"/>
              <w:rPr>
                <w:sz w:val="7"/>
                <w:szCs w:val="7"/>
                <w:color w:val="auto"/>
              </w:rPr>
            </w:pPr>
          </w:p>
        </w:tc>
        <w:tc>
          <w:tcPr>
            <w:tcW w:w="320" w:type="dxa"/>
            <w:vAlign w:val="bottom"/>
            <w:tcBorders>
              <w:top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93"/>
              </w:rPr>
              <w:t>Shares</w:t>
            </w:r>
          </w:p>
        </w:tc>
        <w:tc>
          <w:tcPr>
            <w:tcW w:w="160" w:type="dxa"/>
            <w:vAlign w:val="bottom"/>
            <w:tcBorders>
              <w:top w:val="single" w:sz="8" w:color="auto"/>
            </w:tcBorders>
            <w:gridSpan w:val="2"/>
          </w:tcPr>
          <w:p>
            <w:pPr>
              <w:spacing w:after="0"/>
              <w:rPr>
                <w:sz w:val="7"/>
                <w:szCs w:val="7"/>
                <w:color w:val="auto"/>
              </w:rPr>
            </w:pP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80" w:type="dxa"/>
            <w:vAlign w:val="bottom"/>
          </w:tcPr>
          <w:p>
            <w:pPr>
              <w:spacing w:after="0"/>
              <w:rPr>
                <w:sz w:val="7"/>
                <w:szCs w:val="7"/>
                <w:color w:val="auto"/>
              </w:rPr>
            </w:pPr>
          </w:p>
        </w:tc>
        <w:tc>
          <w:tcPr>
            <w:tcW w:w="600" w:type="dxa"/>
            <w:vAlign w:val="bottom"/>
            <w:gridSpan w:val="2"/>
          </w:tcPr>
          <w:p>
            <w:pPr>
              <w:jc w:val="center"/>
              <w:spacing w:after="0" w:line="88" w:lineRule="exact"/>
              <w:rPr>
                <w:sz w:val="20"/>
                <w:szCs w:val="20"/>
                <w:color w:val="auto"/>
              </w:rPr>
            </w:pPr>
            <w:r>
              <w:rPr>
                <w:rFonts w:ascii="Arial" w:cs="Arial" w:eastAsia="Arial" w:hAnsi="Arial"/>
                <w:sz w:val="9"/>
                <w:szCs w:val="9"/>
                <w:b w:val="1"/>
                <w:bCs w:val="1"/>
                <w:color w:val="auto"/>
                <w:w w:val="91"/>
              </w:rPr>
              <w:t>Income (Loss)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ind w:right="74"/>
              <w:spacing w:after="0" w:line="88" w:lineRule="exact"/>
              <w:rPr>
                <w:sz w:val="20"/>
                <w:szCs w:val="20"/>
                <w:color w:val="auto"/>
              </w:rPr>
            </w:pPr>
            <w:r>
              <w:rPr>
                <w:rFonts w:ascii="Arial" w:cs="Arial" w:eastAsia="Arial" w:hAnsi="Arial"/>
                <w:sz w:val="9"/>
                <w:szCs w:val="9"/>
                <w:b w:val="1"/>
                <w:bCs w:val="1"/>
                <w:color w:val="auto"/>
              </w:rPr>
              <w:t>Deficit</w:t>
            </w:r>
          </w:p>
        </w:tc>
        <w:tc>
          <w:tcPr>
            <w:tcW w:w="160" w:type="dxa"/>
            <w:vAlign w:val="bottom"/>
          </w:tcPr>
          <w:p>
            <w:pPr>
              <w:spacing w:after="0"/>
              <w:rPr>
                <w:sz w:val="7"/>
                <w:szCs w:val="7"/>
                <w:color w:val="auto"/>
              </w:rPr>
            </w:pPr>
          </w:p>
        </w:tc>
        <w:tc>
          <w:tcPr>
            <w:tcW w:w="640" w:type="dxa"/>
            <w:vAlign w:val="bottom"/>
            <w:gridSpan w:val="3"/>
          </w:tcPr>
          <w:p>
            <w:pPr>
              <w:spacing w:after="0" w:line="88" w:lineRule="exact"/>
              <w:rPr>
                <w:sz w:val="20"/>
                <w:szCs w:val="20"/>
                <w:color w:val="auto"/>
              </w:rPr>
            </w:pPr>
            <w:r>
              <w:rPr>
                <w:rFonts w:ascii="Arial" w:cs="Arial" w:eastAsia="Arial" w:hAnsi="Arial"/>
                <w:sz w:val="9"/>
                <w:szCs w:val="9"/>
                <w:b w:val="1"/>
                <w:bCs w:val="1"/>
                <w:color w:val="auto"/>
                <w:w w:val="97"/>
              </w:rPr>
              <w:t>Equity (Deficit)</w:t>
            </w:r>
          </w:p>
        </w:tc>
      </w:tr>
      <w:tr>
        <w:trPr>
          <w:trHeight w:val="20"/>
        </w:trPr>
        <w:tc>
          <w:tcPr>
            <w:tcW w:w="4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42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December 29, 2007 (brought forward)</w:t>
            </w: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16,192</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162,082</w:t>
            </w:r>
          </w:p>
        </w:tc>
        <w:tc>
          <w:tcPr>
            <w:tcW w:w="18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2,829</w:t>
            </w: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3</w:t>
            </w: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3,599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9"/>
                <w:szCs w:val="9"/>
                <w:color w:val="auto"/>
              </w:rPr>
              <w:t>(135)</w:t>
            </w:r>
          </w:p>
        </w:tc>
        <w:tc>
          <w:tcPr>
            <w:tcW w:w="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(133,798)</w:t>
            </w:r>
          </w:p>
        </w:tc>
        <w:tc>
          <w:tcPr>
            <w:tcW w:w="1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(130,331)</w:t>
            </w:r>
          </w:p>
        </w:tc>
      </w:tr>
      <w:tr>
        <w:trPr>
          <w:trHeight w:val="87"/>
        </w:trPr>
        <w:tc>
          <w:tcPr>
            <w:tcW w:w="4240" w:type="dxa"/>
            <w:vAlign w:val="bottom"/>
          </w:tcPr>
          <w:p>
            <w:pPr>
              <w:ind w:left="100"/>
              <w:spacing w:after="0" w:line="88" w:lineRule="exact"/>
              <w:rPr>
                <w:sz w:val="20"/>
                <w:szCs w:val="20"/>
                <w:color w:val="auto"/>
              </w:rPr>
            </w:pPr>
            <w:r>
              <w:rPr>
                <w:rFonts w:ascii="Arial" w:cs="Arial" w:eastAsia="Arial" w:hAnsi="Arial"/>
                <w:sz w:val="9"/>
                <w:szCs w:val="9"/>
                <w:color w:val="auto"/>
                <w:w w:val="95"/>
              </w:rPr>
              <w:t>Issuance of common stock upon exercise of stock options for cash and for vesting of stock options that were</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9"/>
        </w:trPr>
        <w:tc>
          <w:tcPr>
            <w:tcW w:w="4240" w:type="dxa"/>
            <w:vAlign w:val="bottom"/>
          </w:tcPr>
          <w:p>
            <w:pPr>
              <w:ind w:left="180"/>
              <w:spacing w:after="0"/>
              <w:rPr>
                <w:sz w:val="20"/>
                <w:szCs w:val="20"/>
                <w:color w:val="auto"/>
              </w:rPr>
            </w:pPr>
            <w:r>
              <w:rPr>
                <w:rFonts w:ascii="Arial" w:cs="Arial" w:eastAsia="Arial" w:hAnsi="Arial"/>
                <w:sz w:val="9"/>
                <w:szCs w:val="9"/>
                <w:color w:val="auto"/>
              </w:rPr>
              <w:t>exercised early (unaudited)</w:t>
            </w:r>
          </w:p>
        </w:tc>
        <w:tc>
          <w:tcPr>
            <w:tcW w:w="480" w:type="dxa"/>
            <w:vAlign w:val="bottom"/>
            <w:gridSpan w:val="3"/>
          </w:tcPr>
          <w:p>
            <w:pPr>
              <w:ind w:lef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9"/>
                <w:szCs w:val="9"/>
                <w:color w:val="auto"/>
              </w:rPr>
              <w:t>64</w:t>
            </w:r>
          </w:p>
        </w:tc>
        <w:tc>
          <w:tcPr>
            <w:tcW w:w="220" w:type="dxa"/>
            <w:vAlign w:val="bottom"/>
          </w:tcPr>
          <w:p>
            <w:pPr>
              <w:spacing w:after="0"/>
              <w:rPr>
                <w:sz w:val="9"/>
                <w:szCs w:val="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9"/>
                <w:szCs w:val="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9"/>
                <w:szCs w:val="9"/>
                <w:color w:val="auto"/>
              </w:rPr>
              <w:t>80</w:t>
            </w:r>
          </w:p>
        </w:tc>
        <w:tc>
          <w:tcPr>
            <w:tcW w:w="40" w:type="dxa"/>
            <w:vAlign w:val="bottom"/>
          </w:tcPr>
          <w:p>
            <w:pPr>
              <w:spacing w:after="0"/>
              <w:rPr>
                <w:sz w:val="9"/>
                <w:szCs w:val="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80</w:t>
            </w: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 expense (unaudited)</w:t>
            </w:r>
          </w:p>
        </w:tc>
        <w:tc>
          <w:tcPr>
            <w:tcW w:w="480" w:type="dxa"/>
            <w:vAlign w:val="bottom"/>
            <w:gridSpan w:val="3"/>
            <w:shd w:val="clear" w:color="auto" w:fill="CCEEFF"/>
          </w:tcPr>
          <w:p>
            <w:pPr>
              <w:ind w:lef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1,001</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1,001</w:t>
            </w: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Repurchase of common stock (unaudited)</w:t>
            </w:r>
          </w:p>
        </w:tc>
        <w:tc>
          <w:tcPr>
            <w:tcW w:w="480" w:type="dxa"/>
            <w:vAlign w:val="bottom"/>
            <w:gridSpan w:val="3"/>
          </w:tcPr>
          <w:p>
            <w:pPr>
              <w:ind w:lef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(35)</w:t>
            </w:r>
          </w:p>
        </w:tc>
        <w:tc>
          <w:tcPr>
            <w:tcW w:w="220" w:type="dxa"/>
            <w:vAlign w:val="bottom"/>
          </w:tcPr>
          <w:p>
            <w:pPr>
              <w:spacing w:after="0"/>
              <w:rPr>
                <w:sz w:val="8"/>
                <w:szCs w:val="8"/>
                <w:color w:val="auto"/>
              </w:rPr>
            </w:pPr>
          </w:p>
        </w:tc>
        <w:tc>
          <w:tcPr>
            <w:tcW w:w="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5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(290)</w:t>
            </w:r>
          </w:p>
        </w:tc>
        <w:tc>
          <w:tcPr>
            <w:tcW w:w="40" w:type="dxa"/>
            <w:vAlign w:val="bottom"/>
          </w:tcPr>
          <w:p>
            <w:pPr>
              <w:spacing w:after="0"/>
              <w:rPr>
                <w:sz w:val="8"/>
                <w:szCs w:val="8"/>
                <w:color w:val="auto"/>
              </w:rPr>
            </w:pPr>
          </w:p>
        </w:tc>
        <w:tc>
          <w:tcPr>
            <w:tcW w:w="7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(290)</w:t>
            </w:r>
          </w:p>
        </w:tc>
      </w:tr>
      <w:tr>
        <w:trPr>
          <w:trHeight w:val="87"/>
        </w:trPr>
        <w:tc>
          <w:tcPr>
            <w:tcW w:w="424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w w:val="97"/>
              </w:rPr>
              <w:t>Issuance of Series E convertible preferred stock upon conversion of promissory notes at $12.60 per share</w:t>
            </w:r>
          </w:p>
        </w:tc>
        <w:tc>
          <w:tcPr>
            <w:tcW w:w="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r>
      <w:tr>
        <w:trPr>
          <w:trHeight w:val="109"/>
        </w:trPr>
        <w:tc>
          <w:tcPr>
            <w:tcW w:w="4240" w:type="dxa"/>
            <w:vAlign w:val="bottom"/>
            <w:shd w:val="clear" w:color="auto" w:fill="CCEEFF"/>
          </w:tcPr>
          <w:p>
            <w:pPr>
              <w:ind w:left="180"/>
              <w:spacing w:after="0"/>
              <w:rPr>
                <w:sz w:val="20"/>
                <w:szCs w:val="20"/>
                <w:color w:val="auto"/>
              </w:rPr>
            </w:pPr>
            <w:r>
              <w:rPr>
                <w:rFonts w:ascii="Arial" w:cs="Arial" w:eastAsia="Arial" w:hAnsi="Arial"/>
                <w:sz w:val="9"/>
                <w:szCs w:val="9"/>
                <w:color w:val="auto"/>
              </w:rPr>
              <w:t>(unaudited)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430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9"/>
                <w:szCs w:val="9"/>
                <w:color w:val="auto"/>
              </w:rPr>
              <w:t>5,414</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r>
      <w:tr>
        <w:trPr>
          <w:trHeight w:val="87"/>
        </w:trPr>
        <w:tc>
          <w:tcPr>
            <w:tcW w:w="4240" w:type="dxa"/>
            <w:vAlign w:val="bottom"/>
          </w:tcPr>
          <w:p>
            <w:pPr>
              <w:ind w:left="100"/>
              <w:spacing w:after="0" w:line="88" w:lineRule="exact"/>
              <w:rPr>
                <w:sz w:val="20"/>
                <w:szCs w:val="20"/>
                <w:color w:val="auto"/>
              </w:rPr>
            </w:pPr>
            <w:r>
              <w:rPr>
                <w:rFonts w:ascii="Arial" w:cs="Arial" w:eastAsia="Arial" w:hAnsi="Arial"/>
                <w:sz w:val="9"/>
                <w:szCs w:val="9"/>
                <w:color w:val="auto"/>
                <w:w w:val="99"/>
              </w:rPr>
              <w:t>Issuance of Series C convertible preferred stock at $7.63 per share upon net-share exercise of warrants</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9"/>
        </w:trPr>
        <w:tc>
          <w:tcPr>
            <w:tcW w:w="4240" w:type="dxa"/>
            <w:vAlign w:val="bottom"/>
          </w:tcPr>
          <w:p>
            <w:pPr>
              <w:ind w:left="180"/>
              <w:spacing w:after="0"/>
              <w:rPr>
                <w:sz w:val="20"/>
                <w:szCs w:val="20"/>
                <w:color w:val="auto"/>
              </w:rPr>
            </w:pPr>
            <w:r>
              <w:rPr>
                <w:rFonts w:ascii="Arial" w:cs="Arial" w:eastAsia="Arial" w:hAnsi="Arial"/>
                <w:sz w:val="9"/>
                <w:szCs w:val="9"/>
                <w:color w:val="auto"/>
              </w:rPr>
              <w:t>(unaudited)</w:t>
            </w:r>
          </w:p>
        </w:tc>
        <w:tc>
          <w:tcPr>
            <w:tcW w:w="340" w:type="dxa"/>
            <w:vAlign w:val="bottom"/>
            <w:gridSpan w:val="2"/>
          </w:tcPr>
          <w:p>
            <w:pPr>
              <w:jc w:val="right"/>
              <w:ind w:right="20"/>
              <w:spacing w:after="0"/>
              <w:rPr>
                <w:sz w:val="20"/>
                <w:szCs w:val="20"/>
                <w:color w:val="auto"/>
              </w:rPr>
            </w:pPr>
            <w:r>
              <w:rPr>
                <w:rFonts w:ascii="Arial" w:cs="Arial" w:eastAsia="Arial" w:hAnsi="Arial"/>
                <w:sz w:val="9"/>
                <w:szCs w:val="9"/>
                <w:color w:val="auto"/>
              </w:rPr>
              <w:t>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9"/>
                <w:szCs w:val="9"/>
                <w:color w:val="auto"/>
              </w:rPr>
              <w:t>42</w:t>
            </w:r>
          </w:p>
        </w:tc>
        <w:tc>
          <w:tcPr>
            <w:tcW w:w="6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9"/>
                <w:szCs w:val="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8"/>
        </w:trPr>
        <w:tc>
          <w:tcPr>
            <w:tcW w:w="4240" w:type="dxa"/>
            <w:vAlign w:val="bottom"/>
          </w:tcPr>
          <w:p>
            <w:pPr>
              <w:ind w:left="180"/>
              <w:spacing w:after="0" w:line="98" w:lineRule="exact"/>
              <w:rPr>
                <w:sz w:val="20"/>
                <w:szCs w:val="20"/>
                <w:color w:val="auto"/>
              </w:rPr>
            </w:pPr>
            <w:r>
              <w:rPr>
                <w:rFonts w:ascii="Arial" w:cs="Arial" w:eastAsia="Arial" w:hAnsi="Arial"/>
                <w:sz w:val="9"/>
                <w:szCs w:val="9"/>
                <w:color w:val="auto"/>
              </w:rPr>
              <w:t>Foreign currency translation adjustment (unaudited)</w:t>
            </w:r>
          </w:p>
        </w:tc>
        <w:tc>
          <w:tcPr>
            <w:tcW w:w="480" w:type="dxa"/>
            <w:vAlign w:val="bottom"/>
            <w:gridSpan w:val="3"/>
          </w:tcPr>
          <w:p>
            <w:pPr>
              <w:ind w:lef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(116)</w:t>
            </w:r>
          </w:p>
        </w:tc>
        <w:tc>
          <w:tcPr>
            <w:tcW w:w="8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(116)</w:t>
            </w:r>
          </w:p>
        </w:tc>
      </w:tr>
      <w:tr>
        <w:trPr>
          <w:trHeight w:val="98"/>
        </w:trPr>
        <w:tc>
          <w:tcPr>
            <w:tcW w:w="424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Unrealized gain on available-for-sale securities (unaudited)</w:t>
            </w:r>
          </w:p>
        </w:tc>
        <w:tc>
          <w:tcPr>
            <w:tcW w:w="480" w:type="dxa"/>
            <w:vAlign w:val="bottom"/>
            <w:gridSpan w:val="3"/>
            <w:shd w:val="clear" w:color="auto" w:fill="CCEEFF"/>
          </w:tcPr>
          <w:p>
            <w:pPr>
              <w:ind w:lef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w:t>
            </w:r>
          </w:p>
        </w:tc>
      </w:tr>
      <w:tr>
        <w:trPr>
          <w:trHeight w:val="98"/>
        </w:trPr>
        <w:tc>
          <w:tcPr>
            <w:tcW w:w="4240" w:type="dxa"/>
            <w:vAlign w:val="bottom"/>
          </w:tcPr>
          <w:p>
            <w:pPr>
              <w:ind w:left="180"/>
              <w:spacing w:after="0" w:line="98" w:lineRule="exact"/>
              <w:rPr>
                <w:sz w:val="20"/>
                <w:szCs w:val="20"/>
                <w:color w:val="auto"/>
              </w:rPr>
            </w:pPr>
            <w:r>
              <w:rPr>
                <w:rFonts w:ascii="Arial" w:cs="Arial" w:eastAsia="Arial" w:hAnsi="Arial"/>
                <w:sz w:val="9"/>
                <w:szCs w:val="9"/>
                <w:color w:val="auto"/>
              </w:rPr>
              <w:t>Net loss (unaudited)</w:t>
            </w:r>
          </w:p>
        </w:tc>
        <w:tc>
          <w:tcPr>
            <w:tcW w:w="480" w:type="dxa"/>
            <w:vAlign w:val="bottom"/>
            <w:gridSpan w:val="3"/>
          </w:tcPr>
          <w:p>
            <w:pPr>
              <w:ind w:lef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(15,262)</w:t>
            </w:r>
          </w:p>
        </w:tc>
        <w:tc>
          <w:tcPr>
            <w:tcW w:w="14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(15,262)</w:t>
            </w:r>
          </w:p>
        </w:tc>
      </w:tr>
      <w:tr>
        <w:trPr>
          <w:trHeight w:val="20"/>
        </w:trPr>
        <w:tc>
          <w:tcPr>
            <w:tcW w:w="4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loss (unaudited)</w:t>
            </w: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(15,368)</w:t>
            </w:r>
          </w:p>
        </w:tc>
      </w:tr>
      <w:tr>
        <w:trPr>
          <w:trHeight w:val="117"/>
        </w:trPr>
        <w:tc>
          <w:tcPr>
            <w:tcW w:w="4240" w:type="dxa"/>
            <w:vAlign w:val="bottom"/>
          </w:tcPr>
          <w:p>
            <w:pPr>
              <w:spacing w:after="0" w:line="98" w:lineRule="exact"/>
              <w:rPr>
                <w:sz w:val="20"/>
                <w:szCs w:val="20"/>
                <w:color w:val="auto"/>
              </w:rPr>
            </w:pPr>
            <w:r>
              <w:rPr>
                <w:rFonts w:ascii="Arial" w:cs="Arial" w:eastAsia="Arial" w:hAnsi="Arial"/>
                <w:sz w:val="9"/>
                <w:szCs w:val="9"/>
                <w:color w:val="auto"/>
              </w:rPr>
              <w:t>Balance as of June 28, 2008 (unaudited)</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16,626</w:t>
            </w: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167,538</w:t>
            </w: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2,858</w:t>
            </w:r>
          </w:p>
        </w:tc>
        <w:tc>
          <w:tcPr>
            <w:tcW w:w="16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w:t>
            </w:r>
          </w:p>
        </w:tc>
        <w:tc>
          <w:tcPr>
            <w:tcW w:w="16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4,390</w:t>
            </w:r>
          </w:p>
        </w:tc>
        <w:tc>
          <w:tcPr>
            <w:tcW w:w="18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(241)</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(149,060</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(144,908)</w:t>
            </w:r>
          </w:p>
        </w:tc>
        <w:tc>
          <w:tcPr>
            <w:tcW w:w="40" w:type="dxa"/>
            <w:vAlign w:val="bottom"/>
          </w:tcPr>
          <w:p>
            <w:pPr>
              <w:spacing w:after="0"/>
              <w:rPr>
                <w:sz w:val="10"/>
                <w:szCs w:val="10"/>
                <w:color w:val="auto"/>
              </w:rPr>
            </w:pPr>
          </w:p>
        </w:tc>
      </w:tr>
    </w:tbl>
    <w:p>
      <w:pPr>
        <w:spacing w:after="0" w:line="4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20"/>
          </w:cols>
          <w:pgMar w:left="220" w:top="343" w:right="125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2"/>
              </w:rPr>
              <w:t>Year Ended</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Six Months Ended</w:t>
            </w:r>
          </w:p>
        </w:tc>
      </w:tr>
      <w:tr>
        <w:trPr>
          <w:trHeight w:val="75"/>
        </w:trPr>
        <w:tc>
          <w:tcPr>
            <w:tcW w:w="60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tcPr>
          <w:p>
            <w:pPr>
              <w:jc w:val="right"/>
              <w:ind w:right="300"/>
              <w:spacing w:after="0" w:line="75" w:lineRule="exact"/>
              <w:rPr>
                <w:sz w:val="20"/>
                <w:szCs w:val="20"/>
                <w:color w:val="auto"/>
              </w:rPr>
            </w:pPr>
            <w:r>
              <w:rPr>
                <w:rFonts w:ascii="Arial" w:cs="Arial" w:eastAsia="Arial" w:hAnsi="Arial"/>
                <w:sz w:val="8"/>
                <w:szCs w:val="8"/>
                <w:b w:val="1"/>
                <w:bCs w:val="1"/>
                <w:color w:val="auto"/>
                <w:w w:val="99"/>
              </w:rPr>
              <w:t>December 31,</w:t>
            </w: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December 31,</w:t>
            </w: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8"/>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ind w:right="28"/>
              <w:spacing w:after="0" w:line="75" w:lineRule="exact"/>
              <w:rPr>
                <w:sz w:val="20"/>
                <w:szCs w:val="20"/>
                <w:color w:val="auto"/>
              </w:rPr>
            </w:pPr>
            <w:r>
              <w:rPr>
                <w:rFonts w:ascii="Arial" w:cs="Arial" w:eastAsia="Arial" w:hAnsi="Arial"/>
                <w:sz w:val="8"/>
                <w:szCs w:val="8"/>
                <w:b w:val="1"/>
                <w:bCs w:val="1"/>
                <w:color w:val="auto"/>
                <w:w w:val="99"/>
              </w:rPr>
              <w:t>June 28,</w:t>
            </w:r>
          </w:p>
        </w:tc>
        <w:tc>
          <w:tcPr>
            <w:tcW w:w="100" w:type="dxa"/>
            <w:vAlign w:val="bottom"/>
          </w:tcPr>
          <w:p>
            <w:pPr>
              <w:spacing w:after="0"/>
              <w:rPr>
                <w:sz w:val="6"/>
                <w:szCs w:val="6"/>
                <w:color w:val="auto"/>
              </w:rPr>
            </w:pPr>
          </w:p>
        </w:tc>
      </w:tr>
      <w:tr>
        <w:trPr>
          <w:trHeight w:val="111"/>
        </w:trPr>
        <w:tc>
          <w:tcPr>
            <w:tcW w:w="6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9"/>
                <w:szCs w:val="9"/>
                <w:color w:val="auto"/>
              </w:rPr>
            </w:pPr>
          </w:p>
        </w:tc>
      </w:tr>
      <w:tr>
        <w:trPr>
          <w:trHeight w:val="117"/>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right"/>
              <w:ind w:right="440"/>
              <w:spacing w:after="0"/>
              <w:rPr>
                <w:sz w:val="20"/>
                <w:szCs w:val="20"/>
                <w:color w:val="auto"/>
              </w:rPr>
            </w:pPr>
            <w:r>
              <w:rPr>
                <w:rFonts w:ascii="Arial" w:cs="Arial" w:eastAsia="Arial" w:hAnsi="Arial"/>
                <w:sz w:val="9"/>
                <w:szCs w:val="9"/>
                <w:b w:val="1"/>
                <w:bCs w:val="1"/>
                <w:color w:val="auto"/>
              </w:rPr>
              <w:t>(Unaudited)</w:t>
            </w: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(16,385)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(23,553)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(25,451)</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(12,969)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(15,262)</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1,309</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1,643</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832</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837</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1,001</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Foreign exchange gain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(141)</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 to fair value of convertible preferred stock warrants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359</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Loss on retirement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Amortization of debt discount and issuance cost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402</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Issuance of common stock for services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145</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136</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(637)</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assets and liabilities: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(287)</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(470)</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(560)</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(955)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(2,460)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(1,514)</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(78)</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(1,552)</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(847)</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(2,255)</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1,537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506</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1,618</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1,050</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(308)</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 liabilities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(320)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1,428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1,031</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962</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(14,292)</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(22,306)</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(21,759)</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(11,440)</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(15,972)</w:t>
            </w: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(1,990)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(6,286)</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(4,511)</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Maturities of available-for-sale securities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6,249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4,267</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Sales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2,650</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3,013</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625</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(2,932)</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(973)</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(374)</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(217)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(2,943)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(6,740)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3,177</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long-term debt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14,651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10,000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Repayment of long-term debt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(1,745)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(3,503)</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(1,868)</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(2,442)</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exercise of stock options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Proceeds from issuance of convertible preferred stock, net of issuance costs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10,042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22,003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35,911</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1,873</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issuance of convertible promissory notes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13,000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Repurchase of common stock</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financing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22,994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31,124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37,555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5,034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7,638</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46</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15,538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5,856</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9,059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(6,294)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(5,111)</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as of beginning of period</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3,624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19,162</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25,018</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34,077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as of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19,162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34,077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18,724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28,966</w:t>
            </w:r>
          </w:p>
        </w:tc>
      </w:tr>
      <w:tr>
        <w:trPr>
          <w:trHeight w:val="118"/>
        </w:trPr>
        <w:tc>
          <w:tcPr>
            <w:tcW w:w="6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for interest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1,826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1,523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944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642</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Conversion of convertible promissory notes into convertible preferred stock</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2,328</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5,414</w:t>
            </w:r>
          </w:p>
        </w:tc>
        <w:tc>
          <w:tcPr>
            <w:tcW w:w="100" w:type="dxa"/>
            <w:vAlign w:val="bottom"/>
          </w:tcPr>
          <w:p>
            <w:pPr>
              <w:spacing w:after="0"/>
              <w:rPr>
                <w:sz w:val="11"/>
                <w:szCs w:val="11"/>
                <w:color w:val="auto"/>
              </w:rPr>
            </w:pPr>
          </w:p>
        </w:tc>
      </w:tr>
      <w:tr>
        <w:trPr>
          <w:trHeight w:val="12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Cashless net exercise of convertible preferred stock warrants</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729</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42</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Issuance of warrants in connection with long-term debt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484</w:t>
            </w:r>
          </w:p>
        </w:tc>
        <w:tc>
          <w:tcPr>
            <w:tcW w:w="100" w:type="dxa"/>
            <w:vAlign w:val="bottom"/>
          </w:tcPr>
          <w:p>
            <w:pPr>
              <w:spacing w:after="0"/>
              <w:rPr>
                <w:sz w:val="11"/>
                <w:szCs w:val="11"/>
                <w:color w:val="auto"/>
              </w:rPr>
            </w:pPr>
          </w:p>
        </w:tc>
      </w:tr>
      <w:tr>
        <w:trPr>
          <w:trHeight w:val="11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develops, manufactures and markets proprietary Integrated Fluidic Circuit systems that significantly improve the productivity of life science research. The Company’s Integrated Fluidic Circuits (IFCs), enable the simultaneous performance of thousands of biochemical measurements in extremely minute volumes. The Company created this “integrated circuit for biology” by miniaturizing, integrating and automating sophisticated liquid handling processes on a single microfabricated device. The Company’s customers include many leading biotechnology and pharmaceutical companies, academic institutions, and life science laboratories worldwide.</w:t>
      </w:r>
    </w:p>
    <w:p>
      <w:pPr>
        <w:spacing w:after="0" w:line="7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The Company has incurred significant net losses since inception. As of June 28, 2008, the Company had an accumulated deficit of approximately $149.1 million and cash, cash equivalents and available-for-sale securities of approximately $32.5 million. The Company expects to incur significant expenses to fund operations to develop new products and to support existing product sales. Failure to generate sufficient revenues, achieve planned gross margins, control operating costs, or to raise sufficient additional funds may require the Company to modify, delay, or abandon some of its future expansion or expenditures, which could have a material adverse effect on the Company’s business, operating results, financial condition, and ability to achieve its intended business objectives.</w:t>
      </w:r>
    </w:p>
    <w:p>
      <w:pPr>
        <w:spacing w:after="0" w:line="146" w:lineRule="exact"/>
        <w:rPr>
          <w:sz w:val="20"/>
          <w:szCs w:val="20"/>
          <w:color w:val="auto"/>
        </w:rPr>
      </w:pPr>
    </w:p>
    <w:p>
      <w:pPr>
        <w:ind w:left="680" w:right="7200" w:firstLine="7"/>
        <w:spacing w:after="0" w:line="470" w:lineRule="auto"/>
        <w:tabs>
          <w:tab w:leader="none" w:pos="985" w:val="left"/>
        </w:tabs>
        <w:numPr>
          <w:ilvl w:val="0"/>
          <w:numId w:val="91"/>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Basis of Presentation and Consolidation</w:t>
      </w:r>
    </w:p>
    <w:p>
      <w:pPr>
        <w:ind w:left="680" w:right="20" w:firstLine="399"/>
        <w:spacing w:after="0" w:line="260" w:lineRule="auto"/>
        <w:rPr>
          <w:sz w:val="20"/>
          <w:szCs w:val="20"/>
          <w:color w:val="auto"/>
        </w:rPr>
      </w:pPr>
      <w:r>
        <w:rPr>
          <w:rFonts w:ascii="Arial" w:cs="Arial" w:eastAsia="Arial" w:hAnsi="Arial"/>
          <w:sz w:val="13"/>
          <w:szCs w:val="13"/>
          <w:color w:val="auto"/>
        </w:rPr>
        <w:t>The consolidated financial statements of the Company have been prepared in conformity with U.S. generally accepted accounting principles and include the accounts of the Company and its wholly owned subsidiaries. The Company has wholly 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During 2007, the Company adopted a 52 or 53 week year convention for its fiscal years and, therefore, the 2007 fiscal year ended on December 29, 2007 and the quarterly periods for 2007 ended on March 31, June 30 and September 29. For 2008, the quarterly periods end on March 29, June 28 and September 27. Future fiscal years will end on the last Saturday in December of each respective year. Prior to 2007, the Company used a calendar year. The fiscal years presented in these consolidated financial statements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Interim Financial Information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accompanying interim consolidated balance sheet as of June 28, 2008, the interim consolidated statements of operations and cash flows for the six months ended June 30, 2007 and June 28, 2008 and the interim consolidated statements of convertible preferred stock and stockholders’ equity (deficit) for the six months ended June 28, 2008 are unaudited. The unaudited interim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June 28, 2008 and its results of operations and its cash flows for the six months ended June 30, 2007 and June 28, 2008. The financial data and the other financial information disclosed in these notes to the consolidated financial statements</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related to the six month periods are unaudited. The results of operations for the six months ended June 28, 2008 are not necessarily indicative of the results to be expected for 2008 or any other interim period or for any other future year.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Pro Forma Stockholders’ Equity</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All of the convertible preferred stock outstanding will automatically convert into shares of common stock upon completion of a qualifying initial public offering (see Note 16). In addition, the convertible preferred stock warrant liabilities will be reclassified to additional paid-in capital upon completion of an initial public offering. Unaudited pro forma stockholders’ equity, as adjusted for the assumed conversion of the convertible preferred stock to common stock and warrants to purchase shares of convertible preferred stock to warrants to purchase shares of common stock, is set forth in the accompanying consolidated balance sheets.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preparation of consolidated financial statements requires management to make estimates and assumptions that affect the amounts reported in the consolidated financial statements and accompanying notes. The Company regularly assesses these estimates which affect the fair value of undelivered elements for revenue recognition purposes, the valuation of accounts receivable, the valuation of inventories, accrued liabilities, the fair value of the Company’s convertible preferred stock and common stock, warrants, stock-based compensation, beneficial conversion features, and valuation allowances associated with deferred tax assets. The Company bases its estimates on historical experience and on various other assumptions believed to be reasonable, the results of which form the basis for making judgments about the carrying values of assets and liabilities. Actual results could differ materially from these estimates.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w:t>
      </w:r>
    </w:p>
    <w:p>
      <w:pPr>
        <w:spacing w:after="0" w:line="10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Assets and liabilities of non-U.S. subsidiaries that use the local currency as their functional currency are translated into U.S. dollars at exchange rates in effect at the balance sheet date, with the resulting translation adjustments recorded to a separate component of accumulated other comprehensive income (loss) within stockholders’ equity. Income and expense accounts are translated at average exchange rates during the year. Foreign currency transaction gains and losses for non-U.S. subsidiaries that use the U.S. dollar as their functional currency are recognized in other income (expense), net. The Company had net foreign currency transaction losses of $27,000, $70,000 and $64,000 during 2005, 2006 and the six months ended June 30, 2007, respectively, and net foreign currency transaction gains of $72,000 and $141,000 during 2007 and the six months ended June 28, 2008,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considers all highly liquid financial instruments with maturities at the time of purchase of three months or less to be cash equivalents. Cash and cash equivalents consist of cash on deposit with banks, money market funds, commercial paper, corporate notes, and notes from government-sponsored agencies.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Available-for-Sale Securities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Available-for-sale securities are comprised of corporate notes and notes from government-sponsored agencies. Investments classified as “available-for-sale” and are recorded at estimated fair value, as determined by quoted market rates, on the consolidated balance sheets with any unrealized gains and losses reported in stockholders’ equity as a component of accumulated other comprehensive income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Restricted Cash</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had restricted cash balances of $900,000, $881,000 and $256,000 as of December 31, 2006, December 29, 2007 and June 28, 2008, respectively. Included in restricted cash is cash amounts that collateralize the Company’s standby letters of credit issued under operating lease agreements for office facilities that it currently occupies.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of December 31, 2006, December 29, 2007 and June 28, 2008, the respective carrying values of the Company’s financial instruments, including accounts receivable, restricted cash, and accounts payable, approximated their fair values due to their short period of time to maturity or repayment. Based on borrowing rates currently available to the Company for loans with similar terms, the carrying value of long-term debt and convertible promissory notes approximated their fair values.</w:t>
      </w:r>
    </w:p>
    <w:p>
      <w:pPr>
        <w:spacing w:after="0" w:line="6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I) observable inputs such as quoted prices in active markets; (Level II) inputs other than the quoted prices in active markets that are observable either directly or indirectly; and (Level III) unobservable inputs in which there is little or no market data, which requires the Company to develop its own assumptions. This hierarchy requires the Company to use observable market data, when available, and to minimize the use of unobservable inputs when determining fair value. The Company’s financial assets that are measured at fair value on a recurring basis consist of cash equivalents and available-for-sale securities. The Company’s liabilities that are measured at fair value on a recurring basis consist of convertible preferred stock warrant liabilities.</w:t>
      </w:r>
    </w:p>
    <w:p>
      <w:pPr>
        <w:spacing w:after="0" w:line="76"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All of the Company’s cash equivalents and available-for-sale securities are classified within Level I or Level II of the fair value hierarchy because they are valued using quoted market prices, market prices for similar securities, or alternative pricing sources with reasonable levels of price transparency. Instruments valued based on quoted market prices in active markets, i.e. level I, include the Company’s money market funds. Instruments valued based on other observable inputs, i.e. level II, include notes from government-sponsored agencies, corporate notes and commercial paper. The Company’s convertible preferred stock warrant liabilities are classified within Level III of the fair value hierarchy.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the value of the convertible preferred stock warrant liabilities were as follows (in thousands):</w:t>
      </w:r>
    </w:p>
    <w:p>
      <w:pPr>
        <w:spacing w:after="0" w:line="15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as of 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Issuances or settlements</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ind w:left="140"/>
              <w:spacing w:after="0"/>
              <w:rPr>
                <w:sz w:val="20"/>
                <w:szCs w:val="20"/>
                <w:color w:val="auto"/>
              </w:rPr>
            </w:pPr>
            <w:r>
              <w:rPr>
                <w:rFonts w:ascii="Arial" w:cs="Arial" w:eastAsia="Arial" w:hAnsi="Arial"/>
                <w:sz w:val="13"/>
                <w:szCs w:val="13"/>
                <w:color w:val="auto"/>
              </w:rPr>
              <w:t>Fair value as of June 28, 2008</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valuation of the convertible preferred stock warrants are discussed in Note 8.</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Accounts Receivable</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Trade accounts receivable are recorded at net invoice value. The Company considers receivables past due based on the contractual payment terms. The Company reviews its exposure to accounts receivable and reserves specific amounts if collectibility is no longer reasonably assured based on historical experience and specific customer collection issues. The Company reevaluates such reserves on a regular basis and adjusts its reserves as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needed. Write-offs of accounts receivable were insignificant during 2005, 2006, 2007 and the six months ended June 30, 2007 and June 28, 2008.</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consist of deposits held with banks, commercial paper, money market funds, and other highly liquid investments that, at times, exceed federally insured limits. The Company performs periodic evaluations of its investments and the relative credit standing of these financial institutions and limits the amount of credit exposure with any one institution.</w:t>
      </w:r>
    </w:p>
    <w:p>
      <w:pPr>
        <w:spacing w:after="0" w:line="53"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does not require collateral to support credit sales. To reduce credit risk, the Company performs periodic credit evaluations of its customers. The Company has had no credit losses to date. Customers with revenues of 10% or greater of total revenues for 2005, 2006, 2007 and the six months ended June 30, 2007 and June 28, 2008 are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0"/>
                <w:szCs w:val="10"/>
                <w:b w:val="1"/>
                <w:bCs w:val="1"/>
                <w:color w:val="auto"/>
              </w:rPr>
              <w:t>Percentage of Total Revenue</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6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Six Months</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Six Months</w:t>
            </w:r>
          </w:p>
        </w:tc>
        <w:tc>
          <w:tcPr>
            <w:tcW w:w="120" w:type="dxa"/>
            <w:vAlign w:val="bottom"/>
          </w:tcPr>
          <w:p>
            <w:pPr>
              <w:spacing w:after="0"/>
              <w:rPr>
                <w:sz w:val="7"/>
                <w:szCs w:val="7"/>
                <w:color w:val="auto"/>
              </w:rPr>
            </w:pPr>
          </w:p>
        </w:tc>
      </w:tr>
      <w:tr>
        <w:trPr>
          <w:trHeight w:val="108"/>
        </w:trPr>
        <w:tc>
          <w:tcPr>
            <w:tcW w:w="6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Ended</w:t>
            </w: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r>
      <w:tr>
        <w:trPr>
          <w:trHeight w:val="108"/>
        </w:trPr>
        <w:tc>
          <w:tcPr>
            <w:tcW w:w="6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9"/>
              </w:rPr>
              <w:t>June 30,</w:t>
            </w: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89"/>
              </w:rPr>
              <w:t>June 28,</w:t>
            </w:r>
          </w:p>
        </w:tc>
      </w:tr>
      <w:tr>
        <w:trPr>
          <w:trHeight w:val="125"/>
        </w:trPr>
        <w:tc>
          <w:tcPr>
            <w:tcW w:w="6100" w:type="dxa"/>
            <w:vAlign w:val="bottom"/>
          </w:tcPr>
          <w:p>
            <w:pPr>
              <w:spacing w:after="0"/>
              <w:rPr>
                <w:sz w:val="20"/>
                <w:szCs w:val="20"/>
                <w:color w:val="auto"/>
              </w:rPr>
            </w:pPr>
            <w:r>
              <w:rPr>
                <w:rFonts w:ascii="Arial" w:cs="Arial" w:eastAsia="Arial" w:hAnsi="Arial"/>
                <w:sz w:val="10"/>
                <w:szCs w:val="10"/>
                <w:b w:val="1"/>
                <w:bCs w:val="1"/>
                <w:color w:val="auto"/>
              </w:rPr>
              <w:t>Customers: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2007</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r>
      <w:tr>
        <w:trPr>
          <w:trHeight w:val="147"/>
        </w:trPr>
        <w:tc>
          <w:tcPr>
            <w:tcW w:w="61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w:t>
            </w:r>
          </w:p>
        </w:tc>
        <w:tc>
          <w:tcPr>
            <w:tcW w:w="6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14%</w:t>
            </w:r>
          </w:p>
        </w:tc>
        <w:tc>
          <w:tcPr>
            <w:tcW w:w="560" w:type="dxa"/>
            <w:vAlign w:val="bottom"/>
            <w:gridSpan w:val="2"/>
            <w:shd w:val="clear" w:color="auto" w:fill="CCEEFF"/>
          </w:tcPr>
          <w:p>
            <w:pPr>
              <w:jc w:val="center"/>
              <w:ind w:left="217"/>
              <w:spacing w:after="0" w:line="148" w:lineRule="exact"/>
              <w:rPr>
                <w:sz w:val="20"/>
                <w:szCs w:val="20"/>
                <w:color w:val="auto"/>
              </w:rPr>
            </w:pPr>
            <w:r>
              <w:rPr>
                <w:rFonts w:ascii="Arial" w:cs="Arial" w:eastAsia="Arial" w:hAnsi="Arial"/>
                <w:sz w:val="13"/>
                <w:szCs w:val="13"/>
                <w:color w:val="auto"/>
                <w:w w:val="92"/>
              </w:rPr>
              <w:t>24%</w:t>
            </w:r>
          </w:p>
        </w:tc>
        <w:tc>
          <w:tcPr>
            <w:tcW w:w="140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28%</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B</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16%</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560" w:type="dxa"/>
            <w:vAlign w:val="bottom"/>
            <w:gridSpan w:val="2"/>
          </w:tcPr>
          <w:p>
            <w:pPr>
              <w:jc w:val="center"/>
              <w:ind w:left="197"/>
              <w:spacing w:after="0"/>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56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65"/>
        </w:trPr>
        <w:tc>
          <w:tcPr>
            <w:tcW w:w="6100" w:type="dxa"/>
            <w:vAlign w:val="bottom"/>
          </w:tcPr>
          <w:p>
            <w:pPr>
              <w:ind w:left="140"/>
              <w:spacing w:after="0"/>
              <w:rPr>
                <w:sz w:val="20"/>
                <w:szCs w:val="20"/>
                <w:color w:val="auto"/>
              </w:rPr>
            </w:pPr>
            <w:r>
              <w:rPr>
                <w:rFonts w:ascii="Arial" w:cs="Arial" w:eastAsia="Arial" w:hAnsi="Arial"/>
                <w:sz w:val="13"/>
                <w:szCs w:val="13"/>
                <w:color w:val="auto"/>
              </w:rPr>
              <w:t>D</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center"/>
              <w:ind w:left="197"/>
              <w:spacing w:after="0"/>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12%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Represents less than 10% of total revenues.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limited-sourced components.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Inventories are stated at the lower of cost (which approximates actual cost on a first-in, first-out method) or market. Inventories include raw materials, work-in-process, and finished goods that may be used in the research and development process, and such items are expensed when they are designated for use in research and development. Provisions for slow moving, excess, and obsolete inventories are recorded based on product life cycle, development plans, product expiration, and quality issues.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 xml:space="preserve">In accordance with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if indicators of impairment exist, the Company assesses the recoverability of the affected long-lived assets by determining whether the carrying value of such assets can be recovered through undiscounted future operating cash</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96" w:lineRule="auto"/>
        <w:rPr>
          <w:sz w:val="20"/>
          <w:szCs w:val="20"/>
          <w:color w:val="auto"/>
        </w:rPr>
      </w:pPr>
      <w:r>
        <w:rPr>
          <w:rFonts w:ascii="Arial" w:cs="Arial" w:eastAsia="Arial" w:hAnsi="Arial"/>
          <w:sz w:val="12"/>
          <w:szCs w:val="12"/>
          <w:color w:val="auto"/>
        </w:rPr>
        <w:t>flows. If impairment is indicated, the Company measures the future discounted cash flows associated with the use of the asset and adjusts the value of the asset accordingly. While the Company’s current and historical operating and cash flow losses are indicators of impairment, the Company believes the future cash flows to be received from the long-lived assets recorded as of June 28, 2008 will exceed the assets’ carrying value, and, accordingly, the Company has not recognized any impairment losses through June 28, 2008.</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Reserve for Product Warranties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Company generally provides a one-year warranty on instruments. The Company reviews its exposure to estimated warranty expenses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immaterial for all periods presented.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generates revenue from sales of its products and services. The Company’s products consist of single-use IFCs, various instruments, software, and reagents. The Company’s services include instrument installation, training, and customer support services. The Company has also entered into a number of research and development agreements and received government grants to conduct research and development activities.</w:t>
      </w:r>
    </w:p>
    <w:p>
      <w:pPr>
        <w:spacing w:after="0" w:line="67"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 xml:space="preserve">The Company records revenue in accordance with the guidelines established by the Securities and Exchange Commission (SEC) Staff Accounting Bulletin No. 104,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w:t>
      </w:r>
      <w:r>
        <w:rPr>
          <w:rFonts w:ascii="Arial" w:cs="Arial" w:eastAsia="Arial" w:hAnsi="Arial"/>
          <w:sz w:val="13"/>
          <w:szCs w:val="13"/>
          <w:color w:val="auto"/>
        </w:rPr>
        <w:t>(SAB 104). In addition, the Company has concluded that pursuant to AICPA Statement of Position 97-2,</w:t>
      </w:r>
      <w:r>
        <w:rPr>
          <w:rFonts w:ascii="Arial" w:cs="Arial" w:eastAsia="Arial" w:hAnsi="Arial"/>
          <w:sz w:val="13"/>
          <w:szCs w:val="13"/>
          <w:i w:val="1"/>
          <w:iCs w:val="1"/>
          <w:color w:val="auto"/>
        </w:rPr>
        <w:t xml:space="preserve"> Software Revenue Recognition </w:t>
      </w:r>
      <w:r>
        <w:rPr>
          <w:rFonts w:ascii="Arial" w:cs="Arial" w:eastAsia="Arial" w:hAnsi="Arial"/>
          <w:sz w:val="13"/>
          <w:szCs w:val="13"/>
          <w:color w:val="auto"/>
        </w:rPr>
        <w:t>(SOP 97-2), software included with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its instruments is more than incidental to their functionality. Accordingly, the Company applies SOP 97-2 to sales of such instruments and related deliverables. Revenue is recognized when all of the following criteria are met: persuasive evidence of an arrangement exists, delivery has occurred or services rendered, the seller’s price to the buyer is fixed or determinable, and collectibility is reasonably assured.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Company sells instruments in arrangements that may include related installation and training, customer support services and software and may also include single-use IFCs. If the arrangement includes IFCs, the Company uses the separation criteria in EITF Issue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to separate revenues related to IFCs, which are non-software related deliverables, from software related deliverables. IFC revenue is recognized upon delivery. Revenue from software related deliverables is recognized in accordance with SOP 97-2 and related pronouncements. Under SOP 97-2, the Company recognizes revenue for delivered elements only when it determines that undelivered elements are not essential to the functionality of the delivered elements and the vendor-specific objective evidence (VSOE) of fair values of undelivered elements are known. Installation is deemed essential to the functionality of certain instruments; for those instruments recognition of revenue begins after installation has been completed. Fair value of undelivered elements is established by reference to VSOE which is based on stand-alone sales of such elements. If any undelivered element does not have VSOE of fair value, revenue is deferred until all of such elements are delivered, or until VSOE of fair value can objectively be determined for any remaining undelivered elements. However, if the only undelivered element is post-contract customer support services, such as those included in the Company’s maintenance agreements, revenue on the software related deliverables is recognized ratably over the service period. When revenues are deferred, the corresponding costs of products sold are also deferred in other assets in the consolidated financial statements and recognized over the same period. If VSOE of fair value exists for all undelivered elements, but does not exist for the delivered elements in the arrangement, revenue is allocated to the undelivered elements based on their VSOE of fair values, with the residual amount allocated to the delivered elements and recognized upon their delivery.</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During 2005, 2006, 2007 and the six months ended June 28, 2008, the Company did not have VSOE of fair value for software support services. Therefore, revenue and the corresponding costs of software-related deliverables is deferred and recognized over the customer support period ranging from one to three years. All revenue from these arrangements has been classified as product revenue in the statements of operations, as the amount attributed to services was immaterial.</w:t>
      </w:r>
    </w:p>
    <w:p>
      <w:pPr>
        <w:spacing w:after="0" w:line="67"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In 2007 and thereafter, no right of return has existed for the Company’s products. In prior years, if there was a right of return, the entire revenue from the arrangement was deferred until the right had lapsed. The Company has not experienced any significant returns of its products. Accruals are provided for anticipated warranty expenses at the time the associated revenue is recognized. Amounts received in advance of when revenue recognition criteria are met are recorded as deferred revenue on the consolidated balance sheets.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sells its products to third-party resellers located in certain international markets. From time to time, these arrangements may be subject to contingencies such as completion of the instrument delivery to or installation at the end customer. The Company recognizes revenue on sales of products to the resellers if all revenue recognition criteria have been met and any contingency provisions related to the sale have been satisfied.</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 has entered into agreements with third parties, including government entities, to provide research and development services. Fixed-fee research and development agreements generally provide the Company with up-front and periodic milestone fees. Variable-fee research and development agreements generally provide the Company with fees based upon agreed upon rates for time incurred by research staff. Under EITF 00-21, the Company evaluates whether these arrangements contain multiple units of accounting by evaluating whether delivered elements have value on a stand-alone basis and whether there is objective and reliable evidence of fair value of the undelivered items. During 2005, 2006, 2007 and the six months ended June 28, 2008, the Company concluded that these arrangements consisted of a single unit of accounting, namely, research and development services. Accordingly, the Company recognizes the fees under these arrangements over the period the Company performs these services. Costs associated with the research and development agreements are included in research and development expense.</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Government grants provide the Company with incentive payments for certain types of research and development activities performed over a contractually defined period. Revenue from government grants is recognized during the period during which the related costs are incurred, provided that the conditions under which the government grants were provided have been met and the Company has only perfunctory obligations outstanding. Amounts received in advance of when revenue recognition criteria are met are recorded as deferred revenue on the consolidated balance sheets. Costs associated with the grants are included in research and development expense.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Shipping and Handling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Shipping and handling costs incurred for product shipments are included within cost of product revenue in the consolidated statements of operations.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expenses research and development expenditures in the period incurred. Research and development expense consists of personnel costs, independent contractor costs, prototype expenses, and allocated facilities and information technology expenses. These costs include direct and research-related overhead expenses.</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Advertising Costs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expenses advertising costs as incurred. The Company incurred advertising costs of $237,000, $324,000, $701,000, $349,000 and $629,000 during 2005, 2006, 2007 and the six months ended June 30, 2007 and June 28, 2008,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uses the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The Company adopted Financial Accounting Standards Board (FASB) Interpretation No. 48, </w:t>
      </w:r>
      <w:r>
        <w:rPr>
          <w:rFonts w:ascii="Arial" w:cs="Arial" w:eastAsia="Arial" w:hAnsi="Arial"/>
          <w:sz w:val="13"/>
          <w:szCs w:val="13"/>
          <w:i w:val="1"/>
          <w:iCs w:val="1"/>
          <w:color w:val="auto"/>
        </w:rPr>
        <w:t>Accounting for Uncertainties in Income Taxes — an interpretation of FASB Statement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 109 </w:t>
      </w:r>
      <w:r>
        <w:rPr>
          <w:rFonts w:ascii="Arial" w:cs="Arial" w:eastAsia="Arial" w:hAnsi="Arial"/>
          <w:sz w:val="13"/>
          <w:szCs w:val="13"/>
          <w:color w:val="auto"/>
        </w:rPr>
        <w:t>(FIN 48), effective January 1, 2007. FIN 48 requires that the Company recognize the financial statement effects of a tax position when it is more likely than not, based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technical merits, that the position will be sustained upon examination. Upon adoption, the Company recorded a charge of $75,000 as a cumulative effect of a change in accounting principle in the accumulated deficit during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 xml:space="preserve">Prior to January 1, 2006, the Company accounted for its employee stock option plans using the intrinsic value method prescribed by Accounting Principles Board Opinion No. 25, </w:t>
      </w:r>
      <w:r>
        <w:rPr>
          <w:rFonts w:ascii="Arial" w:cs="Arial" w:eastAsia="Arial" w:hAnsi="Arial"/>
          <w:sz w:val="13"/>
          <w:szCs w:val="13"/>
          <w:i w:val="1"/>
          <w:iCs w:val="1"/>
          <w:color w:val="auto"/>
        </w:rPr>
        <w:t xml:space="preserve">Accounting for Stock Issued to Employees </w:t>
      </w:r>
      <w:r>
        <w:rPr>
          <w:rFonts w:ascii="Arial" w:cs="Arial" w:eastAsia="Arial" w:hAnsi="Arial"/>
          <w:sz w:val="13"/>
          <w:szCs w:val="13"/>
          <w:color w:val="auto"/>
        </w:rPr>
        <w:t>(APB 25), which required the Company to recognize the difference between the exercise price of an employee option and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common stock as of the grant date. The resulting stock-based compensation expense, if any, was recorded on the date of the grant in stockholders’ equity as deferred compensation and amortized to expense over the vesting period of the grant, which was generally four years.</w:t>
      </w:r>
    </w:p>
    <w:p>
      <w:pPr>
        <w:spacing w:after="0" w:line="7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December 2004, the FASB issued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(SFAS 123(R)), that addresses the accounting for stock-based payment transactions in which a company receives services in exchange for equity instruments, including stock options. The Company adopted SFAS 123(R) beginning January 1, 2006 using the prospective-transition method, as options granted prior to January 1, 2006 were measured using the minimum value method for the pro forma disclosures previously required by SFAS No. 123, </w:t>
      </w:r>
      <w:r>
        <w:rPr>
          <w:rFonts w:ascii="Arial" w:cs="Arial" w:eastAsia="Arial" w:hAnsi="Arial"/>
          <w:sz w:val="13"/>
          <w:szCs w:val="13"/>
          <w:i w:val="1"/>
          <w:iCs w:val="1"/>
          <w:color w:val="auto"/>
        </w:rPr>
        <w:t xml:space="preserve">Accounting for Stock-Based Compensation </w:t>
      </w:r>
      <w:r>
        <w:rPr>
          <w:rFonts w:ascii="Arial" w:cs="Arial" w:eastAsia="Arial" w:hAnsi="Arial"/>
          <w:sz w:val="13"/>
          <w:szCs w:val="13"/>
          <w:color w:val="auto"/>
        </w:rPr>
        <w:t>(SFAS 123). Under the prospective-transition method, the Company continues to apply APB 25 to employee equity awards outstanding at the date</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Company’s adoption of SFAS 123(R). Any compensation costs recognized from January 1, 2006 onward consists of: (a) compensation cost for all stock-based awards granted prior to, but not vested as of, December 31, 2005 based on the intrinsic value determined in accordance with the provisions of APB 25; and (b) compensation cost for all stock-based awards granted or modified subsequent to December 31, 2005, net of estimated forfeitures, based on the grant date fair value estimated in accordance with the provisions of SFAS 123(R). The Company recognizes stock-based compensation expense on a straight-line basis over the vesting period of the respective grants. In accordance with the prospective-transition method, results for prior periods have not been restated.</w:t>
      </w:r>
    </w:p>
    <w:p>
      <w:pPr>
        <w:spacing w:after="0" w:line="74"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 xml:space="preserve">The Company applies SFAS 123(R) and EITF Issue No. 96-18, </w:t>
      </w:r>
      <w:r>
        <w:rPr>
          <w:rFonts w:ascii="Arial" w:cs="Arial" w:eastAsia="Arial" w:hAnsi="Arial"/>
          <w:sz w:val="11"/>
          <w:szCs w:val="11"/>
          <w:i w:val="1"/>
          <w:iCs w:val="1"/>
          <w:color w:val="auto"/>
        </w:rPr>
        <w:t>Accounting for Equity Instruments That Are Issued to Other Than Employees for Acquiring, or in Conjunction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Selling, Goods or Services </w:t>
      </w:r>
      <w:r>
        <w:rPr>
          <w:rFonts w:ascii="Arial" w:cs="Arial" w:eastAsia="Arial" w:hAnsi="Arial"/>
          <w:sz w:val="11"/>
          <w:szCs w:val="11"/>
          <w:color w:val="auto"/>
        </w:rPr>
        <w:t>(EITF 96-18), to options and other stock-based awards issued to nonemployees. In accordance with SFAS 123(R) and EITF 96-18, the Company uses the Black-Scholes option-pricing model to measure the fair value of the options at the measurement dates. The nonemployee options are subject to periodic reevaluation over their vesting terms.</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Comprehensive Loss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Comprehensive loss is comprised of net loss and other comprehensive income (loss). Other comprehensive income (loss) includes unrealized holding gains and losses on the Company’s available-for-sale securities and foreign currency translation adjustments. Total comprehensive loss for all periods presented has been disclosed in the consolidated statements of convertible preferred stock and stockholders’ equity (deficit).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Accumulated other comprehensive income (loss) consists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2005</w:t>
            </w:r>
          </w:p>
        </w:tc>
        <w:tc>
          <w:tcPr>
            <w:tcW w:w="1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131"/>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(16)</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(239)</w:t>
            </w: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w:t>
            </w: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Convertible Preferred Stock Warrants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Freestanding warrants related to shares that may be redeemable are accounted for in accordance with FASB Staff Position (FSP) No. 150-5, </w:t>
      </w:r>
      <w:r>
        <w:rPr>
          <w:rFonts w:ascii="Arial" w:cs="Arial" w:eastAsia="Arial" w:hAnsi="Arial"/>
          <w:sz w:val="12"/>
          <w:szCs w:val="12"/>
          <w:i w:val="1"/>
          <w:iCs w:val="1"/>
          <w:color w:val="auto"/>
        </w:rPr>
        <w:t>Issuer’s Accounting Under FASB</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 No. 150 for Freestanding Warrants and Other Similar Instruments on Shares That Are Redeemable </w:t>
      </w:r>
      <w:r>
        <w:rPr>
          <w:rFonts w:ascii="Arial" w:cs="Arial" w:eastAsia="Arial" w:hAnsi="Arial"/>
          <w:sz w:val="12"/>
          <w:szCs w:val="12"/>
          <w:color w:val="auto"/>
        </w:rPr>
        <w:t>(FSP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the Company’s convertible preferred stock are classified as</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on the consolidated balance sheets and carried at fair value because the warrants may conditionally obligate the Company to transfer assets at some point in the future. The warrants are subject to remeasurement at each balance sheet date, and any change in fair value is recognized as a component of other income (expense), net in the consolidated statements of operations. The Company will continue to adjust the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FSP 150-5 is effective for all periods beginning after June 30, 2005, and accordingly, it was adopted by the Company on July 1, 2005. Upon adoption, the Company reclassified the fair value of its warrants to purchase shares of its convertible preferred stock as of the adoption date from additional paid-in capital to liabilities and recorded a gain of $637,000 as the cumulative effect of a change in an accounting principle in the consolidated statement of operations during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Loss and Pro forma Net Loss per Share of Common Stock</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those shares subject to repurchase related to stock options that were exercised prior to vesting as they are not deemed to be issued for accounting purposes until they vest. The diluted net loss per share of common stock is computed by dividing the net loss by the weighted-average number of common stock equivalents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common stock equivalents but have been excluded from the calculation of diluted net loss per share of common stock as their effect is anti-dilutive.</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00" w:firstLine="399"/>
        <w:spacing w:after="0" w:line="296" w:lineRule="auto"/>
        <w:rPr>
          <w:sz w:val="20"/>
          <w:szCs w:val="20"/>
          <w:color w:val="auto"/>
        </w:rPr>
      </w:pPr>
      <w:r>
        <w:rPr>
          <w:rFonts w:ascii="Arial" w:cs="Arial" w:eastAsia="Arial" w:hAnsi="Arial"/>
          <w:sz w:val="12"/>
          <w:szCs w:val="12"/>
          <w:color w:val="auto"/>
        </w:rPr>
        <w:t>Pro forma basic and diluted net loss per share of common stock has been computed to give effect to the conversion of the convertible preferred stock into common stock. Also, the numerator in the pro forma basic and diluted net loss per share calculation has been adjusted to remove gains and losses resulting from remeasurements of the convertible preferred stock warrant liabilities as these warrants will become warrants to purchase shares of the Company’s common stock upon a qualifying initial public offering.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net loss per share of common stock (in thousands, except per share amounts):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493"/>
              <w:spacing w:after="0"/>
              <w:rPr>
                <w:sz w:val="20"/>
                <w:szCs w:val="20"/>
                <w:color w:val="auto"/>
              </w:rPr>
            </w:pPr>
            <w:r>
              <w:rPr>
                <w:rFonts w:ascii="Arial" w:cs="Arial" w:eastAsia="Arial" w:hAnsi="Arial"/>
                <w:sz w:val="10"/>
                <w:szCs w:val="10"/>
                <w:b w:val="1"/>
                <w:bCs w:val="1"/>
                <w:color w:val="auto"/>
                <w:w w:val="98"/>
              </w:rPr>
              <w:t>June 30, 2007</w:t>
            </w:r>
          </w:p>
        </w:tc>
        <w:tc>
          <w:tcPr>
            <w:tcW w:w="10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June 28, 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Historical</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Numerator:</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(17,022)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(25,451)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(12,969)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637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(16,385)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(25,451)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(12,969)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net loss per share of common stock, basic and diluted</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2,671</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w w:val="95"/>
              </w:rPr>
              <w:t>Net loss per share of common stock before cumulative effect of change in accounting</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principle,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0.25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rPr>
              <w:t>F-16</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 Forma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Six Months</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June 28, 2008</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Net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(25,451)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(15,262)</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convertible preferred stock warrant liabilities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Net loss used in computing pro forma net loss per share of common stock, basic and diluted</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(25,206)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(14,903)</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Shares used in computing net loss per share of common stock above, basic and diluted</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2,765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2,832</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Pro forma adjustments to reflect assumed conversion of convertible preferred stock</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16,317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Shares used in computing pro forma net loss per share of common stock, basic and diluted</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16,577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19,149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loss per share of common stock, basic and 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outstanding shares of common stock equivalents were excluded from the computation of diluted net loss per share of common stock for the periods presented because including them would have been anti-dilutive.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9"/>
                <w:szCs w:val="9"/>
                <w:color w:val="auto"/>
              </w:rPr>
            </w:pPr>
          </w:p>
        </w:tc>
        <w:tc>
          <w:tcPr>
            <w:tcW w:w="900" w:type="dxa"/>
            <w:vAlign w:val="bottom"/>
            <w:gridSpan w:val="2"/>
          </w:tcPr>
          <w:p>
            <w:pPr>
              <w:jc w:val="center"/>
              <w:ind w:right="333"/>
              <w:spacing w:after="0" w:line="108" w:lineRule="exact"/>
              <w:rPr>
                <w:sz w:val="20"/>
                <w:szCs w:val="20"/>
                <w:color w:val="auto"/>
              </w:rPr>
            </w:pPr>
            <w:r>
              <w:rPr>
                <w:rFonts w:ascii="Arial" w:cs="Arial" w:eastAsia="Arial" w:hAnsi="Arial"/>
                <w:sz w:val="10"/>
                <w:szCs w:val="10"/>
                <w:b w:val="1"/>
                <w:bCs w:val="1"/>
                <w:color w:val="auto"/>
                <w:w w:val="89"/>
              </w:rPr>
              <w:t>June 30,</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b w:val="1"/>
                <w:bCs w:val="1"/>
                <w:color w:val="auto"/>
                <w:w w:val="99"/>
              </w:rPr>
              <w:t>June 28,</w:t>
            </w:r>
          </w:p>
        </w:tc>
        <w:tc>
          <w:tcPr>
            <w:tcW w:w="0" w:type="dxa"/>
            <w:vAlign w:val="bottom"/>
          </w:tcPr>
          <w:p>
            <w:pPr>
              <w:spacing w:after="0"/>
              <w:rPr>
                <w:sz w:val="1"/>
                <w:szCs w:val="1"/>
                <w:color w:val="auto"/>
              </w:rPr>
            </w:pPr>
          </w:p>
        </w:tc>
      </w:tr>
      <w:tr>
        <w:trPr>
          <w:trHeight w:val="125"/>
        </w:trPr>
        <w:tc>
          <w:tcPr>
            <w:tcW w:w="594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10,647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12,367</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16,192</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13,679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16,626</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Options to purchase common stock</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1,728</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1,708</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2,124</w:t>
            </w:r>
          </w:p>
        </w:tc>
        <w:tc>
          <w:tcPr>
            <w:tcW w:w="900" w:type="dxa"/>
            <w:vAlign w:val="bottom"/>
            <w:gridSpan w:val="2"/>
          </w:tcPr>
          <w:p>
            <w:pPr>
              <w:jc w:val="right"/>
              <w:ind w:right="353"/>
              <w:spacing w:after="0"/>
              <w:rPr>
                <w:sz w:val="20"/>
                <w:szCs w:val="20"/>
                <w:color w:val="auto"/>
              </w:rPr>
            </w:pPr>
            <w:r>
              <w:rPr>
                <w:rFonts w:ascii="Arial" w:cs="Arial" w:eastAsia="Arial" w:hAnsi="Arial"/>
                <w:sz w:val="13"/>
                <w:szCs w:val="13"/>
                <w:color w:val="auto"/>
              </w:rPr>
              <w:t>2,100</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2,374</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Common stock subject to repurchase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Warrants to purchase convertible preferred stock</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346</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200</w:t>
            </w:r>
          </w:p>
        </w:tc>
        <w:tc>
          <w:tcPr>
            <w:tcW w:w="900" w:type="dxa"/>
            <w:vAlign w:val="bottom"/>
            <w:gridSpan w:val="2"/>
          </w:tcPr>
          <w:p>
            <w:pPr>
              <w:jc w:val="right"/>
              <w:ind w:right="353"/>
              <w:spacing w:after="0"/>
              <w:rPr>
                <w:sz w:val="20"/>
                <w:szCs w:val="20"/>
                <w:color w:val="auto"/>
              </w:rPr>
            </w:pPr>
            <w:r>
              <w:rPr>
                <w:rFonts w:ascii="Arial" w:cs="Arial" w:eastAsia="Arial" w:hAnsi="Arial"/>
                <w:sz w:val="13"/>
                <w:szCs w:val="13"/>
                <w:color w:val="auto"/>
              </w:rPr>
              <w:t>201</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 convertible into shares of convertible preferred stock</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1,129</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418</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403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September 2006, the FASB issued SFAS 157, which establishes a framework for measuring the fair value of assets and liabilities when required or permitted by other 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 after November 15, 2007. However, in February 2008 the FASB issued FSP No. 157-2 (FSP 157-2) which allows companies to delay the effective date of SFAS 157 for all nonfinancial assets and liabilities, except those that are recognized or disclosed at fair value in the financial statements on a recurring basis, until fiscal years beginning after November 15, 2008. Generally, the provisions of this statement should be applied prospectively as of the beginning of the fiscal year in which this statement is initially applied. The Company adopted SFAS 157 in accordance with the provisions in FSP 157-2 as of December 30, 2007. The adoption of SFAS 157 did not have a significant impact on the Company’s consolidated financial statements.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(SFAS 159), including an amendment of SFAS No. 115, A</w:t>
      </w:r>
      <w:r>
        <w:rPr>
          <w:rFonts w:ascii="Arial" w:cs="Arial" w:eastAsia="Arial" w:hAnsi="Arial"/>
          <w:sz w:val="13"/>
          <w:szCs w:val="13"/>
          <w:i w:val="1"/>
          <w:iCs w:val="1"/>
          <w:color w:val="auto"/>
        </w:rPr>
        <w:t>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 measurements for the financial instruments and liabilities an entity elects to measure at fair value will be recognized in earnings. SFAS 159 also establishes additional disclosure requirements. SFAS 159 is effective for fiscal years beginning after November 15, 2007. The Company adopted SFAS 159 as of December 30, 2007 but chose not to measure the financial instruments and liabilities permitted by the standard to be measured at fair value. Therefore, the adoption of SFAS 159 did not have a significant impact on the Company’s consolidated financial statements.</w:t>
      </w:r>
    </w:p>
    <w:p>
      <w:pPr>
        <w:spacing w:after="0" w:line="72"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xml:space="preserve">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The Company is currently assessing the impact of the adoption of EITF 07-1 on the Company’s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The Company adopted EITF 07-3 as of December 30, 2007. The adoption of EITF 07-3 did not impact the Company’s consolidated financial statements.</w:t>
      </w:r>
    </w:p>
    <w:p>
      <w:pPr>
        <w:spacing w:after="0" w:line="146" w:lineRule="exact"/>
        <w:rPr>
          <w:sz w:val="20"/>
          <w:szCs w:val="20"/>
          <w:color w:val="auto"/>
        </w:rPr>
      </w:pPr>
    </w:p>
    <w:p>
      <w:pPr>
        <w:ind w:left="680" w:right="6280" w:firstLine="7"/>
        <w:spacing w:after="0" w:line="397" w:lineRule="auto"/>
        <w:tabs>
          <w:tab w:leader="none" w:pos="985"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License, Development, Collaboration and Grant Agreements License Agreements</w:t>
      </w:r>
    </w:p>
    <w:p>
      <w:pPr>
        <w:spacing w:after="0" w:line="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March 2003, the Company entered into a license agreement to obtain an exclusive worldwide license for certain technology regarding nanovolume crystallization arrays. The Company may, in its sole discretion, cancel the license agreement with a 30-day notice; otherwise, the license terminates at the end of the life of the last patent to expire. Under the terms of the agreement, the Company is obligated to issue up to $2,100,000 of shares of the Company’s common or convertible preferred stock if the Company achieves certain milestones. As a result of achieving one of these milestones during 2006, the Company issued 61,223 shares of Series D convertible preferred stock at $9.80 per share for an aggregate value of $597,000, net of issuance costs. During 2003, the Company also entered into a separate research sponsorship agreement under which the Company agreed to pay a total of $900,000 over 5 years in 20 quarterly installments of $45,000 to sponsor certain research. As of June 28, 2008, the entire $900,000 had been paid. Following the final $45,000 payment, which was paid during the six months ended June 28, 2008, the agreement terminated.</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December 2003, the Company entered into a license agreement to obtain a nonexclusive worldwide license for certain technology regarding submicroliter protein crystallization. The Company may, in its sole discretion, cancel the agreement with a 30-day notice; otherwise, the license terminates at the end of the life of the last licensed patent to expire. Pursuant to the agreement, the Company made four payments for annual nonrefundable license fees, each in the amount of $250,000, beginning in January 2004 with subsequent payments made in January 2005,</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2006 and 2007. Also pursuant to the agreement, the Company began making quarterly payments in the amount of $25,000 starting in the first quarter of 2007. These quarterly payments, which are scheduled to continue until the agreement is terminated, could increase in future periods if the Company meets certain sales volumes. The annual nonrefundable license fee payments were recorded as expense during the year in which they were paid.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Development Agreements</w:t>
      </w:r>
    </w:p>
    <w:p>
      <w:pPr>
        <w:spacing w:after="0" w:line="100"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In June 2004, the Company entered into a development agreement to evaluate two application areas of interest. Under the agreement, the Company performed research and development services, manufactured prototypes, and licensed certain nonexclusive rights. In addition, the Company issued a fully vested warrant to purchase 144,973 shares of Series D convertible preferred stock at $9.80 per share (see Note 8). As consideration, the Company received payments totaling $1,500,000 during 2004 and 2005. The Company determined that the license, research and development services, and prototypes should be accounted for as a combined unit of accounting and recognized the revenues ratably over the 12-month project period. The fair value of the warrant issued was estimated to be $750,000, as determined using the Black-Scholes option-pricing model, and was recognized as a reduction to the collaboration revenue. The Company recognized collaboration revenue of $366,000 and $384,000 related to this agreement during 2004 and 2005, respectively. The agreement terminated during 2005.</w:t>
      </w:r>
    </w:p>
    <w:p>
      <w:pPr>
        <w:spacing w:after="0" w:line="4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In June 2005, the Company entered into another development agreement to develop another application area of interest. Under the agreement, the Company performed research and development services and manufactured prototype instruments. The agreement provided for payments to the Company in the amount of $942,000, to be paid in installments over the</w:t>
      </w:r>
    </w:p>
    <w:p>
      <w:pPr>
        <w:ind w:left="680" w:right="20"/>
        <w:spacing w:after="0" w:line="256" w:lineRule="auto"/>
        <w:rPr>
          <w:sz w:val="20"/>
          <w:szCs w:val="20"/>
          <w:color w:val="auto"/>
        </w:rPr>
      </w:pPr>
      <w:r>
        <w:rPr>
          <w:rFonts w:ascii="Arial" w:cs="Arial" w:eastAsia="Arial" w:hAnsi="Arial"/>
          <w:sz w:val="13"/>
          <w:szCs w:val="13"/>
          <w:color w:val="auto"/>
        </w:rPr>
        <w:t>30-month life of the agreement. The Company determined that the research and development services and the manufacturing of prototype instruments should be accounted for as a combined unit of accounting and revenue was therefore recognized ratably over the estimated project period. The Company recognized revenue of $94,000, $377,000, $377,000, $188,000 and $89,000 related to this agreement during 2005, 2006, 2007 and the six months ended June 30, 2007 and June 28, 2008, respectively. The agreement terminated during the six months ended June 28, 2008.</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Agreement</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January 2005, the Company entered into a collaborative agreement to develop and commercialize radiopharmaceutical manufacturing products for use in the positron emission tomography field. As consideration, the Company received an up-front fee of $1,000,000, which the Company deferred and recognized over the obligation period of approximately two years, with $458,000 and $542,000 recognized as revenue during 2005 and 2006, respectively. Also, the Company recognized additional revenue of $635,000 and $500,000 during 2005 and 2006, respectively, related to payments for research and development activities under the agreement based on agreed upon rates for time incurred by the research staff. The agreement terminated on December 31, 2006.</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National Institutes of Health</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June 2006, the Company was awarded a government grant from the National Institutes of Health (NIH) in the amount of $1,048,000 to be earned over a two-year period. Under the grant, the Company performs research and development activities to design a diffraction capable Topaz screening chip. The agreement provides for quarterly reimbursement of the eligible research and development expenses, including salaries, equipment, scientific consumables, and certain third-party costs. The grant revenue is recognized as the related services are performed and costs associated with this grant are reported as research and development expense in the period incurred. The Company recognized revenue of $184,000, $606,000, $355,000 and $258,000 during 2006 and 2007 and the six months ended June 30, 2007 and June 28, 2008, respectively, under this grant. This agreement terminated in June 2008.</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Singapore Economic Development Board</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October 2005, Fluidigm Singapore, a wholly owned subsidiary of the Company, entered into a letter agreement providing for up to SG$10.0 million (approximately US$7.3 million using June 28, 2008 exchange rates) in grants from the Singapore Economic Development Board (EDB). The grants are payable for the period August 1, 2005 through July 31, 2010 in connection with the establishment and operation by Fluidigm Singapore of a research, development and manufacturing center for IFCs in Singapore. Grant payments are calculated as a portion of qualifying expenses incurred in Singapore relating to salaries, overhead, outsourcing and subcontracting expenses, operating expenses and royalties paid. Fluidigm Singapore is required to submit incentive payment requests for qualifying expenditures on a quarterly basis along with reports regarding its compliance with the incentive payment conditions, as described below, through the end of the applicable quarter.</w:t>
      </w:r>
    </w:p>
    <w:p>
      <w:pPr>
        <w:spacing w:after="0" w:line="72" w:lineRule="exact"/>
        <w:rPr>
          <w:sz w:val="20"/>
          <w:szCs w:val="20"/>
          <w:color w:val="auto"/>
        </w:rPr>
      </w:pPr>
    </w:p>
    <w:p>
      <w:pPr>
        <w:ind w:left="680" w:right="220" w:firstLine="399"/>
        <w:spacing w:after="0" w:line="282" w:lineRule="auto"/>
        <w:rPr>
          <w:sz w:val="20"/>
          <w:szCs w:val="20"/>
          <w:color w:val="auto"/>
        </w:rPr>
      </w:pPr>
      <w:r>
        <w:rPr>
          <w:rFonts w:ascii="Arial" w:cs="Arial" w:eastAsia="Arial" w:hAnsi="Arial"/>
          <w:sz w:val="12"/>
          <w:szCs w:val="12"/>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 These agreements further provide EDB with the right to demand repayment of a portion of past grants in the event the Company does not meet its obligations under the agreements. Based on correspondance with EDB, the Company believes that it has fulfilled its obligations under the grants and it will, therefore, not have to repay any of the grant proceeds received through June 28, 2008.</w:t>
      </w:r>
    </w:p>
    <w:p>
      <w:pPr>
        <w:spacing w:after="0" w:line="59"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Fluidigm Singapore’s continued eligibility for such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Company’s business strategy for its Singapore operations. All ownership rights in the intellectual property developed by Fluidigm Singapore remain with Fluidigm Singapore and no such rights are conveyed to EDB under the agreement.</w:t>
      </w:r>
    </w:p>
    <w:p>
      <w:pPr>
        <w:spacing w:after="0" w:line="4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February 2007, Fluidigm Singapore entered into a second letter agreement with EDB which provided for up to an additional SG$3.7 million (approximately US$2.7 million using June 28, 2008 exchange rates)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Company recognized revenue of $879,000, $1,758,000, $843,000 and $810,000 related to EDB grants during 2006, 2007 and the six months ended June 30, 2007 and June 28, 2008, respectively. As of December 31, 2006, December 29, 2007 and June 28, 2008, the Company had deferred revenue of $720,000, $635,000 and $506,000, respectively, related to incentive payments for equipment expenditures, which is being recognized ratably over the estimated useful life of the equipment of four years. As of December 31, 2006, December 29, 2007 and June 28, 2008, the Company had accounts receivable from EDB in the amounts of $272,000, $679,000 and $349,000, respectively.</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5780" w:type="dxa"/>
            <w:vAlign w:val="bottom"/>
          </w:tcPr>
          <w:p>
            <w:pPr>
              <w:ind w:left="200"/>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Cash Equivalents and Available-for-Sale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Arial" w:cs="Arial" w:eastAsia="Arial" w:hAnsi="Arial"/>
                <w:sz w:val="13"/>
                <w:szCs w:val="13"/>
                <w:color w:val="auto"/>
                <w:w w:val="98"/>
              </w:rPr>
              <w:t>The following are summaries of cash equivalents and available-for-sale securities (in thousands):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Amortized</w:t>
            </w:r>
          </w:p>
        </w:tc>
        <w:tc>
          <w:tcPr>
            <w:tcW w:w="10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1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Cost</w:t>
            </w:r>
          </w:p>
        </w:tc>
        <w:tc>
          <w:tcPr>
            <w:tcW w:w="10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Gain</w:t>
            </w:r>
          </w:p>
        </w:tc>
        <w:tc>
          <w:tcPr>
            <w:tcW w:w="8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Loss</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Fair Value</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 of December 31, 2006: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December 29, 2007: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2,787</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2,287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2,287</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28,207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28,198</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29,985</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6,286</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June 28, 2008 (unaudited):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11,170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11,170</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18,255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18,253</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29,425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29,423</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25,920</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3,503</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29,423</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June 28, 2008, the contractual maturities of the Company’s available-for-sale securities were less than one year.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0"/>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2,942</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Work-in-process</w:t>
            </w: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Finished goods and demonstration units</w:t>
            </w:r>
          </w:p>
        </w:tc>
        <w:tc>
          <w:tcPr>
            <w:tcW w:w="2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2,224</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3,038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5,498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6,980</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tcPr>
          <w:p>
            <w:pPr>
              <w:ind w:left="1400"/>
              <w:spacing w:after="0"/>
              <w:rPr>
                <w:sz w:val="20"/>
                <w:szCs w:val="20"/>
                <w:color w:val="auto"/>
              </w:rPr>
            </w:pPr>
            <w:r>
              <w:rPr>
                <w:rFonts w:ascii="Arial" w:cs="Arial" w:eastAsia="Arial" w:hAnsi="Arial"/>
                <w:sz w:val="13"/>
                <w:szCs w:val="13"/>
                <w:color w:val="auto"/>
              </w:rPr>
              <w:t>F-21</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2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consists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8"/>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8"/>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1,356</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Lab and manufacturing equipment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8,207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8,403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9,916</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10,722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(5,885)</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(7,177)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Construction-in-progress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Depreciation and amortization expense was $1,309,000, $1,379,000, $1,643,000, $832,000 and $837,000 for 2005, 2006, 2007 and the six months ended June 30, 2007 and June 28, 2008, respectively. During 2005, 2006, 2007 and the six months ended June 30, 2007 and June 28, 2008, the Company recognized a loss on retirement of property and equipment of $0, $111,000, $20,000, $14,000 and $1,000, respectively.</w:t>
      </w:r>
    </w:p>
    <w:p>
      <w:pPr>
        <w:spacing w:after="0" w:line="142"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left="680" w:right="100" w:firstLine="399"/>
        <w:spacing w:after="0" w:line="301" w:lineRule="auto"/>
        <w:rPr>
          <w:sz w:val="20"/>
          <w:szCs w:val="20"/>
          <w:color w:val="auto"/>
        </w:rPr>
      </w:pPr>
      <w:r>
        <w:rPr>
          <w:rFonts w:ascii="Arial" w:cs="Arial" w:eastAsia="Arial" w:hAnsi="Arial"/>
          <w:sz w:val="11"/>
          <w:szCs w:val="11"/>
          <w:color w:val="auto"/>
        </w:rPr>
        <w:t>In November 2002, the Company entered into a master security agreement with a lender. Per the terms of the agreement, the Company could draw up to $4,000,000 for purchases of capital equipment, software, and tenant improvements. A second master security agreement entered into in March 2004 increased the amount of the allowable draw for the Company to $11,000,000. The draw down period expired on December 31, 2005, at which time the Company had drawn down $3,584,000 under the agreement. The loan, which was secured by the underlying equipment and a letter of credit, carried an interest rate between 8.0% and 10.5% per annum, and each draw under the agreement was to be repaid in 42 varying monthly installments, which was originally scheduled to end on July 1, 2009. In connection with the execution of the second agreement in 2004, the Company issued a warrant to purchase</w:t>
      </w:r>
    </w:p>
    <w:p>
      <w:pPr>
        <w:spacing w:after="0" w:line="1" w:lineRule="exact"/>
        <w:rPr>
          <w:sz w:val="20"/>
          <w:szCs w:val="20"/>
          <w:color w:val="auto"/>
        </w:rPr>
      </w:pPr>
    </w:p>
    <w:p>
      <w:pPr>
        <w:ind w:left="680" w:right="100"/>
        <w:spacing w:after="0" w:line="281" w:lineRule="auto"/>
        <w:rPr>
          <w:sz w:val="20"/>
          <w:szCs w:val="20"/>
          <w:color w:val="auto"/>
        </w:rPr>
      </w:pPr>
      <w:r>
        <w:rPr>
          <w:rFonts w:ascii="Arial" w:cs="Arial" w:eastAsia="Arial" w:hAnsi="Arial"/>
          <w:sz w:val="12"/>
          <w:szCs w:val="12"/>
          <w:color w:val="auto"/>
        </w:rPr>
        <w:t>10,714 shares of Series D convertible preferred stock at $9.80 per share (see Note 8) which was recorded on the consolidated balance sheet at fair value of $90,000 as a debt discount that was amortized to interest expense over two years. As of December 31, 2006 and December 29, 2007, the outstanding principal balance of this loan was $2,267,000 and $1,130,000, respectively. In February 2008, prior to the due date, the Company paid off the outstanding principal and accrued interest balance and paid a prepayment fee in the amount of $41,000 to the lender. Accordingly, the entire outstanding principal balance for this loan as of December 29, 2007 was classified as a current liability on the consolidated balance sheet. Upon full payment of this debt, restricted cash in the amount of $500,000 was released by the lender and thus has been classified as a current asset as of December 29, 2007.</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March 2005, the Company entered into a loan and security agreement with another lender. Under this agreement the Company borrowed $13,000,000 during 2005 for general corporate purposes. This loan is secured by the Company’s assets except for intellectual property; however, the security interest does include proceeds from sales of the intellectual property. The loan was originally scheduled to be repaid by 2009; however, the agreement was amended in August 2006 to extend the final repayment date to February 1, 2010. The agreement carried a variable interest rate of prime plus 2.5% through March 2006. Thereafter, the agreement carried a fixed interest rate of 10.0% through July 2006 and a fixed interest rate of 9.75% following the amendment to the agreement in August 2006. In August 2006, the Company began making monthly payments in the amount of $310,000 for principal and interest under the agreement. The agreement also requires payment of fees in March 2009 in the amount of $1,612,500. The fees are accreted as interest expense over the term of the loan. The agreement restricts the Company’s ability to pay dividends. The Company is subject to a prepayment fee in the amount of 1% of the outstanding principal amount being prepaid if paid during 2008 or 2009. In connection with the execution of this</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spacing w:after="0" w:line="260" w:lineRule="auto"/>
        <w:rPr>
          <w:sz w:val="20"/>
          <w:szCs w:val="20"/>
          <w:color w:val="auto"/>
        </w:rPr>
      </w:pPr>
      <w:r>
        <w:rPr>
          <w:rFonts w:ascii="Arial" w:cs="Arial" w:eastAsia="Arial" w:hAnsi="Arial"/>
          <w:sz w:val="13"/>
          <w:szCs w:val="13"/>
          <w:color w:val="auto"/>
        </w:rPr>
        <w:t>loan and security agreement, the Company issued a warrant to purchase 53,061 shares of Series D convertible preferred stock at $9.80 per share (see Note 8) which was recorded on the consolidated balance sheet at fair value of $54,000 as a debt discount. In connection with the final draw down of this loan, the Company issued another warrant to purchase 53,061 shares of Series D convertible preferred stock at $9.80 per share (see Note 8) which was recorded on the consolidated balance sheet at fair value of $50,000 as a debt discount. The debt discounts are amortized to interest expense over the life of the agreement.</w:t>
      </w:r>
    </w:p>
    <w:p>
      <w:pPr>
        <w:spacing w:after="0" w:line="70" w:lineRule="exact"/>
        <w:rPr>
          <w:sz w:val="20"/>
          <w:szCs w:val="20"/>
          <w:color w:val="auto"/>
        </w:rPr>
      </w:pPr>
    </w:p>
    <w:p>
      <w:pPr>
        <w:ind w:left="680" w:right="1080" w:firstLine="399"/>
        <w:spacing w:after="0" w:line="303" w:lineRule="auto"/>
        <w:rPr>
          <w:sz w:val="20"/>
          <w:szCs w:val="20"/>
          <w:color w:val="auto"/>
        </w:rPr>
      </w:pPr>
      <w:r>
        <w:rPr>
          <w:rFonts w:ascii="Arial" w:cs="Arial" w:eastAsia="Arial" w:hAnsi="Arial"/>
          <w:sz w:val="11"/>
          <w:szCs w:val="11"/>
          <w:color w:val="auto"/>
        </w:rPr>
        <w:t>In February 2008, the Company amended this loan and security agreement to provide the Company with an additional credit line in the amount of $10,000,000 that the Company could draw upon until July 1, 2008 for general corporate purposes. In connection with the amendment of this loan and security agreement, the Company issued a warrant to purchase 28,572 shares of Series E convertible preferred stock at $14.00 per share (see Note 8). The warrant was recorded on the consolidated balance sheet as a deferred charge at a fair value of</w:t>
      </w:r>
    </w:p>
    <w:p>
      <w:pPr>
        <w:ind w:left="680" w:right="800"/>
        <w:spacing w:after="0" w:line="280" w:lineRule="auto"/>
        <w:rPr>
          <w:sz w:val="20"/>
          <w:szCs w:val="20"/>
          <w:color w:val="auto"/>
        </w:rPr>
      </w:pPr>
      <w:r>
        <w:rPr>
          <w:rFonts w:ascii="Arial" w:cs="Arial" w:eastAsia="Arial" w:hAnsi="Arial"/>
          <w:sz w:val="12"/>
          <w:szCs w:val="12"/>
          <w:color w:val="auto"/>
        </w:rPr>
        <w:t>$111,000 and was amortized to interest expense over the period of the availability of the funds. In June 2008, the Company drew down the $10,000,000 available. The loan will bear interest at 11.5% per annum. Interest only payments will be made monthly through the remainder of 2008 with monthly payments of principal and interest in the amount of $369,000, beginning in January 2009, to be made through June 2011. The agreement also requires a final payment in the amount of $650,000 in June 2011. In addition, the Company issued to the lender an additional warrant to purchase up to 57,142 shares of Series E convertible preferred stock at $14.00 per share in accordance with the terms of the agreement which was recorded on the consolidated balance sheet at fair value of $373,000 as a debt discount. As of December 31, 2006, December 29, 2007 and June 28, 2008, the outstanding principal balance of these loans was $10,570,000, $8,232,000 and $16,558,000, respectively, net of the unamortized debt discounts of $58,000, $31,000 and $391,000, respectively.</w:t>
      </w:r>
    </w:p>
    <w:p>
      <w:pPr>
        <w:spacing w:after="0" w:line="59"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The amortization of the debt discounts for the Company’s long-term debt agreements was recorded as interest expense in the consolidated statements of operations in the amounts of $9,000, $37,000, $27,000, $14,000 and $11,000 during 2005, 2006, 2007 and the six months ended June 30, 2007 and June 28, 2008, respectively. As of June 28, 2008, the Company was either in compliance with all loan covenants or had obtained waivers from the respective lenders.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does not include principal payments for the master security agreement with a principal balance of $1,130,000 as of December 29, 2007 that was paid off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2008. The scheduled principal payments of the Company’s other long-term debt as of December 29, 2007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5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jc w:val="right"/>
              <w:ind w:right="3194"/>
              <w:spacing w:after="0"/>
              <w:rPr>
                <w:sz w:val="20"/>
                <w:szCs w:val="20"/>
                <w:color w:val="auto"/>
              </w:rPr>
            </w:pPr>
            <w:r>
              <w:rPr>
                <w:rFonts w:ascii="Arial" w:cs="Arial" w:eastAsia="Arial" w:hAnsi="Arial"/>
                <w:sz w:val="13"/>
                <w:szCs w:val="13"/>
                <w:color w:val="auto"/>
              </w:rPr>
              <w:t>2008</w:t>
            </w:r>
          </w:p>
        </w:tc>
        <w:tc>
          <w:tcPr>
            <w:tcW w:w="58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jc w:val="right"/>
              <w:ind w:right="3194"/>
              <w:spacing w:after="0"/>
              <w:rPr>
                <w:sz w:val="20"/>
                <w:szCs w:val="20"/>
                <w:color w:val="auto"/>
              </w:rPr>
            </w:pPr>
            <w:r>
              <w:rPr>
                <w:rFonts w:ascii="Arial" w:cs="Arial" w:eastAsia="Arial" w:hAnsi="Arial"/>
                <w:sz w:val="13"/>
                <w:szCs w:val="13"/>
                <w:color w:val="auto"/>
              </w:rPr>
              <w:t>2009</w:t>
            </w:r>
          </w:p>
        </w:tc>
        <w:tc>
          <w:tcPr>
            <w:tcW w:w="5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jc w:val="right"/>
              <w:ind w:right="3194"/>
              <w:spacing w:after="0"/>
              <w:rPr>
                <w:sz w:val="20"/>
                <w:szCs w:val="20"/>
                <w:color w:val="auto"/>
              </w:rPr>
            </w:pPr>
            <w:r>
              <w:rPr>
                <w:rFonts w:ascii="Arial" w:cs="Arial" w:eastAsia="Arial" w:hAnsi="Arial"/>
                <w:sz w:val="13"/>
                <w:szCs w:val="13"/>
                <w:color w:val="auto"/>
              </w:rPr>
              <w:t>2010</w:t>
            </w:r>
          </w:p>
        </w:tc>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Total principal payments due in future periods</w:t>
            </w:r>
          </w:p>
        </w:tc>
        <w:tc>
          <w:tcPr>
            <w:tcW w:w="5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Less: debt discounts</w:t>
            </w:r>
          </w:p>
        </w:tc>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5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740" w:type="dxa"/>
            <w:vAlign w:val="bottom"/>
          </w:tcPr>
          <w:p>
            <w:pPr>
              <w:ind w:left="1220"/>
              <w:spacing w:after="0"/>
              <w:rPr>
                <w:sz w:val="20"/>
                <w:szCs w:val="20"/>
                <w:color w:val="auto"/>
              </w:rPr>
            </w:pPr>
            <w:r>
              <w:rPr>
                <w:rFonts w:ascii="Arial" w:cs="Arial" w:eastAsia="Arial" w:hAnsi="Arial"/>
                <w:sz w:val="13"/>
                <w:szCs w:val="13"/>
                <w:color w:val="auto"/>
              </w:rPr>
              <w:t>F-23</w:t>
            </w: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57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49"/>
        </w:trPr>
        <w:tc>
          <w:tcPr>
            <w:tcW w:w="998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000" w:type="dxa"/>
            <w:vAlign w:val="bottom"/>
          </w:tcPr>
          <w:p>
            <w:pPr>
              <w:jc w:val="center"/>
              <w:ind w:left="314"/>
              <w:spacing w:after="0"/>
              <w:rPr>
                <w:sz w:val="20"/>
                <w:szCs w:val="20"/>
                <w:color w:val="auto"/>
              </w:rPr>
            </w:pPr>
            <w:r>
              <w:rPr>
                <w:rFonts w:ascii="Arial" w:cs="Arial" w:eastAsia="Arial" w:hAnsi="Arial"/>
                <w:sz w:val="13"/>
                <w:szCs w:val="13"/>
                <w:b w:val="1"/>
                <w:bCs w:val="1"/>
                <w:color w:val="auto"/>
              </w:rPr>
              <w:t>FLUIDIGM CORPORATION</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0" w:type="dxa"/>
            <w:vAlign w:val="bottom"/>
          </w:tcPr>
          <w:p>
            <w:pPr>
              <w:jc w:val="center"/>
              <w:ind w:left="314"/>
              <w:spacing w:after="0"/>
              <w:rPr>
                <w:sz w:val="20"/>
                <w:szCs w:val="20"/>
                <w:color w:val="auto"/>
              </w:rPr>
            </w:pPr>
            <w:r>
              <w:rPr>
                <w:rFonts w:ascii="Arial" w:cs="Arial" w:eastAsia="Arial" w:hAnsi="Arial"/>
                <w:sz w:val="13"/>
                <w:szCs w:val="13"/>
                <w:b w:val="1"/>
                <w:bCs w:val="1"/>
                <w:color w:val="auto"/>
                <w:w w:val="90"/>
              </w:rPr>
              <w:t>Notes to Consolidated Financial Statements — (Continued)</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0" w:type="dxa"/>
            <w:vAlign w:val="bottom"/>
          </w:tcPr>
          <w:p>
            <w:pPr>
              <w:ind w:left="100"/>
              <w:spacing w:after="0"/>
              <w:rPr>
                <w:sz w:val="20"/>
                <w:szCs w:val="20"/>
                <w:color w:val="auto"/>
              </w:rPr>
            </w:pPr>
            <w:r>
              <w:rPr>
                <w:rFonts w:ascii="Arial" w:cs="Arial" w:eastAsia="Arial" w:hAnsi="Arial"/>
                <w:sz w:val="13"/>
                <w:szCs w:val="13"/>
                <w:color w:val="auto"/>
              </w:rPr>
              <w:t>The scheduled principal payments of the Company’s long-term debt as of June 28, 2008 are as follows (in thousands):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300" w:type="dxa"/>
            <w:vAlign w:val="bottom"/>
            <w:gridSpan w:val="2"/>
          </w:tcPr>
          <w:p>
            <w:pPr>
              <w:ind w:left="140"/>
              <w:spacing w:after="0"/>
              <w:rPr>
                <w:sz w:val="20"/>
                <w:szCs w:val="20"/>
                <w:color w:val="auto"/>
              </w:rPr>
            </w:pPr>
            <w:r>
              <w:rPr>
                <w:rFonts w:ascii="Arial" w:cs="Arial" w:eastAsia="Arial" w:hAnsi="Arial"/>
                <w:sz w:val="13"/>
                <w:szCs w:val="13"/>
                <w:color w:val="auto"/>
              </w:rPr>
              <w:t>Remainder of 2008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2009</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8,343</w:t>
            </w: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300" w:type="dxa"/>
            <w:vAlign w:val="bottom"/>
            <w:gridSpan w:val="2"/>
          </w:tcPr>
          <w:p>
            <w:pPr>
              <w:ind w:left="140"/>
              <w:spacing w:after="0"/>
              <w:rPr>
                <w:sz w:val="20"/>
                <w:szCs w:val="20"/>
                <w:color w:val="auto"/>
              </w:rPr>
            </w:pPr>
            <w:r>
              <w:rPr>
                <w:rFonts w:ascii="Arial" w:cs="Arial" w:eastAsia="Arial" w:hAnsi="Arial"/>
                <w:sz w:val="13"/>
                <w:szCs w:val="13"/>
                <w:color w:val="auto"/>
              </w:rPr>
              <w:t>2010</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4,453</w:t>
            </w:r>
          </w:p>
        </w:tc>
        <w:tc>
          <w:tcPr>
            <w:tcW w:w="1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2011</w:t>
            </w: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2,743</w:t>
            </w:r>
          </w:p>
        </w:tc>
        <w:tc>
          <w:tcPr>
            <w:tcW w:w="100" w:type="dxa"/>
            <w:vAlign w:val="bottom"/>
            <w:shd w:val="clear" w:color="auto" w:fill="CCEEFF"/>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9300" w:type="dxa"/>
            <w:vAlign w:val="bottom"/>
            <w:gridSpan w:val="2"/>
          </w:tcPr>
          <w:p>
            <w:pPr>
              <w:spacing w:after="0"/>
              <w:rPr>
                <w:sz w:val="20"/>
                <w:szCs w:val="20"/>
                <w:color w:val="auto"/>
              </w:rPr>
            </w:pPr>
            <w:r>
              <w:rPr>
                <w:rFonts w:ascii="Arial" w:cs="Arial" w:eastAsia="Arial" w:hAnsi="Arial"/>
                <w:sz w:val="13"/>
                <w:szCs w:val="13"/>
                <w:color w:val="auto"/>
              </w:rPr>
              <w:t>Total principal payments due in future periods</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16,949</w:t>
            </w:r>
          </w:p>
        </w:tc>
        <w:tc>
          <w:tcPr>
            <w:tcW w:w="1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debt discounts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(391)</w:t>
            </w:r>
          </w:p>
        </w:tc>
      </w:tr>
      <w:tr>
        <w:trPr>
          <w:trHeight w:val="166"/>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16,558</w:t>
            </w: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left="680" w:right="7820" w:firstLine="7"/>
        <w:spacing w:after="0" w:line="397" w:lineRule="auto"/>
        <w:tabs>
          <w:tab w:leader="none" w:pos="985"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Operating Leases</w:t>
      </w:r>
    </w:p>
    <w:p>
      <w:pPr>
        <w:spacing w:after="0" w:line="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leases its headquarters in South San Francisco, California, under multiple noncancelable lease agreements that expire in February 2011. These agreements include renewal options which provide the Company with the ability to extend the lease terms for an additional three years. The Company also leases office and manufacturing space under noncancelable leases in Singapore that expire in October 2011. The Company’s other operating leases are for office space in the Netherlands, Japan, and France and are on a month-to-month basis. As of December 29, 2007, future minimum lease payments under noncancelable operating leases were as follows (in thousands):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2011</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Singapore office and manufacturing space leases were renewed in August 2008 as they were originally scheduled to expire in September 2008. Future minimum lease payments on the new Singapore leases in the amount of SG$14,000 (approximately US$10,000 using June 28, 2008 exchange rates) per month are not included in the table above. The Company’s lease payments are recognized as an expense on a straight-line basis over the life of the lease. Rental expense under operating leases for 2005, 2006, 2007 and the six months ended June 30, 2007 and June 28, 2008 totaled $1,468,000, $1,494,000, $1,574,000, $719,000 and $730,000, respectively.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Commitments</w:t>
      </w:r>
    </w:p>
    <w:p>
      <w:pPr>
        <w:spacing w:after="0" w:line="100" w:lineRule="exact"/>
        <w:rPr>
          <w:sz w:val="20"/>
          <w:szCs w:val="20"/>
          <w:color w:val="auto"/>
        </w:rPr>
      </w:pPr>
    </w:p>
    <w:p>
      <w:pPr>
        <w:jc w:val="both"/>
        <w:ind w:left="680" w:right="320" w:firstLine="399"/>
        <w:spacing w:after="0" w:line="334" w:lineRule="auto"/>
        <w:rPr>
          <w:sz w:val="20"/>
          <w:szCs w:val="20"/>
          <w:color w:val="auto"/>
        </w:rPr>
      </w:pPr>
      <w:r>
        <w:rPr>
          <w:rFonts w:ascii="Arial" w:cs="Arial" w:eastAsia="Arial" w:hAnsi="Arial"/>
          <w:sz w:val="11"/>
          <w:szCs w:val="11"/>
          <w:color w:val="auto"/>
        </w:rPr>
        <w:t>The Company has entered into a supply agreement with a vendor to provide inventory components customized to the Company’s specifications. Pursuant to this agreement, the Company has agreed to purchase from the vendor a specified minimum number of units each year in exchange for volume discounts. After April 1, 2010, either party may terminate the supply agreement upon six months prior written notice. As of December 29, 2007, future minimum payments under the supply agreement were as follows (in thousands):</w:t>
      </w:r>
    </w:p>
    <w:p>
      <w:pPr>
        <w:spacing w:after="0" w:line="32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3020" w:type="dxa"/>
            <w:vAlign w:val="bottom"/>
            <w:gridSpan w:val="3"/>
          </w:tcPr>
          <w:p>
            <w:pPr>
              <w:jc w:val="right"/>
              <w:ind w:right="2040"/>
              <w:spacing w:after="0"/>
              <w:rPr>
                <w:rFonts w:ascii="Arial" w:cs="Arial" w:eastAsia="Arial" w:hAnsi="Arial"/>
                <w:sz w:val="13"/>
                <w:szCs w:val="13"/>
                <w:b w:val="1"/>
                <w:bCs w:val="1"/>
                <w:color w:val="0000EE"/>
                <w:w w:val="87"/>
              </w:rPr>
            </w:pPr>
            <w:hyperlink w:anchor="page5">
              <w:r>
                <w:rPr>
                  <w:rFonts w:ascii="Arial" w:cs="Arial" w:eastAsia="Arial" w:hAnsi="Arial"/>
                  <w:sz w:val="13"/>
                  <w:szCs w:val="13"/>
                  <w:b w:val="1"/>
                  <w:bCs w:val="1"/>
                  <w:color w:val="0000EE"/>
                  <w:w w:val="87"/>
                </w:rPr>
                <w:t>Table of Contents</w:t>
              </w:r>
            </w:hyperlink>
          </w:p>
        </w:tc>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180" w:type="dxa"/>
            <w:vAlign w:val="bottom"/>
            <w:gridSpan w:val="2"/>
          </w:tcPr>
          <w:p>
            <w:pPr>
              <w:jc w:val="right"/>
              <w:ind w:right="3680"/>
              <w:spacing w:after="0"/>
              <w:rPr>
                <w:sz w:val="20"/>
                <w:szCs w:val="20"/>
                <w:color w:val="auto"/>
              </w:rPr>
            </w:pPr>
            <w:r>
              <w:rPr>
                <w:rFonts w:ascii="Arial" w:cs="Arial" w:eastAsia="Arial" w:hAnsi="Arial"/>
                <w:sz w:val="13"/>
                <w:szCs w:val="13"/>
                <w:b w:val="1"/>
                <w:bCs w:val="1"/>
                <w:color w:val="auto"/>
              </w:rPr>
              <w:t>FLUIDIGM CORPORATION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7180" w:type="dxa"/>
            <w:vAlign w:val="bottom"/>
            <w:gridSpan w:val="2"/>
          </w:tcPr>
          <w:p>
            <w:pPr>
              <w:jc w:val="right"/>
              <w:ind w:right="288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7"/>
        </w:trPr>
        <w:tc>
          <w:tcPr>
            <w:tcW w:w="680" w:type="dxa"/>
            <w:vAlign w:val="bottom"/>
          </w:tcPr>
          <w:p>
            <w:pPr>
              <w:spacing w:after="0"/>
              <w:rPr>
                <w:sz w:val="13"/>
                <w:szCs w:val="13"/>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Years:</w:t>
            </w:r>
          </w:p>
        </w:tc>
        <w:tc>
          <w:tcPr>
            <w:tcW w:w="7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340" w:type="dxa"/>
            <w:vAlign w:val="bottom"/>
            <w:gridSpan w:val="2"/>
          </w:tcPr>
          <w:p>
            <w:pPr>
              <w:jc w:val="right"/>
              <w:ind w:right="1940"/>
              <w:spacing w:after="0"/>
              <w:rPr>
                <w:sz w:val="20"/>
                <w:szCs w:val="20"/>
                <w:color w:val="auto"/>
              </w:rPr>
            </w:pPr>
            <w:r>
              <w:rPr>
                <w:rFonts w:ascii="Arial" w:cs="Arial" w:eastAsia="Arial" w:hAnsi="Arial"/>
                <w:sz w:val="13"/>
                <w:szCs w:val="13"/>
                <w:color w:val="auto"/>
              </w:rPr>
              <w:t>2008</w:t>
            </w:r>
          </w:p>
        </w:tc>
        <w:tc>
          <w:tcPr>
            <w:tcW w:w="7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r>
      <w:tr>
        <w:trPr>
          <w:trHeight w:val="157"/>
        </w:trPr>
        <w:tc>
          <w:tcPr>
            <w:tcW w:w="680" w:type="dxa"/>
            <w:vAlign w:val="bottom"/>
          </w:tcPr>
          <w:p>
            <w:pPr>
              <w:spacing w:after="0"/>
              <w:rPr>
                <w:sz w:val="13"/>
                <w:szCs w:val="13"/>
                <w:color w:val="auto"/>
              </w:rPr>
            </w:pPr>
          </w:p>
        </w:tc>
        <w:tc>
          <w:tcPr>
            <w:tcW w:w="2340" w:type="dxa"/>
            <w:vAlign w:val="bottom"/>
            <w:gridSpan w:val="2"/>
            <w:shd w:val="clear" w:color="auto" w:fill="CCEEFF"/>
          </w:tcPr>
          <w:p>
            <w:pPr>
              <w:jc w:val="right"/>
              <w:ind w:right="1940"/>
              <w:spacing w:after="0"/>
              <w:rPr>
                <w:sz w:val="20"/>
                <w:szCs w:val="20"/>
                <w:color w:val="auto"/>
              </w:rPr>
            </w:pPr>
            <w:r>
              <w:rPr>
                <w:rFonts w:ascii="Arial" w:cs="Arial" w:eastAsia="Arial" w:hAnsi="Arial"/>
                <w:sz w:val="13"/>
                <w:szCs w:val="13"/>
                <w:color w:val="auto"/>
              </w:rPr>
              <w:t>2009</w:t>
            </w:r>
          </w:p>
        </w:tc>
        <w:tc>
          <w:tcPr>
            <w:tcW w:w="7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r>
      <w:tr>
        <w:trPr>
          <w:trHeight w:val="157"/>
        </w:trPr>
        <w:tc>
          <w:tcPr>
            <w:tcW w:w="680" w:type="dxa"/>
            <w:vAlign w:val="bottom"/>
          </w:tcPr>
          <w:p>
            <w:pPr>
              <w:spacing w:after="0"/>
              <w:rPr>
                <w:sz w:val="13"/>
                <w:szCs w:val="13"/>
                <w:color w:val="auto"/>
              </w:rPr>
            </w:pPr>
          </w:p>
        </w:tc>
        <w:tc>
          <w:tcPr>
            <w:tcW w:w="2340" w:type="dxa"/>
            <w:vAlign w:val="bottom"/>
            <w:gridSpan w:val="2"/>
          </w:tcPr>
          <w:p>
            <w:pPr>
              <w:jc w:val="right"/>
              <w:ind w:right="1940"/>
              <w:spacing w:after="0"/>
              <w:rPr>
                <w:sz w:val="20"/>
                <w:szCs w:val="20"/>
                <w:color w:val="auto"/>
              </w:rPr>
            </w:pPr>
            <w:r>
              <w:rPr>
                <w:rFonts w:ascii="Arial" w:cs="Arial" w:eastAsia="Arial" w:hAnsi="Arial"/>
                <w:sz w:val="13"/>
                <w:szCs w:val="13"/>
                <w:color w:val="auto"/>
              </w:rPr>
              <w:t>2010</w:t>
            </w:r>
          </w:p>
        </w:tc>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135</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7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June 2008, the Company received a letter from a competitor asserting that the Company had infringed upon a patent currently held by the competitor. In response, the Company filed a suit against the competitor seeking declaratory judgments of non-infringement and invalidity of the patent. Subsequent to the filing of the suit, the Company and this competitor entered into an agreement that provides for a stay of the proceedings and provides further that neither party may initiate any further patent litigation proceedings against the other during the term of the agreement. The Company is party to other various claims arising in the ordinary course of business. These claims relate to intellectual property rights and employment matters. While there is no assurance that an adverse determination of any of such matters will not occur, management does not believe, based upon information known to it, that a potential resolution of any of these matters will have a material adverse effect upon the Company’s financial position, results of operations, or cash flows.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has entered into indemnification provisions under certain of its agreements with other companies in the ordinary course of business, typically with business partners, customers, and suppliers. Pursuant to these agreements, the Company may indemnify, hold harmless, and agree to reimburse the indemnified parties on a case by case basis for losses suffered or incurred by the indemnified parties in connection with any patent or other intellectual property infringement claim by any third-party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June 28, 2008, the Company had not accrued a liability for these indemnification provisions because the likelihood of incurring a payment obligation was remote.</w:t>
      </w:r>
    </w:p>
    <w:p>
      <w:pPr>
        <w:spacing w:after="0" w:line="133"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Promissory Notes</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December 2003, the Company entered into a convertible note purchase agreement with the Biomedical Sciences Investment Fund Pte Ltd (BMSIF). BMSIF is wholly-owned by EDB Investments Pte. Ltd., whose parent entity is EDB. Ultimately, each of these entities is controlled by the government of Singapore. Under this agreement BMSIF agreed to provide a $2,000,000 credit facility to be used for general corporate purposes. In December 2003, the Company issued a $2,000,000 convertible promissory note to BMSIF. The note, which was unsecured, carried an interest rate of 8% per year. Per the agreement, principal and interest were convertible into the Company’s Series D convertible preferred stock at $9.80 per share at the lender’s election, at any time, or upon the election of the Company upon the achievement of certain milestones by the Company. In June 2005, the agreement was amended to allow the Company to issue additional convertible promissory notes in the amount of $3,000,000 if the Company achieved certain milestones. In December 2005, upon the successful completion of specified milestones, the $2,000,000 convertible promissory note and interest of $331,000 converted into 237,895 shares of Series D convertible preferred stock at $9.80 per share as settlement of the outstanding balance on the date of the conversion. In June 2006, the Company issued a $3,000,000 convertible promissory note, which was also unsecured, that carried an interest rate of 8% per year. Principal and interest were also convertible into the Company’s Series D</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convertible preferred stock at $9.80 per share at the lender’s election, at any time, or upon the election of the Company upon the achievement of certain milestones by the Company or upon the completion of an initial public offering in which the convertible preferred stock has converted into common stock. As of December 31, 2006, the outstanding principal and accrued interest balance for the convertible promissory note was $3,128,000. In June 2007, upon the successful completion of specified milestones, the principal balance in the amount of $3,000,000 for the convertible promissory note and accrued interest of $240,000 converted into 330,612 shares of Series D convertible preferred stock at $9.80 per share.</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August 2006, the Company entered into another convertible note purchase agreement with BMSIF. Under this agreement, BMSIF agreed to provide a $15,000,000 credit facility, to be issued in three separate $5,000,000 tranches, and to be used for general corporate purposes. The Company issued two $5,000,000 convertible promissory notes against equal amounts of borrowings under this facility, each unsecured and carrying an interest rate of 8% per year, in August and November 2006. In March 2007, BMSIF exercised the conversion provision of the convertible note purchase agreement and the Company issued 844,095 shares of Series E convertible preferred stock at $12.60 per share as settlement of the outstanding principal and accrued interest balance on the date of the conversion in the amount of $10,636,000. Upon conversion of these convertible promissory notes, the Company issued the third and final $5,000,000 convertible promissory note against an equal amount of borrowing under this facility with an interest rate of 8% per year in April 2007. BMSIF exercised the conversion provision for the third and final convertible promissory note in May 2008, and the Company issued 429,698 shares of Series E convertible preferred stock at $12.60 per share as settlement of the outstanding principal and accrued interest balance on the date of the conversion in the amount of $5,414,000.</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For these convertible note purchase agreements in which the repayment was in the form of Series E convertible preferred stock, the conversion price of $12.60 per share was a discount to the estimated fair values of $12.98 and $14.00 per share for the Series E convertible preferred stock at the times of the borrowings. The intrinsic value of the embedded beneficial conversion option associated with each borrowing of convertible promissory notes under the arrangement was measured as the difference between the conversion price and the fair value of Series E convertible preferred stock on the commitment date and the resulting debt discount is being amortized to interest expense over the two year contractual term of the debt. Upon conversion of the notes to convertible preferred stock, any remaining unamortized debt discount was immediately recognized as interest expense.</w:t>
      </w:r>
    </w:p>
    <w:p>
      <w:pPr>
        <w:spacing w:after="0" w:line="55"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During 2006 and 2007, the Company recognized debt discounts of $306,000 and $485,000, respectively, related to the beneficial conversion feature of the notes. Amortization of the debt discounts for the convertible note purchase agreements was recorded as interest expense in the consolidated statements of operations in the amount of $43,000, $468,000, $360,000 and $280,000 during 2006, 2007 and the six months ended June 30, 2007 and June 28, 2008, respectively.</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As of December 31, 2006 and December 29, 2007, the outstanding principal and accrued interest balance for the convertible note purchase agreements with BMSIF was $9,944,000 and $4,997,000 net of the unamortized debt discounts of $263,000 and $280,000, respectively. As of June 28, 2008, there were no remaining amounts outstanding related to the convertible note purchase agreements with BMSIF.</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 Warrant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issued warrants to purchase 346,055 shares of the Company’s convertible preferred stock at various times between 2001 and 2005 and warrants to purchase</w:t>
      </w:r>
    </w:p>
    <w:p>
      <w:pPr>
        <w:spacing w:after="0" w:line="27" w:lineRule="exact"/>
        <w:rPr>
          <w:sz w:val="20"/>
          <w:szCs w:val="20"/>
          <w:color w:val="auto"/>
        </w:rPr>
      </w:pPr>
    </w:p>
    <w:p>
      <w:pPr>
        <w:ind w:left="680" w:right="180"/>
        <w:spacing w:after="0" w:line="256" w:lineRule="auto"/>
        <w:rPr>
          <w:sz w:val="20"/>
          <w:szCs w:val="20"/>
          <w:color w:val="auto"/>
        </w:rPr>
      </w:pPr>
      <w:r>
        <w:rPr>
          <w:rFonts w:ascii="Arial" w:cs="Arial" w:eastAsia="Arial" w:hAnsi="Arial"/>
          <w:sz w:val="13"/>
          <w:szCs w:val="13"/>
          <w:color w:val="auto"/>
        </w:rPr>
        <w:t>85,714 shares during the six months ended June 28, 2008. The Company did not issue any warrants to purchase convertible preferred stock during 2006 or 2007. The convertible preferred stock warrants are generally exercisable immediately and can only be exercised for cash or net share settled. Changes in the fair value of the underlying stock do not affect the settlement amounts of the warrants, therefore, the maximum amount of shares to be issued upon the settlement of these warrants is noted in the table below. As of December 29, 2007, the following warrants were issued and outstanding:</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vMerge w:val="continue"/>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11,795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7.63</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5,000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9.03</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8,859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9.03</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57"/>
        </w:trPr>
        <w:tc>
          <w:tcPr>
            <w:tcW w:w="2220" w:type="dxa"/>
            <w:vAlign w:val="bottom"/>
          </w:tcPr>
          <w:p>
            <w:pPr>
              <w:spacing w:after="0"/>
              <w:rPr>
                <w:sz w:val="20"/>
                <w:szCs w:val="20"/>
                <w:color w:val="auto"/>
              </w:rPr>
            </w:pPr>
            <w:r>
              <w:rPr>
                <w:rFonts w:ascii="Arial" w:cs="Arial" w:eastAsia="Arial" w:hAnsi="Arial"/>
                <w:sz w:val="13"/>
                <w:szCs w:val="13"/>
                <w:color w:val="auto"/>
              </w:rPr>
              <w:t>September 2003</w:t>
            </w:r>
          </w:p>
        </w:tc>
        <w:tc>
          <w:tcPr>
            <w:tcW w:w="1400" w:type="dxa"/>
            <w:vAlign w:val="bottom"/>
          </w:tcPr>
          <w:p>
            <w:pPr>
              <w:spacing w:after="0"/>
              <w:rPr>
                <w:sz w:val="20"/>
                <w:szCs w:val="20"/>
                <w:color w:val="auto"/>
              </w:rPr>
            </w:pPr>
            <w:r>
              <w:rPr>
                <w:rFonts w:ascii="Arial" w:cs="Arial" w:eastAsia="Arial" w:hAnsi="Arial"/>
                <w:sz w:val="13"/>
                <w:szCs w:val="13"/>
                <w:color w:val="auto"/>
                <w:w w:val="96"/>
              </w:rPr>
              <w:t>Collaboration agreement</w:t>
            </w:r>
          </w:p>
        </w:tc>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57,142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9.03</w:t>
            </w:r>
          </w:p>
        </w:tc>
        <w:tc>
          <w:tcPr>
            <w:tcW w:w="2880" w:type="dxa"/>
            <w:vAlign w:val="bottom"/>
          </w:tcPr>
          <w:p>
            <w:pPr>
              <w:spacing w:after="0"/>
              <w:rPr>
                <w:sz w:val="20"/>
                <w:szCs w:val="20"/>
                <w:color w:val="auto"/>
              </w:rPr>
            </w:pPr>
            <w:r>
              <w:rPr>
                <w:rFonts w:ascii="Arial" w:cs="Arial" w:eastAsia="Arial" w:hAnsi="Arial"/>
                <w:sz w:val="13"/>
                <w:szCs w:val="13"/>
                <w:color w:val="auto"/>
              </w:rPr>
              <w:t>December 31, 2007</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2004</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10,714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9.80</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53,061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9.80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53,061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199,632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-1459865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During 2007, warrants to purchase 1,450 shares of Series C convertible preferred stock expired. Upon expiration, the related warrant liability was eliminated and reflected as other income (expense), net. During 2006, warrants, issued in connection with a collaboration agreement (see Note 3), to purchase 144,973 shares of the Series D convertible preferred stock were exercised utilizing a cashless exercise option that allowed the holder to receive 76,530 shares of convertible preferred stock. The fair value of the warrants and the shares of convertible preferred stock issued upon the cashless exercise was $729,000 on the exercise date, calculated as the fair value of the shares of convertible preferred stock issued.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June 28, 2008, the following warrants were issued and outstanding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9"/>
                <w:szCs w:val="9"/>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80" w:type="dxa"/>
            <w:vAlign w:val="bottom"/>
            <w:vMerge w:val="restart"/>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2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2002</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5,000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9.03</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November 2002</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8,859</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9.03</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March 2004</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53,061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9.80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53,061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February 2008</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E</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28,572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14.00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June 2008</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57,142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14.00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216,409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During the six months ended June 28, 2008, the Company issued warrants to purchase 85,714 shares of Series E convertible preferred stock in connection with the amendment of a loan and security agreement and the subsequent draw down on the agreement (see Note 5). Warrants to purchase 57,142 shares of the Company’s Series C convertible preferred stock expired unexercised on December 31, 2007 and warrants to purchase 11,795 shares of the Company’s Series C convertible preferred stock were exercised in May 2008 utilizing a cashless exercise option that allowed the holder to receive 4,692 shares of convertible preferred stock.</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summary of the warrants to purchase convertible preferred stock outstanding and their fair values as of December 31, 2006, December 29, 2007 and June 28, 2008: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820" w:type="dxa"/>
            <w:vAlign w:val="bottom"/>
          </w:tcPr>
          <w:p>
            <w:pPr>
              <w:spacing w:after="0"/>
              <w:rPr>
                <w:sz w:val="20"/>
                <w:szCs w:val="20"/>
                <w:color w:val="auto"/>
              </w:rPr>
            </w:pPr>
            <w:r>
              <w:rPr>
                <w:rFonts w:ascii="Arial" w:cs="Arial" w:eastAsia="Arial" w:hAnsi="Arial"/>
                <w:sz w:val="9"/>
                <w:szCs w:val="9"/>
                <w:b w:val="1"/>
                <w:bCs w:val="1"/>
                <w:color w:val="auto"/>
              </w:rPr>
              <w:t>Outstanding</w:t>
            </w: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9"/>
                <w:szCs w:val="9"/>
                <w:b w:val="1"/>
                <w:bCs w:val="1"/>
                <w:color w:val="auto"/>
                <w:w w:val="89"/>
              </w:rPr>
              <w:t>Shares as of</w:t>
            </w: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9"/>
                <w:szCs w:val="9"/>
                <w:b w:val="1"/>
                <w:bCs w:val="1"/>
                <w:color w:val="auto"/>
                <w:w w:val="93"/>
              </w:rPr>
              <w:t>Fair Value as of</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75"/>
        </w:trPr>
        <w:tc>
          <w:tcPr>
            <w:tcW w:w="680" w:type="dxa"/>
            <w:vAlign w:val="bottom"/>
          </w:tcPr>
          <w:p>
            <w:pPr>
              <w:spacing w:after="0"/>
              <w:rPr>
                <w:sz w:val="6"/>
                <w:szCs w:val="6"/>
                <w:color w:val="auto"/>
              </w:rPr>
            </w:pPr>
          </w:p>
        </w:tc>
        <w:tc>
          <w:tcPr>
            <w:tcW w:w="3820" w:type="dxa"/>
            <w:vAlign w:val="bottom"/>
          </w:tcPr>
          <w:p>
            <w:pPr>
              <w:spacing w:after="0" w:line="75" w:lineRule="exact"/>
              <w:rPr>
                <w:sz w:val="20"/>
                <w:szCs w:val="20"/>
                <w:color w:val="auto"/>
              </w:rPr>
            </w:pPr>
            <w:r>
              <w:rPr>
                <w:rFonts w:ascii="Arial" w:cs="Arial" w:eastAsia="Arial" w:hAnsi="Arial"/>
                <w:sz w:val="8"/>
                <w:szCs w:val="8"/>
                <w:b w:val="1"/>
                <w:bCs w:val="1"/>
                <w:color w:val="auto"/>
              </w:rPr>
              <w:t>Warrants to</w:t>
            </w:r>
          </w:p>
        </w:tc>
        <w:tc>
          <w:tcPr>
            <w:tcW w:w="940" w:type="dxa"/>
            <w:vAlign w:val="bottom"/>
            <w:gridSpan w:val="2"/>
          </w:tcPr>
          <w:p>
            <w:pPr>
              <w:jc w:val="center"/>
              <w:ind w:right="140"/>
              <w:spacing w:after="0" w:line="75" w:lineRule="exact"/>
              <w:rPr>
                <w:sz w:val="20"/>
                <w:szCs w:val="20"/>
                <w:color w:val="auto"/>
              </w:rPr>
            </w:pPr>
            <w:r>
              <w:rPr>
                <w:rFonts w:ascii="Arial" w:cs="Arial" w:eastAsia="Arial" w:hAnsi="Arial"/>
                <w:sz w:val="8"/>
                <w:szCs w:val="8"/>
                <w:b w:val="1"/>
                <w:bCs w:val="1"/>
                <w:color w:val="auto"/>
                <w:w w:val="99"/>
              </w:rPr>
              <w:t>December 31,</w:t>
            </w:r>
          </w:p>
        </w:tc>
        <w:tc>
          <w:tcPr>
            <w:tcW w:w="180" w:type="dxa"/>
            <w:vAlign w:val="bottom"/>
          </w:tcPr>
          <w:p>
            <w:pPr>
              <w:spacing w:after="0"/>
              <w:rPr>
                <w:sz w:val="6"/>
                <w:szCs w:val="6"/>
                <w:color w:val="auto"/>
              </w:rPr>
            </w:pPr>
          </w:p>
        </w:tc>
        <w:tc>
          <w:tcPr>
            <w:tcW w:w="1080" w:type="dxa"/>
            <w:vAlign w:val="bottom"/>
            <w:gridSpan w:val="2"/>
          </w:tcPr>
          <w:p>
            <w:pPr>
              <w:jc w:val="right"/>
              <w:ind w:right="420"/>
              <w:spacing w:after="0" w:line="75" w:lineRule="exact"/>
              <w:rPr>
                <w:sz w:val="20"/>
                <w:szCs w:val="20"/>
                <w:color w:val="auto"/>
              </w:rPr>
            </w:pPr>
            <w:r>
              <w:rPr>
                <w:rFonts w:ascii="Arial" w:cs="Arial" w:eastAsia="Arial" w:hAnsi="Arial"/>
                <w:sz w:val="8"/>
                <w:szCs w:val="8"/>
                <w:b w:val="1"/>
                <w:bCs w:val="1"/>
                <w:color w:val="auto"/>
              </w:rPr>
              <w:t>December 29,</w:t>
            </w:r>
          </w:p>
        </w:tc>
        <w:tc>
          <w:tcPr>
            <w:tcW w:w="600" w:type="dxa"/>
            <w:vAlign w:val="bottom"/>
          </w:tcPr>
          <w:p>
            <w:pPr>
              <w:jc w:val="center"/>
              <w:spacing w:after="0" w:line="75" w:lineRule="exact"/>
              <w:rPr>
                <w:sz w:val="20"/>
                <w:szCs w:val="20"/>
                <w:color w:val="auto"/>
              </w:rPr>
            </w:pPr>
            <w:r>
              <w:rPr>
                <w:rFonts w:ascii="Arial" w:cs="Arial" w:eastAsia="Arial" w:hAnsi="Arial"/>
                <w:sz w:val="8"/>
                <w:szCs w:val="8"/>
                <w:b w:val="1"/>
                <w:bCs w:val="1"/>
                <w:color w:val="auto"/>
                <w:w w:val="99"/>
              </w:rPr>
              <w:t>June 28,</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center"/>
              <w:ind w:right="38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1000" w:type="dxa"/>
            <w:vAlign w:val="bottom"/>
            <w:gridSpan w:val="2"/>
          </w:tcPr>
          <w:p>
            <w:pPr>
              <w:jc w:val="center"/>
              <w:ind w:right="360"/>
              <w:spacing w:after="0" w:line="75" w:lineRule="exact"/>
              <w:rPr>
                <w:sz w:val="20"/>
                <w:szCs w:val="20"/>
                <w:color w:val="auto"/>
              </w:rPr>
            </w:pPr>
            <w:r>
              <w:rPr>
                <w:rFonts w:ascii="Arial" w:cs="Arial" w:eastAsia="Arial" w:hAnsi="Arial"/>
                <w:sz w:val="8"/>
                <w:szCs w:val="8"/>
                <w:b w:val="1"/>
                <w:bCs w:val="1"/>
                <w:color w:val="auto"/>
                <w:w w:val="99"/>
              </w:rPr>
              <w:t>December 29,</w:t>
            </w:r>
          </w:p>
        </w:tc>
        <w:tc>
          <w:tcPr>
            <w:tcW w:w="120" w:type="dxa"/>
            <w:vAlign w:val="bottom"/>
          </w:tcPr>
          <w:p>
            <w:pPr>
              <w:spacing w:after="0"/>
              <w:rPr>
                <w:sz w:val="6"/>
                <w:szCs w:val="6"/>
                <w:color w:val="auto"/>
              </w:rPr>
            </w:pPr>
          </w:p>
        </w:tc>
        <w:tc>
          <w:tcPr>
            <w:tcW w:w="680" w:type="dxa"/>
            <w:vAlign w:val="bottom"/>
          </w:tcPr>
          <w:p>
            <w:pPr>
              <w:jc w:val="center"/>
              <w:ind w:right="44"/>
              <w:spacing w:after="0" w:line="75" w:lineRule="exact"/>
              <w:rPr>
                <w:sz w:val="20"/>
                <w:szCs w:val="20"/>
                <w:color w:val="auto"/>
              </w:rPr>
            </w:pPr>
            <w:r>
              <w:rPr>
                <w:rFonts w:ascii="Arial" w:cs="Arial" w:eastAsia="Arial" w:hAnsi="Arial"/>
                <w:sz w:val="8"/>
                <w:szCs w:val="8"/>
                <w:b w:val="1"/>
                <w:bCs w:val="1"/>
                <w:color w:val="auto"/>
              </w:rPr>
              <w:t>June 28,</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21"/>
        </w:trPr>
        <w:tc>
          <w:tcPr>
            <w:tcW w:w="680" w:type="dxa"/>
            <w:vAlign w:val="bottom"/>
          </w:tcPr>
          <w:p>
            <w:pPr>
              <w:spacing w:after="0"/>
              <w:rPr>
                <w:sz w:val="10"/>
                <w:szCs w:val="10"/>
                <w:color w:val="auto"/>
              </w:rPr>
            </w:pPr>
          </w:p>
        </w:tc>
        <w:tc>
          <w:tcPr>
            <w:tcW w:w="3820" w:type="dxa"/>
            <w:vAlign w:val="bottom"/>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urchase</w:t>
            </w:r>
          </w:p>
        </w:tc>
        <w:tc>
          <w:tcPr>
            <w:tcW w:w="800" w:type="dxa"/>
            <w:vAlign w:val="bottom"/>
          </w:tcPr>
          <w:p>
            <w:pPr>
              <w:jc w:val="right"/>
              <w:ind w:right="242"/>
              <w:spacing w:after="0"/>
              <w:rPr>
                <w:sz w:val="20"/>
                <w:szCs w:val="20"/>
                <w:color w:val="auto"/>
              </w:rPr>
            </w:pPr>
            <w:r>
              <w:rPr>
                <w:rFonts w:ascii="Arial" w:cs="Arial" w:eastAsia="Arial" w:hAnsi="Arial"/>
                <w:sz w:val="9"/>
                <w:szCs w:val="9"/>
                <w:b w:val="1"/>
                <w:bCs w:val="1"/>
                <w:color w:val="auto"/>
              </w:rPr>
              <w:t>2006</w:t>
            </w:r>
          </w:p>
        </w:tc>
        <w:tc>
          <w:tcPr>
            <w:tcW w:w="140" w:type="dxa"/>
            <w:vAlign w:val="bottom"/>
          </w:tcPr>
          <w:p>
            <w:pPr>
              <w:spacing w:after="0"/>
              <w:rPr>
                <w:sz w:val="10"/>
                <w:szCs w:val="10"/>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9"/>
              </w:rPr>
              <w:t>2008</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42"/>
              <w:spacing w:after="0"/>
              <w:rPr>
                <w:sz w:val="20"/>
                <w:szCs w:val="20"/>
                <w:color w:val="auto"/>
              </w:rPr>
            </w:pPr>
            <w:r>
              <w:rPr>
                <w:rFonts w:ascii="Arial" w:cs="Arial" w:eastAsia="Arial" w:hAnsi="Arial"/>
                <w:sz w:val="9"/>
                <w:szCs w:val="9"/>
                <w:b w:val="1"/>
                <w:bCs w:val="1"/>
                <w:color w:val="auto"/>
              </w:rPr>
              <w:t>2006</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4"/>
              <w:spacing w:after="0"/>
              <w:rPr>
                <w:sz w:val="20"/>
                <w:szCs w:val="20"/>
                <w:color w:val="auto"/>
              </w:rPr>
            </w:pPr>
            <w:r>
              <w:rPr>
                <w:rFonts w:ascii="Arial" w:cs="Arial" w:eastAsia="Arial" w:hAnsi="Arial"/>
                <w:sz w:val="9"/>
                <w:szCs w:val="9"/>
                <w:b w:val="1"/>
                <w:bCs w:val="1"/>
                <w:color w:val="auto"/>
                <w:w w:val="89"/>
              </w:rPr>
              <w:t>2007</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4"/>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7"/>
        </w:trPr>
        <w:tc>
          <w:tcPr>
            <w:tcW w:w="6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95"/>
              </w:rPr>
              <w:t>(Unaudited)</w:t>
            </w: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44"/>
              <w:spacing w:after="0"/>
              <w:rPr>
                <w:sz w:val="20"/>
                <w:szCs w:val="20"/>
                <w:color w:val="auto"/>
              </w:rPr>
            </w:pPr>
            <w:r>
              <w:rPr>
                <w:rFonts w:ascii="Arial" w:cs="Arial" w:eastAsia="Arial" w:hAnsi="Arial"/>
                <w:sz w:val="9"/>
                <w:szCs w:val="9"/>
                <w:b w:val="1"/>
                <w:bCs w:val="1"/>
                <w:color w:val="auto"/>
                <w:w w:val="91"/>
              </w:rPr>
              <w:t>(Unaudited)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7"/>
        </w:trPr>
        <w:tc>
          <w:tcPr>
            <w:tcW w:w="68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84,246</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82,796</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13,859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85,000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Series D</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116,836</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116,836</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116,836</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194,000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407,000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632,000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85,714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201,082</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199,632</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216,409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223,000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468,000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1,269,000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0"/>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900"/>
              <w:spacing w:after="0"/>
              <w:rPr>
                <w:sz w:val="20"/>
                <w:szCs w:val="20"/>
                <w:color w:val="auto"/>
              </w:rPr>
            </w:pPr>
            <w:r>
              <w:rPr>
                <w:rFonts w:ascii="Arial" w:cs="Arial" w:eastAsia="Arial" w:hAnsi="Arial"/>
                <w:sz w:val="13"/>
                <w:szCs w:val="13"/>
                <w:color w:val="auto"/>
              </w:rPr>
              <w:t>F-28</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fair values of the outstanding convertible preferred stock warrants were measured using the Black-Scholes option-pricing model with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29,</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89"/>
              </w:rPr>
              <w:t>June 28,</w:t>
            </w:r>
          </w:p>
        </w:tc>
      </w:tr>
      <w:tr>
        <w:trPr>
          <w:trHeight w:val="12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9"/>
              </w:rPr>
              <w:t>2006</w:t>
            </w:r>
          </w:p>
        </w:tc>
        <w:tc>
          <w:tcPr>
            <w:tcW w:w="140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8"/>
              </w:rPr>
              <w:t>2007</w:t>
            </w:r>
          </w:p>
        </w:tc>
        <w:tc>
          <w:tcPr>
            <w:tcW w:w="11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89"/>
              </w:rPr>
              <w:t>2008</w:t>
            </w:r>
          </w:p>
        </w:tc>
      </w:tr>
      <w:tr>
        <w:trPr>
          <w:trHeight w:val="131"/>
        </w:trPr>
        <w:tc>
          <w:tcPr>
            <w:tcW w:w="6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63.6%</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2"/>
              </w:rPr>
              <w:t>49.7%</w:t>
            </w:r>
          </w:p>
        </w:tc>
        <w:tc>
          <w:tcPr>
            <w:tcW w:w="11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49.2%</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 (equals the remaining contractual term)</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3.7 years</w:t>
            </w:r>
          </w:p>
        </w:tc>
        <w:tc>
          <w:tcPr>
            <w:tcW w:w="3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5"/>
              </w:rPr>
              <w:t>2.8 years</w:t>
            </w: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5.0 years</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7"/>
              </w:rPr>
              <w:t>3.2%</w:t>
            </w:r>
          </w:p>
        </w:tc>
        <w:tc>
          <w:tcPr>
            <w:tcW w:w="11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3.3%</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1100" w:type="dxa"/>
            <w:vAlign w:val="bottom"/>
          </w:tcPr>
          <w:p>
            <w:pPr>
              <w:jc w:val="center"/>
              <w:spacing w:after="0"/>
              <w:rPr>
                <w:sz w:val="20"/>
                <w:szCs w:val="20"/>
                <w:color w:val="auto"/>
              </w:rPr>
            </w:pPr>
            <w:r>
              <w:rPr>
                <w:rFonts w:ascii="Arial" w:cs="Arial" w:eastAsia="Arial" w:hAnsi="Arial"/>
                <w:sz w:val="13"/>
                <w:szCs w:val="13"/>
                <w:color w:val="auto"/>
                <w:w w:val="84"/>
              </w:rPr>
              <w:t>0%</w:t>
            </w:r>
          </w:p>
        </w:tc>
        <w:tc>
          <w:tcPr>
            <w:tcW w:w="1400" w:type="dxa"/>
            <w:vAlign w:val="bottom"/>
            <w:gridSpan w:val="2"/>
          </w:tcPr>
          <w:p>
            <w:pPr>
              <w:jc w:val="center"/>
              <w:ind w:left="238"/>
              <w:spacing w:after="0"/>
              <w:rPr>
                <w:sz w:val="20"/>
                <w:szCs w:val="20"/>
                <w:color w:val="auto"/>
              </w:rPr>
            </w:pPr>
            <w:r>
              <w:rPr>
                <w:rFonts w:ascii="Arial" w:cs="Arial" w:eastAsia="Arial" w:hAnsi="Arial"/>
                <w:sz w:val="13"/>
                <w:szCs w:val="13"/>
                <w:color w:val="auto"/>
                <w:w w:val="95"/>
              </w:rPr>
              <w:t>0%</w:t>
            </w:r>
          </w:p>
        </w:tc>
        <w:tc>
          <w:tcPr>
            <w:tcW w:w="118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r>
    </w:tbl>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decrease in fair value of the convertible preferred stock warrant liabilities in the amount of $72,000 and $26,000 during 2005 and the six months ended June 30, 2007, and increases in fair value in the amounts of $138,000, $245,000 and $359,000 during 2006, 2007 and the six months ended June 28, 2008, respectively, were recognized as other income (expense), net in the consolidated statements of operations. Upon adoption of FSP 150-5 on July 1, 2005, the Company recorded a gain of $637,000 as a cumulative effect of a change in accounting principle in the consolidated statement of operations during 2005.</w:t>
      </w:r>
    </w:p>
    <w:p>
      <w:pPr>
        <w:spacing w:after="0" w:line="144" w:lineRule="exact"/>
        <w:rPr>
          <w:sz w:val="20"/>
          <w:szCs w:val="20"/>
          <w:color w:val="auto"/>
        </w:rPr>
      </w:pPr>
    </w:p>
    <w:p>
      <w:pPr>
        <w:ind w:left="1000" w:hanging="313"/>
        <w:spacing w:after="0"/>
        <w:tabs>
          <w:tab w:leader="none" w:pos="100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June 28, 2008 (unaudited) convertible preferred stock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3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93"/>
              </w:rPr>
              <w:t>December 31, 2006</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3"/>
              </w:rPr>
              <w:t>December 29, 2007</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Shares</w:t>
            </w:r>
          </w:p>
        </w:tc>
        <w:tc>
          <w:tcPr>
            <w:tcW w:w="10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tcPr>
          <w:p>
            <w:pPr>
              <w:jc w:val="right"/>
              <w:ind w:right="440"/>
              <w:spacing w:after="0" w:line="81" w:lineRule="exact"/>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0"/>
                <w:szCs w:val="10"/>
                <w:b w:val="1"/>
                <w:bCs w:val="1"/>
                <w:color w:val="auto"/>
                <w:w w:val="90"/>
              </w:rPr>
              <w:t>Net Proceeds</w:t>
            </w:r>
          </w:p>
        </w:tc>
        <w:tc>
          <w:tcPr>
            <w:tcW w:w="200" w:type="dxa"/>
            <w:vAlign w:val="bottom"/>
            <w:tcBorders>
              <w:right w:val="single" w:sz="8" w:color="auto"/>
            </w:tcBorders>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4"/>
          </w:tcPr>
          <w:p>
            <w:pPr>
              <w:jc w:val="right"/>
              <w:ind w:right="340"/>
              <w:spacing w:after="0" w:line="108" w:lineRule="exact"/>
              <w:rPr>
                <w:sz w:val="20"/>
                <w:szCs w:val="20"/>
                <w:color w:val="auto"/>
              </w:rPr>
            </w:pPr>
            <w:r>
              <w:rPr>
                <w:rFonts w:ascii="Arial" w:cs="Arial" w:eastAsia="Arial" w:hAnsi="Arial"/>
                <w:sz w:val="10"/>
                <w:szCs w:val="10"/>
                <w:b w:val="1"/>
                <w:bCs w:val="1"/>
                <w:color w:val="auto"/>
                <w:w w:val="99"/>
              </w:rPr>
              <w:t>Issued and</w:t>
            </w:r>
          </w:p>
        </w:tc>
        <w:tc>
          <w:tcPr>
            <w:tcW w:w="12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Net Proceeds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Designated</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Designated</w:t>
            </w:r>
          </w:p>
        </w:tc>
        <w:tc>
          <w:tcPr>
            <w:tcW w:w="2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Outstanding</w:t>
            </w:r>
          </w:p>
        </w:tc>
        <w:tc>
          <w:tcPr>
            <w:tcW w:w="18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2,989</w:t>
            </w:r>
          </w:p>
        </w:tc>
        <w:tc>
          <w:tcPr>
            <w:tcW w:w="2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2,989</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B</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1,846</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1,846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11,479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1,846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1,846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11,479</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4,857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4,676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42,030</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42,030</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D</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4,428</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3,485</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33,794</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4,428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3,815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37,034</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3,071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22,003</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68,550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14,981</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12,367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112,295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17,655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16,192</w:t>
            </w:r>
          </w:p>
        </w:tc>
        <w:tc>
          <w:tcPr>
            <w:tcW w:w="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162,082</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700" w:type="dxa"/>
            <w:vAlign w:val="bottom"/>
            <w:tcBorders>
              <w:top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top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shd w:val="clear" w:color="auto" w:fill="000000"/>
          </w:tcPr>
          <w:p>
            <w:pPr>
              <w:spacing w:after="0"/>
              <w:rPr>
                <w:sz w:val="3"/>
                <w:szCs w:val="3"/>
                <w:color w:val="auto"/>
              </w:rPr>
            </w:pPr>
          </w:p>
        </w:tc>
        <w:tc>
          <w:tcPr>
            <w:tcW w:w="720" w:type="dxa"/>
            <w:vAlign w:val="bottom"/>
            <w:tcBorders>
              <w:top w:val="single" w:sz="8" w:color="auto"/>
            </w:tcBorders>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shd w:val="clear" w:color="auto" w:fill="000000"/>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tcBorders>
              <w:top w:val="single" w:sz="8" w:color="auto"/>
            </w:tcBorders>
            <w:gridSpan w:val="2"/>
            <w:shd w:val="clear" w:color="auto" w:fill="000000"/>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shd w:val="clear" w:color="auto" w:fill="000000"/>
          </w:tcPr>
          <w:p>
            <w:pPr>
              <w:spacing w:after="0"/>
              <w:rPr>
                <w:sz w:val="3"/>
                <w:szCs w:val="3"/>
                <w:color w:val="auto"/>
              </w:rPr>
            </w:pPr>
          </w:p>
        </w:tc>
        <w:tc>
          <w:tcPr>
            <w:tcW w:w="60" w:type="dxa"/>
            <w:vAlign w:val="bottom"/>
            <w:tcBorders>
              <w:top w:val="single" w:sz="8" w:color="auto"/>
            </w:tcBorders>
            <w:shd w:val="clear" w:color="auto" w:fill="000000"/>
          </w:tcPr>
          <w:p>
            <w:pPr>
              <w:spacing w:after="0"/>
              <w:rPr>
                <w:sz w:val="3"/>
                <w:szCs w:val="3"/>
                <w:color w:val="auto"/>
              </w:rPr>
            </w:pPr>
          </w:p>
        </w:tc>
        <w:tc>
          <w:tcPr>
            <w:tcW w:w="620" w:type="dxa"/>
            <w:vAlign w:val="bottom"/>
            <w:tcBorders>
              <w:top w:val="single" w:sz="8" w:color="auto"/>
            </w:tcBorders>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June 28, 2008</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3"/>
          </w:tcPr>
          <w:p>
            <w:pPr>
              <w:jc w:val="center"/>
              <w:ind w:right="180"/>
              <w:spacing w:after="0" w:line="81" w:lineRule="exact"/>
              <w:rPr>
                <w:sz w:val="20"/>
                <w:szCs w:val="20"/>
                <w:color w:val="auto"/>
              </w:rPr>
            </w:pPr>
            <w:r>
              <w:rPr>
                <w:rFonts w:ascii="Arial" w:cs="Arial" w:eastAsia="Arial" w:hAnsi="Arial"/>
                <w:sz w:val="9"/>
                <w:szCs w:val="9"/>
                <w:b w:val="1"/>
                <w:bCs w:val="1"/>
                <w:color w:val="auto"/>
                <w:w w:val="99"/>
              </w:rPr>
              <w:t>Shares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0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Issued and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0"/>
              </w:rPr>
              <w:t>Net Proceeds</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Liquidation</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Designated</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779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2,989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B</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1,846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11,479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11,501</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4,857</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4,680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42,072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42,263</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4,428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3,815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37,034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37,388</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5,745</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5,506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73,964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77,076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17,655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16,626</w:t>
            </w: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167,538</w:t>
            </w: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171,228</w:t>
            </w:r>
          </w:p>
        </w:tc>
        <w:tc>
          <w:tcPr>
            <w:tcW w:w="0" w:type="dxa"/>
            <w:vAlign w:val="bottom"/>
          </w:tcPr>
          <w:p>
            <w:pPr>
              <w:spacing w:after="0"/>
              <w:rPr>
                <w:sz w:val="1"/>
                <w:szCs w:val="1"/>
                <w:color w:val="auto"/>
              </w:rPr>
            </w:pPr>
          </w:p>
        </w:tc>
      </w:tr>
      <w:tr>
        <w:trPr>
          <w:trHeight w:val="32"/>
        </w:trPr>
        <w:tc>
          <w:tcPr>
            <w:tcW w:w="4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The Company’s convertible preferred stock had been classified as temporary equity on the consolidated balance sheet instead of in stockholders’ equity (deficit) in accordance with EITF Abstracts Topic No. D-98, </w:t>
      </w:r>
      <w:r>
        <w:rPr>
          <w:rFonts w:ascii="Arial" w:cs="Arial" w:eastAsia="Arial" w:hAnsi="Arial"/>
          <w:sz w:val="13"/>
          <w:szCs w:val="13"/>
          <w:i w:val="1"/>
          <w:iCs w:val="1"/>
          <w:color w:val="auto"/>
        </w:rPr>
        <w:t>Classification and Measurement of Redeemable Securities</w:t>
      </w:r>
      <w:r>
        <w:rPr>
          <w:rFonts w:ascii="Arial" w:cs="Arial" w:eastAsia="Arial" w:hAnsi="Arial"/>
          <w:sz w:val="13"/>
          <w:szCs w:val="13"/>
          <w:color w:val="auto"/>
        </w:rPr>
        <w:t>. 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The Company has not adjusted the carrying values of the convertible preferred stock to their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redemption values since it is uncertain whether or when a redemption event will occur. Subsequent adjustments to increase the carrying values to the redemption values would be made if it becomes probable that such redemption will occur. The significant rights, privileges, and preferences of the convertible preferred stock are as follows: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Conversion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Each share of convertible preferred stock is convertible, at any time at the option of the holder, into common stock based upon a conversion rate of one share of common stock for each share of convertible preferred stock regardless of the series.</w:t>
      </w:r>
    </w:p>
    <w:p>
      <w:pPr>
        <w:spacing w:after="0" w:line="59" w:lineRule="exact"/>
        <w:rPr>
          <w:sz w:val="20"/>
          <w:szCs w:val="20"/>
          <w:color w:val="auto"/>
        </w:rPr>
      </w:pPr>
    </w:p>
    <w:p>
      <w:pPr>
        <w:ind w:left="680" w:right="180" w:firstLine="399"/>
        <w:spacing w:after="0" w:line="281" w:lineRule="auto"/>
        <w:rPr>
          <w:sz w:val="20"/>
          <w:szCs w:val="20"/>
          <w:color w:val="auto"/>
        </w:rPr>
      </w:pPr>
      <w:r>
        <w:rPr>
          <w:rFonts w:ascii="Arial" w:cs="Arial" w:eastAsia="Arial" w:hAnsi="Arial"/>
          <w:sz w:val="12"/>
          <w:szCs w:val="12"/>
          <w:color w:val="auto"/>
        </w:rPr>
        <w:t>Conversion is automatic upon: (i) the closing of an underwritten initial public offering of the Company’s common stock at an offering price of not less that $19.91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$19.91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 convertible preferred stock voting separately is required for Series E convertible preferred stock to convert if such conversion is not in connection with the closing of an underwritten initial public offering of the Company’s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Holders of Series A, B, C, D, and E convertible preferred stock are entitled to noncumulative dividends of $0.38, $0.63, $0.91, $1.05, and $1.50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June 28,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Preferences</w:t>
      </w:r>
    </w:p>
    <w:p>
      <w:pPr>
        <w:spacing w:after="0" w:line="10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In the event of a liquidation, dissolution, or winding up of the Company, holders of Series E convertible preferred stock shall be entitled to receive a liquidation preference of $14.00 per share, together with any declared but unpaid dividends, prior to any payment or distribution to holders of Series A, B, C, or D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E convertible preferred stock, holders of Series D convertible preferred stock shall be entitled to receive a liquidation preference of $9.80 per share, together with any declared but unpaid dividends, prior to any payment or distribution to holders of Series A, B, or C convertible preferred stock or common stock.</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D convertible preferred stock, holders of Series C convertible preferred stock shall be entitled to receive a liquidation preference of $9.03 per share, together with any declared but unpaid dividends, prior to any payment or distribution to holders of Series A or B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C convertible preferred stock, holders of Series B convertible preferred stock shall be entitled to receive a liquidation preference of $6.23 per share, together with any declared but unpaid dividends, prior to any payment or distribution to holders of Series A convertible preferred stock or common stock.</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B convertible preferred stock, holders of Series A convertible preferred stock shall be entitled to receive a liquidation preference of $3.85 per share, together with any declared but unpaid dividends, prior to any payment or distribution to holders of common stock.</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After the payment to the holders of convertible preferred stock or their respective liquidation preferences, the entire remaining assets of the Company shall be distributed on a pro rata basis to the holders of common stock. A change of control or a sale, transfer, or lease of all or substantially all of the assets of the Company is considered to be a liquidation event.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Holders of convertible preferred stock are entitled to the number of votes they would have upon conversion of their convertible preferred stock into common stock on the applicable record date. So long as 571,428 shares of Series D convertible preferred stock remain outstanding, the holders of Series D convertible preferred stock are entitled to elect two members to the Company’s Board of Directors, and so long as 571,428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146"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Activity</w:t>
      </w:r>
    </w:p>
    <w:p>
      <w:pPr>
        <w:spacing w:after="0" w:line="9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1999 Stock Option Plan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May 12, 1999, the Board of Directors adopted the 1999 Stock Option Plan (the Stock Plan) under which incentive stock options and nonstatutory stock options may be granted to employees, officers, and directors of, or consultants to, the Company.</w:t>
      </w:r>
    </w:p>
    <w:p>
      <w:pPr>
        <w:spacing w:after="0" w:line="59" w:lineRule="exact"/>
        <w:rPr>
          <w:sz w:val="20"/>
          <w:szCs w:val="20"/>
          <w:color w:val="auto"/>
        </w:rPr>
      </w:pPr>
    </w:p>
    <w:p>
      <w:pPr>
        <w:ind w:left="680" w:firstLine="399"/>
        <w:spacing w:after="0" w:line="265" w:lineRule="auto"/>
        <w:rPr>
          <w:sz w:val="20"/>
          <w:szCs w:val="20"/>
          <w:color w:val="auto"/>
        </w:rPr>
      </w:pPr>
      <w:r>
        <w:rPr>
          <w:rFonts w:ascii="Arial" w:cs="Arial" w:eastAsia="Arial" w:hAnsi="Arial"/>
          <w:sz w:val="12"/>
          <w:szCs w:val="12"/>
          <w:color w:val="auto"/>
        </w:rPr>
        <w:t xml:space="preserve">Options granted under the Stock Plan expire no later than ten years from the date of grant. The exercise price of each incentive stock option granted to an employee shall be at least 110% of the fair market value of the underlying common stock on the date of grant if, on the grant date, the employee owns stock representing more than 10% of the voting power of all classes of the Company’s capital stock; otherwise, the exercise price shall be at least 100% of the fair market value of the underlying common stock on the date of grant. The exercise price for each nonstatutory stock option granted to a service provider shall be at least 110% of the fair market value of the underlying common stock on the date of grant if, on the grant date, the service provider owns stock representing more than 10% of the voting power of all classes of the Company’s capital stock; otherwise, the exercise price shall be at least 85% of the fair market value of the underlying common stock on the date of grant. The fair market value of the underlying common stock shall be determined by the Board of Directors until such time as the Company’s common stock is listed on any established stock exchange or national market system. Options may be granted with different vesting terms from time to time, but the vesting terms may not exceed five years from the date of grant. Generally, outstanding options are immediately exercisable and vest at a rate of 25% on the first anniversary of the option grant date and </w:t>
      </w:r>
      <w:r>
        <w:rPr>
          <w:rFonts w:ascii="Arial" w:cs="Arial" w:eastAsia="Arial" w:hAnsi="Arial"/>
          <w:sz w:val="17"/>
          <w:szCs w:val="17"/>
          <w:color w:val="auto"/>
          <w:vertAlign w:val="superscript"/>
        </w:rPr>
        <w:t>1</w:t>
      </w:r>
      <w:r>
        <w:rPr>
          <w:rFonts w:ascii="Arial" w:cs="Arial" w:eastAsia="Arial" w:hAnsi="Arial"/>
          <w:sz w:val="12"/>
          <w:szCs w:val="12"/>
          <w:color w:val="auto"/>
        </w:rPr>
        <w:t>/</w:t>
      </w:r>
      <w:r>
        <w:rPr>
          <w:rFonts w:ascii="Arial" w:cs="Arial" w:eastAsia="Arial" w:hAnsi="Arial"/>
          <w:sz w:val="9"/>
          <w:szCs w:val="9"/>
          <w:color w:val="auto"/>
        </w:rPr>
        <w:t>48</w:t>
      </w:r>
      <w:r>
        <w:rPr>
          <w:rFonts w:ascii="Arial" w:cs="Arial" w:eastAsia="Arial" w:hAnsi="Arial"/>
          <w:sz w:val="12"/>
          <w:szCs w:val="12"/>
          <w:color w:val="auto"/>
        </w:rPr>
        <w:t xml:space="preserve"> of the total grant each month thereafter.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December 29, 2007, the Stock Plan is the Company’s only stock-based compensation plan and a total of 3,657,142 shares of common stock have been authorized for issuance under the Stock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Activity under the Stock Plan is as follows (in thousands, except per share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89"/>
              </w:rPr>
              <w:t>Shares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4"/>
          </w:tcPr>
          <w:p>
            <w:pPr>
              <w:jc w:val="right"/>
              <w:ind w:right="860"/>
              <w:spacing w:after="0"/>
              <w:rPr>
                <w:sz w:val="20"/>
                <w:szCs w:val="20"/>
                <w:color w:val="auto"/>
              </w:rPr>
            </w:pPr>
            <w:r>
              <w:rPr>
                <w:rFonts w:ascii="Arial" w:cs="Arial" w:eastAsia="Arial" w:hAnsi="Arial"/>
                <w:sz w:val="10"/>
                <w:szCs w:val="10"/>
                <w:b w:val="1"/>
                <w:bCs w:val="1"/>
                <w:color w:val="auto"/>
                <w:w w:val="94"/>
              </w:rPr>
              <w:t>Outstanding Options</w:t>
            </w: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74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 of</w:t>
            </w:r>
          </w:p>
        </w:tc>
        <w:tc>
          <w:tcPr>
            <w:tcW w:w="3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jc w:val="center"/>
              <w:ind w:right="117"/>
              <w:spacing w:after="0" w:line="81" w:lineRule="exact"/>
              <w:rPr>
                <w:sz w:val="20"/>
                <w:szCs w:val="20"/>
                <w:color w:val="auto"/>
              </w:rPr>
            </w:pPr>
            <w:r>
              <w:rPr>
                <w:rFonts w:ascii="Arial" w:cs="Arial" w:eastAsia="Arial" w:hAnsi="Arial"/>
                <w:sz w:val="9"/>
                <w:szCs w:val="9"/>
                <w:b w:val="1"/>
                <w:bCs w:val="1"/>
                <w:color w:val="auto"/>
              </w:rPr>
              <w:t>Weighted-Average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Available for</w:t>
            </w:r>
          </w:p>
        </w:tc>
        <w:tc>
          <w:tcPr>
            <w:tcW w:w="7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4"/>
              </w:rPr>
              <w:t>Exercise Price per</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Grant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2005</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w:t>
            </w:r>
          </w:p>
        </w:tc>
        <w:tc>
          <w:tcPr>
            <w:tcW w:w="920" w:type="dxa"/>
            <w:vAlign w:val="bottom"/>
          </w:tcPr>
          <w:p>
            <w:pPr>
              <w:jc w:val="right"/>
              <w:spacing w:after="0"/>
              <w:rPr>
                <w:sz w:val="20"/>
                <w:szCs w:val="20"/>
                <w:color w:val="auto"/>
              </w:rPr>
            </w:pPr>
            <w:r>
              <w:rPr>
                <w:rFonts w:ascii="Arial" w:cs="Arial" w:eastAsia="Arial" w:hAnsi="Arial"/>
                <w:sz w:val="13"/>
                <w:szCs w:val="13"/>
                <w:color w:val="auto"/>
              </w:rPr>
              <w:t>714</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731</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2005</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365</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1,740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347</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2006</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1.82</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251</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1,727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shares authorized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(584)</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584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tcPr>
          <w:p>
            <w:pPr>
              <w:jc w:val="right"/>
              <w:spacing w:after="0"/>
              <w:rPr>
                <w:sz w:val="20"/>
                <w:szCs w:val="20"/>
                <w:color w:val="auto"/>
              </w:rPr>
            </w:pPr>
            <w:r>
              <w:rPr>
                <w:rFonts w:ascii="Arial" w:cs="Arial" w:eastAsia="Arial" w:hAnsi="Arial"/>
                <w:sz w:val="13"/>
                <w:szCs w:val="13"/>
                <w:color w:val="auto"/>
              </w:rPr>
              <w:t>104</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29, 2007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2,134</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 (unaudited)</w:t>
            </w:r>
          </w:p>
        </w:tc>
        <w:tc>
          <w:tcPr>
            <w:tcW w:w="920" w:type="dxa"/>
            <w:vAlign w:val="bottom"/>
          </w:tcPr>
          <w:p>
            <w:pPr>
              <w:jc w:val="right"/>
              <w:spacing w:after="0"/>
              <w:rPr>
                <w:sz w:val="20"/>
                <w:szCs w:val="20"/>
                <w:color w:val="auto"/>
              </w:rPr>
            </w:pPr>
            <w:r>
              <w:rPr>
                <w:rFonts w:ascii="Arial" w:cs="Arial" w:eastAsia="Arial" w:hAnsi="Arial"/>
                <w:sz w:val="13"/>
                <w:szCs w:val="13"/>
                <w:color w:val="auto"/>
              </w:rPr>
              <w:t>571</w:t>
            </w:r>
          </w:p>
        </w:tc>
        <w:tc>
          <w:tcPr>
            <w:tcW w:w="4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 (unaudited)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778</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 (unaudited)</w:t>
            </w:r>
          </w:p>
        </w:tc>
        <w:tc>
          <w:tcPr>
            <w:tcW w:w="132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Balance as of June 28, 2008 (unaudited)</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5.46</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602</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2,381</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Options exercised during 2005, 2006, 2007 and the six months ended June 28, 2008 exclude options that are exercised prior to vesting. These shares generally vest over a four-year period. Unvested shares, which amount to 18,571, 9,524 and 6,785 as of December 31, 2006, December 29, 2007 and June 28, 2008, respectively, are subject to a repurchase option held by the Company at the original exercise price and are not deemed to be issued for accounting purposes until those shares vest.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Effective January 1, 2006, the Company adopted the provisions of SFAS 123(R). The fair value of each new employee option awarded was estimated on the grant date using the Black-Scholes option-pricing model using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3"/>
              </w:rPr>
              <w:t>Six Months</w:t>
            </w:r>
          </w:p>
        </w:tc>
        <w:tc>
          <w:tcPr>
            <w:tcW w:w="3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3"/>
              </w:rPr>
              <w:t>Six Months</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7"/>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Ended June 30,</w:t>
            </w:r>
          </w:p>
        </w:tc>
        <w:tc>
          <w:tcPr>
            <w:tcW w:w="3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Ended June 28,</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2007</w:t>
            </w:r>
          </w:p>
        </w:tc>
        <w:tc>
          <w:tcPr>
            <w:tcW w:w="14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2008</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300" w:type="dxa"/>
            <w:vAlign w:val="bottom"/>
          </w:tcPr>
          <w:p>
            <w:pPr>
              <w:spacing w:after="0"/>
              <w:rPr>
                <w:sz w:val="11"/>
                <w:szCs w:val="11"/>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63.0%</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63.0%</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53.8%</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Expected life</w:t>
            </w:r>
          </w:p>
        </w:tc>
        <w:tc>
          <w:tcPr>
            <w:tcW w:w="820" w:type="dxa"/>
            <w:vAlign w:val="bottom"/>
          </w:tcPr>
          <w:p>
            <w:pPr>
              <w:ind w:left="18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6.0 years</w:t>
            </w:r>
          </w:p>
        </w:tc>
        <w:tc>
          <w:tcPr>
            <w:tcW w:w="3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6.0 years</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4.8%</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4"/>
              </w:rPr>
              <w:t>4.4%</w:t>
            </w:r>
          </w:p>
        </w:tc>
        <w:tc>
          <w:tcPr>
            <w:tcW w:w="148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4"/>
              </w:rPr>
              <w:t>4.6%</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7"/>
              </w:rPr>
              <w:t>3.2%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Dividend yield</w:t>
            </w: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7"/>
              <w:spacing w:after="0"/>
              <w:rPr>
                <w:sz w:val="20"/>
                <w:szCs w:val="20"/>
                <w:color w:val="auto"/>
              </w:rPr>
            </w:pPr>
            <w:r>
              <w:rPr>
                <w:rFonts w:ascii="Arial" w:cs="Arial" w:eastAsia="Arial" w:hAnsi="Arial"/>
                <w:sz w:val="13"/>
                <w:szCs w:val="13"/>
                <w:color w:val="auto"/>
                <w:w w:val="84"/>
              </w:rPr>
              <w:t>0%</w:t>
            </w:r>
          </w:p>
        </w:tc>
        <w:tc>
          <w:tcPr>
            <w:tcW w:w="14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14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$1.92</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5"/>
              </w:rPr>
              <w:t>$3.22</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$2.96</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$5.65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Expected volatility is derived from historical volatilities of several unrelated public companies within the biomedical instrument and system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as provided by the SEC Staff Accounting Bulletin No. 107, </w:t>
      </w:r>
      <w:r>
        <w:rPr>
          <w:rFonts w:ascii="Arial" w:cs="Arial" w:eastAsia="Arial" w:hAnsi="Arial"/>
          <w:sz w:val="12"/>
          <w:szCs w:val="12"/>
          <w:i w:val="1"/>
          <w:iCs w:val="1"/>
          <w:color w:val="auto"/>
        </w:rPr>
        <w:t>Share 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Payment </w:t>
      </w:r>
      <w:r>
        <w:rPr>
          <w:rFonts w:ascii="Arial" w:cs="Arial" w:eastAsia="Arial" w:hAnsi="Arial"/>
          <w:sz w:val="12"/>
          <w:szCs w:val="12"/>
          <w:color w:val="auto"/>
        </w:rPr>
        <w:t>(SAB 107). The “simplified” method is calculated as the average of the time-to-vesting and the contractual life of the options. The Company estimates its forfeiture rate based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of its actual forfeitures and will continue to evaluate the adequacy of the 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by the Company, the Company may be required to record adjustments to stock-based compensation expense in future periods. Adjustments to the forfeiture rates have not had a significant impact on any of the periods presented. Each of these inputs is subjective and generally requires significant judgment to determine.</w:t>
      </w:r>
    </w:p>
    <w:p>
      <w:pPr>
        <w:spacing w:after="0" w:line="6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absence of an active market for the Company’s common stock required the Company’s Board of Directors, with input from management, to estimate the fair value of the common stock for purposes of granting options and for determining stock-based compensation expense for the periods presented. In response to these requirements, the Company’s Board of Directors estimated the fair value of the common stock at each meeting at which options were granted based on factors such as the price of the most recent convertible preferred stock sales to investors, the preferences held by the convertible preferred stock classes in favor of common stock, the valuations of comparable companies, the hiring of key personnel, the status of the Company’s development and sales efforts, revenue growth and additional objective, and subjective factors relating to the Company’s business. The Company has historically granted stock options at not less than the fair value of the underlying common stock as determined at the time of grant by the Company’s Board of Directors.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Information regarding the Company’s stock option grants during 2007 and the six months ended June 28, 2008, including the grant date; the number of stock options issued with each grant; and the exercise price, which equals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 date fair value of the underlying common stock for each grant of stock options, is summarized as follows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 of</w:t>
            </w:r>
          </w:p>
        </w:tc>
        <w:tc>
          <w:tcPr>
            <w:tcW w:w="0" w:type="dxa"/>
            <w:vAlign w:val="bottom"/>
          </w:tcPr>
          <w:p>
            <w:pPr>
              <w:spacing w:after="0"/>
              <w:rPr>
                <w:sz w:val="1"/>
                <w:szCs w:val="1"/>
                <w:color w:val="auto"/>
              </w:rPr>
            </w:pPr>
          </w:p>
        </w:tc>
      </w:tr>
      <w:tr>
        <w:trPr>
          <w:trHeight w:val="125"/>
        </w:trPr>
        <w:tc>
          <w:tcPr>
            <w:tcW w:w="7700" w:type="dxa"/>
            <w:vAlign w:val="bottom"/>
            <w:gridSpan w:val="2"/>
            <w:vMerge w:val="continue"/>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6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February 7, 2008 (unaudited)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24, 2008 (unaudited)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65"/>
        </w:trPr>
        <w:tc>
          <w:tcPr>
            <w:tcW w:w="7700" w:type="dxa"/>
            <w:vAlign w:val="bottom"/>
            <w:gridSpan w:val="2"/>
          </w:tcPr>
          <w:p>
            <w:pPr>
              <w:spacing w:after="0"/>
              <w:rPr>
                <w:sz w:val="20"/>
                <w:szCs w:val="20"/>
                <w:color w:val="auto"/>
              </w:rPr>
            </w:pPr>
            <w:r>
              <w:rPr>
                <w:rFonts w:ascii="Arial" w:cs="Arial" w:eastAsia="Arial" w:hAnsi="Arial"/>
                <w:sz w:val="13"/>
                <w:szCs w:val="13"/>
                <w:color w:val="auto"/>
              </w:rPr>
              <w:t>June 26, 2008 (unaudited)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11.97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regarding the Company’s stock options outstanding and exercisable as of December 29, 2007 is summarized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$0.52</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$1.05</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491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$1.96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656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$2.90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$4.76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453</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$4.83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$8.40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94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2,134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1,868</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Options exercisable as of December 29, 2007 had a weighted-average remaining contractual life of 7.4 years, a weighted-average exercise price per share of $2.59, and an aggregate intrinsic value of $3,662,000.</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Additional information regarding the Company’s stock options outstanding and exercisable as of June 28, 2008 is summarized in the following table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$0.52</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$1.05</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232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$1.96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541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$2.90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$4.76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409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8.9</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$4.83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$8.40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296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9.6</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$11.16</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$11.97</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2,381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2,144</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Options exercisable as of June 28, 2008 had a weighted-average remaining contractual life of 8.0 years, a weighted-average exercise price per share of $5.18, and an aggregate intrinsic value of $14,561,000.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December 29, 2007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1,231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1.82</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8,097</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871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4.06</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3,781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2,102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2.76</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11,878</w:t>
            </w:r>
          </w:p>
        </w:tc>
        <w:tc>
          <w:tcPr>
            <w:tcW w:w="0" w:type="dxa"/>
            <w:vAlign w:val="bottom"/>
          </w:tcPr>
          <w:p>
            <w:pPr>
              <w:spacing w:after="0"/>
              <w:rPr>
                <w:sz w:val="1"/>
                <w:szCs w:val="1"/>
                <w:color w:val="auto"/>
              </w:rPr>
            </w:pPr>
          </w:p>
        </w:tc>
      </w:tr>
      <w:tr>
        <w:trPr>
          <w:trHeight w:val="98"/>
        </w:trPr>
        <w:tc>
          <w:tcPr>
            <w:tcW w:w="100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The aggregate intrinsic value was calculated as the difference between the exercise price of the underlying options and the fair value of the Company’s common stock in the amount of $8.40 per share as of December 29, 2007.</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June 28, 2008 are summarized as follows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1,099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2.84</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10,031</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1,200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7.70</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5,140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2,299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5.39</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15,171</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The aggregate intrinsic value was calculated as the difference between the exercise price of the options and the fair value of the Company’s common stock in the amount of $11.97 per share as of June 28, 2008.</w:t>
      </w:r>
    </w:p>
    <w:p>
      <w:pPr>
        <w:spacing w:after="0" w:line="8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total intrinsic value of options exercised during 2006, 2007 and the six months ended June 30, 2007 and June 28, 2008 was $167,000, $259,000, $40,000 and $420,000, respectively.</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were no stock-based compensation tax benefits during 2005, 2006, 2007 or the six months ended June 28, 2008. Capitalized stock-based compensation costs were insignificant during 2005, 2006, 2007 and the six months ended June 28, 2008.</w:t>
      </w:r>
    </w:p>
    <w:p>
      <w:pPr>
        <w:spacing w:after="0" w:line="5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Company recognized stock-based compensation expense of $5,000, $145,000, $708,000, $374,000 and $1,001,000 during 2005, 2006, 2007 and the six months ended June 30, 2007 and June 28, 2008. Included in these amounts was employee stock-based compensation expense of $0, $86,000, $526,000, $232,000 and $936,000 and nonemployee stock-based compensation expense of $5,000, $59,000, $182,000, $142,000 and $65,000 during 2005, 2006, 2007 and the six months ended June 30, 2007 and June 28, 2008, respectively. As of December 29, 2007 and June 28, 2008, there was $1,698,000 and $5,051,000 of total unrecognized compensation costs related to stock-based compensation arrangements granted under the Stock Plan, which is expected to be recognized over an average period of 2.9 years for both periods.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of our stock options are granted to officers with vesting acceleration features based upon the achievement of certain performance milestones.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Granted to Nonemployees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accounts for options granted to nonemployees under the fair value method in accordance with SFAS 123(R) and EITF 96-18. The fair value of these options was estimated using the Black-Scholes option-pricing model with the following assumptions for 2005, 2006 and 2007 and the six months ended June 30, 2007 and June 28, 2008: risk-free interest rates of 3.5% to 5.0%, dividend yield of 0%, expected volatility of 53.5% to 82.9%, and an expected life of the options equal to the remaining contractual terms of one to ten years. In accordance with EITF 96-18, options granted to nonemployees are remeasured at each accounting period-end until the award is vested.</w:t>
      </w:r>
    </w:p>
    <w:p>
      <w:pPr>
        <w:spacing w:after="0" w:line="53"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Company granted options to nonemployees to purchase 4,871, 25,214, 67,429, 22,286 and 5,714 shares of common stock during 2005, 2006 and 2007 and the six months ended June 30, 2007 and June 28, 2008, respectively. As of December 29, 2007 and June 28, 2008, there were 36,310 and 41,429 shares, respectively, subject to unvested options held by nonemployees with a weighted-average exercise price of $5.70 and $8.12, respectively, and an average remaining vesting period of 2.7 and 3.0 years, respectively.</w:t>
      </w: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Shares Reserved for Issuance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29, 2007 and June 28, 2008, the Company has reserved shares of common stock for future issuance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29,</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June 28,</w:t>
            </w:r>
          </w:p>
        </w:tc>
      </w:tr>
      <w:tr>
        <w:trPr>
          <w:trHeight w:val="125"/>
        </w:trPr>
        <w:tc>
          <w:tcPr>
            <w:tcW w:w="7700" w:type="dxa"/>
            <w:vAlign w:val="bottom"/>
          </w:tcPr>
          <w:p>
            <w:pPr>
              <w:spacing w:after="0"/>
              <w:rPr>
                <w:sz w:val="10"/>
                <w:szCs w:val="10"/>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(unaudited)</w:t>
            </w:r>
          </w:p>
        </w:tc>
        <w:tc>
          <w:tcPr>
            <w:tcW w:w="100" w:type="dxa"/>
            <w:vAlign w:val="bottom"/>
          </w:tcPr>
          <w:p>
            <w:pPr>
              <w:spacing w:after="0"/>
              <w:rPr>
                <w:sz w:val="8"/>
                <w:szCs w:val="8"/>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2,134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Options available for grant</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342</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602</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outstanding convertible preferred stock</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16,192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16,626</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Conversion of convertible preferred stock upon exercise of warrants</w:t>
            </w:r>
          </w:p>
        </w:tc>
        <w:tc>
          <w:tcPr>
            <w:tcW w:w="1000" w:type="dxa"/>
            <w:vAlign w:val="bottom"/>
          </w:tcPr>
          <w:p>
            <w:pPr>
              <w:jc w:val="right"/>
              <w:spacing w:after="0"/>
              <w:rPr>
                <w:sz w:val="20"/>
                <w:szCs w:val="20"/>
                <w:color w:val="auto"/>
              </w:rPr>
            </w:pPr>
            <w:r>
              <w:rPr>
                <w:rFonts w:ascii="Arial" w:cs="Arial" w:eastAsia="Arial" w:hAnsi="Arial"/>
                <w:sz w:val="13"/>
                <w:szCs w:val="13"/>
                <w:color w:val="auto"/>
              </w:rPr>
              <w:t>200</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18,868</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19,825</w:t>
            </w:r>
          </w:p>
        </w:tc>
      </w:tr>
      <w:tr>
        <w:trPr>
          <w:trHeight w:val="29"/>
        </w:trPr>
        <w:tc>
          <w:tcPr>
            <w:tcW w:w="7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The above table does not include shares of common stock reserved for potential conversions of the convertible promissory notes (see Note 7) into shares of convertible preferred stock. The only outstanding convertible promissory note as of December 29, 2007 was converted in April 2008, at which time the Company issued 429,698 shares of Series E convertible preferred stock. There were no outstanding convertible promissory notes as of June 28, 2008.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6500" w:type="dxa"/>
            <w:vAlign w:val="bottom"/>
          </w:tcPr>
          <w:p>
            <w:pPr>
              <w:spacing w:after="0"/>
              <w:rPr>
                <w:sz w:val="20"/>
                <w:szCs w:val="20"/>
                <w:color w:val="auto"/>
              </w:rPr>
            </w:pPr>
            <w:r>
              <w:rPr>
                <w:rFonts w:ascii="Arial" w:cs="Arial" w:eastAsia="Arial" w:hAnsi="Arial"/>
                <w:sz w:val="13"/>
                <w:szCs w:val="13"/>
                <w:b w:val="1"/>
                <w:bCs w:val="1"/>
                <w:color w:val="auto"/>
              </w:rPr>
              <w:t>Income Taxes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7000" w:type="dxa"/>
            <w:vAlign w:val="bottom"/>
            <w:gridSpan w:val="2"/>
          </w:tcPr>
          <w:p>
            <w:pPr>
              <w:ind w:left="400"/>
              <w:spacing w:after="0"/>
              <w:rPr>
                <w:sz w:val="20"/>
                <w:szCs w:val="20"/>
                <w:color w:val="auto"/>
              </w:rPr>
            </w:pPr>
            <w:r>
              <w:rPr>
                <w:rFonts w:ascii="Arial" w:cs="Arial" w:eastAsia="Arial" w:hAnsi="Arial"/>
                <w:sz w:val="13"/>
                <w:szCs w:val="13"/>
                <w:color w:val="auto"/>
              </w:rPr>
              <w:t>The Company’s net loss before the provision for income taxes is as follows (in thousands):</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2005</w:t>
            </w:r>
          </w:p>
        </w:tc>
        <w:tc>
          <w:tcPr>
            <w:tcW w:w="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8"/>
              </w:rPr>
              <w:t>Domestic</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(15,181)</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(21,816)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(23,372)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spacing w:after="0"/>
              <w:rPr>
                <w:sz w:val="20"/>
                <w:szCs w:val="20"/>
                <w:color w:val="auto"/>
              </w:rPr>
            </w:pPr>
            <w:r>
              <w:rPr>
                <w:rFonts w:ascii="Arial" w:cs="Arial" w:eastAsia="Arial" w:hAnsi="Arial"/>
                <w:sz w:val="13"/>
                <w:szCs w:val="13"/>
                <w:color w:val="auto"/>
              </w:rPr>
              <w:t>International</w:t>
            </w:r>
          </w:p>
        </w:tc>
        <w:tc>
          <w:tcPr>
            <w:tcW w:w="16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(1,204)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(1,737)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3"/>
                <w:szCs w:val="13"/>
                <w:color w:val="auto"/>
              </w:rPr>
              <w:t>(2,079)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before provision for income taxes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(16,385)</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(23,553)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(25,451)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000" w:type="dxa"/>
            <w:vAlign w:val="bottom"/>
            <w:gridSpan w:val="2"/>
          </w:tcPr>
          <w:p>
            <w:pPr>
              <w:ind w:left="400"/>
              <w:spacing w:after="0"/>
              <w:rPr>
                <w:sz w:val="20"/>
                <w:szCs w:val="20"/>
                <w:color w:val="auto"/>
              </w:rPr>
            </w:pPr>
            <w:r>
              <w:rPr>
                <w:rFonts w:ascii="Arial" w:cs="Arial" w:eastAsia="Arial" w:hAnsi="Arial"/>
                <w:sz w:val="13"/>
                <w:szCs w:val="13"/>
                <w:color w:val="auto"/>
              </w:rPr>
              <w:t>Significant components of the Company’s provision for income taxes are as follows (in thousands):</w:t>
            </w:r>
          </w:p>
        </w:tc>
        <w:tc>
          <w:tcPr>
            <w:tcW w:w="1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gridSpan w:val="3"/>
          </w:tcPr>
          <w:p>
            <w:pPr>
              <w:jc w:val="center"/>
              <w:ind w:right="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w w:val="88"/>
              </w:rPr>
              <w:t>Deferred:</w:t>
            </w: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tcPr>
          <w:p>
            <w:pPr>
              <w:ind w:left="140"/>
              <w:spacing w:after="0"/>
              <w:rPr>
                <w:sz w:val="20"/>
                <w:szCs w:val="20"/>
                <w:color w:val="auto"/>
              </w:rPr>
            </w:pPr>
            <w:r>
              <w:rPr>
                <w:rFonts w:ascii="Arial" w:cs="Arial" w:eastAsia="Arial" w:hAnsi="Arial"/>
                <w:sz w:val="13"/>
                <w:szCs w:val="13"/>
                <w:color w:val="auto"/>
              </w:rPr>
              <w:t>State</w:t>
            </w: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gridSpan w:val="3"/>
          </w:tcPr>
          <w:p>
            <w:pPr>
              <w:jc w:val="center"/>
              <w:ind w:right="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Total deferred provision</w:t>
            </w: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ind w:left="4380"/>
              <w:spacing w:after="0"/>
              <w:rPr>
                <w:sz w:val="20"/>
                <w:szCs w:val="20"/>
                <w:color w:val="auto"/>
              </w:rPr>
            </w:pPr>
            <w:r>
              <w:rPr>
                <w:rFonts w:ascii="Arial" w:cs="Arial" w:eastAsia="Arial" w:hAnsi="Arial"/>
                <w:sz w:val="13"/>
                <w:szCs w:val="13"/>
                <w:color w:val="auto"/>
              </w:rPr>
              <w:t>F-37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Reconciliation of the benefits for income taxes at the statutory rate to the provision for income taxes is as follows: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0"/>
                <w:szCs w:val="10"/>
                <w:color w:val="auto"/>
              </w:rPr>
            </w:pP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Tax benefit at federal statutory rate</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34.0%</w:t>
            </w: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34.0%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120" w:type="dxa"/>
            <w:vAlign w:val="bottom"/>
          </w:tcPr>
          <w:p>
            <w:pPr>
              <w:spacing w:after="0"/>
              <w:rPr>
                <w:sz w:val="13"/>
                <w:szCs w:val="13"/>
                <w:color w:val="auto"/>
              </w:rPr>
            </w:pPr>
          </w:p>
        </w:tc>
        <w:tc>
          <w:tcPr>
            <w:tcW w:w="880" w:type="dxa"/>
            <w:vAlign w:val="bottom"/>
            <w:gridSpan w:val="3"/>
          </w:tcPr>
          <w:p>
            <w:pPr>
              <w:jc w:val="right"/>
              <w:ind w:right="174"/>
              <w:spacing w:after="0"/>
              <w:rPr>
                <w:sz w:val="20"/>
                <w:szCs w:val="20"/>
                <w:color w:val="auto"/>
              </w:rPr>
            </w:pPr>
            <w:r>
              <w:rPr>
                <w:rFonts w:ascii="Arial" w:cs="Arial" w:eastAsia="Arial" w:hAnsi="Arial"/>
                <w:sz w:val="13"/>
                <w:szCs w:val="13"/>
                <w:color w:val="auto"/>
              </w:rPr>
              <w:t>0.0</w:t>
            </w:r>
          </w:p>
        </w:tc>
        <w:tc>
          <w:tcPr>
            <w:tcW w:w="160" w:type="dxa"/>
            <w:vAlign w:val="bottom"/>
          </w:tcPr>
          <w:p>
            <w:pPr>
              <w:spacing w:after="0"/>
              <w:rPr>
                <w:sz w:val="13"/>
                <w:szCs w:val="13"/>
                <w:color w:val="auto"/>
              </w:rPr>
            </w:pPr>
          </w:p>
        </w:tc>
        <w:tc>
          <w:tcPr>
            <w:tcW w:w="560" w:type="dxa"/>
            <w:vAlign w:val="bottom"/>
            <w:gridSpan w:val="3"/>
          </w:tcPr>
          <w:p>
            <w:pPr>
              <w:jc w:val="right"/>
              <w:ind w:right="128"/>
              <w:spacing w:after="0"/>
              <w:rPr>
                <w:sz w:val="20"/>
                <w:szCs w:val="20"/>
                <w:color w:val="auto"/>
              </w:rPr>
            </w:pPr>
            <w:r>
              <w:rPr>
                <w:rFonts w:ascii="Arial" w:cs="Arial" w:eastAsia="Arial" w:hAnsi="Arial"/>
                <w:sz w:val="13"/>
                <w:szCs w:val="13"/>
                <w:color w:val="auto"/>
              </w:rPr>
              <w:t>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Change in valuation allowance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134"/>
              <w:spacing w:after="0"/>
              <w:rPr>
                <w:sz w:val="20"/>
                <w:szCs w:val="20"/>
                <w:color w:val="auto"/>
              </w:rPr>
            </w:pPr>
            <w:r>
              <w:rPr>
                <w:rFonts w:ascii="Arial" w:cs="Arial" w:eastAsia="Arial" w:hAnsi="Arial"/>
                <w:sz w:val="13"/>
                <w:szCs w:val="13"/>
                <w:color w:val="auto"/>
              </w:rPr>
              <w:t>(34.0)</w:t>
            </w:r>
          </w:p>
        </w:tc>
        <w:tc>
          <w:tcPr>
            <w:tcW w:w="160" w:type="dxa"/>
            <w:vAlign w:val="bottom"/>
          </w:tcPr>
          <w:p>
            <w:pPr>
              <w:spacing w:after="0"/>
              <w:rPr>
                <w:sz w:val="13"/>
                <w:szCs w:val="13"/>
                <w:color w:val="auto"/>
              </w:rPr>
            </w:pPr>
          </w:p>
        </w:tc>
        <w:tc>
          <w:tcPr>
            <w:tcW w:w="560" w:type="dxa"/>
            <w:vAlign w:val="bottom"/>
            <w:gridSpan w:val="3"/>
          </w:tcPr>
          <w:p>
            <w:pPr>
              <w:jc w:val="right"/>
              <w:ind w:right="88"/>
              <w:spacing w:after="0"/>
              <w:rPr>
                <w:sz w:val="20"/>
                <w:szCs w:val="20"/>
                <w:color w:val="auto"/>
              </w:rPr>
            </w:pPr>
            <w:r>
              <w:rPr>
                <w:rFonts w:ascii="Arial" w:cs="Arial" w:eastAsia="Arial" w:hAnsi="Arial"/>
                <w:sz w:val="13"/>
                <w:szCs w:val="13"/>
                <w:color w:val="auto"/>
              </w:rPr>
              <w:t>(34.0)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Significant components of the Company’s deferred tax assets and liabilities are as follows (in thousands):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29,</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0"/>
                <w:szCs w:val="10"/>
                <w:b w:val="1"/>
                <w:bCs w:val="1"/>
                <w:color w:val="auto"/>
              </w:rPr>
              <w:t>2006</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Reserves and accruals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485</w:t>
            </w:r>
          </w:p>
        </w:tc>
        <w:tc>
          <w:tcPr>
            <w:tcW w:w="16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Tax credit carryforwards</w:t>
            </w:r>
          </w:p>
        </w:tc>
        <w:tc>
          <w:tcPr>
            <w:tcW w:w="12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3,450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37,557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47,467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tax assets</w:t>
            </w:r>
          </w:p>
        </w:tc>
        <w:tc>
          <w:tcPr>
            <w:tcW w:w="12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43,177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2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(43,177)</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Recognition of deferred tax assets is appropriate when realization of these assets is more likely than not. The Company has incurred losses since its inception; accordingly, the net deferred tax assets have been fully offset by a valuation allowance. The valuation allowance increased by $5,954,000, $8,534,000 and $9,570,000 during 2005, 2006 and 2007, respectively.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29, 2007, the Company had net operating loss carryforwards for federal income tax purposes of $121,531,000 which expire in the years 2019 through 2026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federal research and development tax credits of $2,749,000 which expire in the years 2008 through 2016. As of December 29, 2007, the Company had net operating loss carryforwards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state income tax purposes of $119,340,000 which expire in the years 2012 through 2016 and state research and development tax credits of $2,722,000 which do not expire.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29, 2007, the Company had foreign net operating loss carryforwards of $4,768,000. A significant portion of the foreign net operating losses relate to activity in Singapore that has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 indefinite carryforward period.</w:t>
      </w:r>
    </w:p>
    <w:p>
      <w:pPr>
        <w:spacing w:after="0" w:line="89" w:lineRule="exact"/>
        <w:rPr>
          <w:sz w:val="20"/>
          <w:szCs w:val="20"/>
          <w:color w:val="auto"/>
        </w:rPr>
      </w:pPr>
    </w:p>
    <w:p>
      <w:pPr>
        <w:ind w:left="680" w:right="280" w:firstLine="399"/>
        <w:spacing w:after="0" w:line="334" w:lineRule="auto"/>
        <w:rPr>
          <w:sz w:val="20"/>
          <w:szCs w:val="20"/>
          <w:color w:val="auto"/>
        </w:rPr>
      </w:pPr>
      <w:r>
        <w:rPr>
          <w:rFonts w:ascii="Arial" w:cs="Arial" w:eastAsia="Arial" w:hAnsi="Arial"/>
          <w:sz w:val="11"/>
          <w:szCs w:val="11"/>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at different dates or in addition to the dates preliminarily identified, the utilization of net operation loss and credit carryforwards could be significantly reduced.</w:t>
      </w:r>
    </w:p>
    <w:p>
      <w:pPr>
        <w:spacing w:after="0" w:line="3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Company has not provided for U.S. federal and state income taxes on all of the non U.S. subsidiaries’ undistributed earnings as of December 29, 2007, because such earnings are intended to be indefinitely reinvested under APB 23. Upon distribution of those earnings in the form of dividends or otherwise, the Company would be subject to applicable U.S. federal and state income taxes.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 Tax Positions</w:t>
      </w:r>
    </w:p>
    <w:p>
      <w:pPr>
        <w:spacing w:after="0" w:line="100"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Effective January 1, 2007, the Company adopted the provisions of FIN 48. As a result,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aggregate changes in the balance of the Company’s gross unrecognized tax benefits during 2007 were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Increases in balances related to tax provisions taken during current periods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765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1,922</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Accrued interest and penalties related to unrecognized tax benefits are classified as income tax expense and were immaterial. As of December 29, 2007, unrecognized tax benefits of $162,000, if recognized, would affect the Company’s effective tax rate. The remaining unrecognized tax benefits were netted against deferred tax assets with a full valuation allowance, and if recognized, would not affect the Company’s effective tax rate. The Company does not anticipate that the amount of existing unrecognized tax benefits will significantly increase or decrease within the next 12 months. The Company files income tax returns in the United States, various states and certain foreign jurisdictions. The tax years 1999 through 2007 remain open in most jurisdictions.</w:t>
      </w:r>
    </w:p>
    <w:p>
      <w:pPr>
        <w:spacing w:after="0" w:line="146"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Company sponsors a 401(k) plan that stipulates that eligible employees can elect to contribute to the plan, subject to certain limitations, up to the lesser of 60% of eligible compensation or the maximum amount allowed by the IRS on a pretax basis annually. The Company has not made contributions to this plan since its inception.</w:t>
      </w:r>
    </w:p>
    <w:p>
      <w:pPr>
        <w:spacing w:after="0" w:line="110"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As discussed further in Note 7, the Company has entered into multiple Convertible Note Purchase Agreements with BMSIF pursuant to which the Company issued convertible notes and received proceeds in the amount of $20.0 million. Principal and interest on the notes was convertible into shares of Series E convertible preferred stock at the lender’s election, at any time, and automatically converted upon the achievement of certain targets or upon the completion of an initial public offering in which the convertible preferred stock was converted into common stock. Through June 28, 2008, all $20.0 million of these notes had been converted to shares of Series E convertible preferred stock.</w:t>
      </w:r>
    </w:p>
    <w:p>
      <w:pPr>
        <w:spacing w:after="0" w:line="53"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BMSIF and its related companies held 2,573,988 shares of the Company’s convertible preferred stock as of June 28, 2008, which constitutes 11.3% of the outstanding shares on a fully diluted basis. In addition, the Company’s manufacturing operations in Singapore, which commenced operations in October 2005, have been supported by grants from EDB which provide incentive payments for research, development and manufacturing activity in Singapore by the Company. These agreements are discussed further in Note 3.</w:t>
      </w:r>
    </w:p>
    <w:p>
      <w:pPr>
        <w:spacing w:after="0" w:line="50"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In January 2004, the Company loaned an officer of the Company $250,000 in connection with the purchase of a new home, which was secured by 238,095 shares of the Company’s common stock held by the officer. The loan carried an interest rate of 3.52% per annum. The outstanding balance of this loan, including accrued interest, was $277,000 and $287,000 as of December 31, 2006 and December 29, 2007, respectively. On April 10, 2008, the principal amount of this note and all accrued interest was settled with 25,975 shares held by the officer at fair value of the common stock, which was determined by the Board of Directors to be $11.16 per share.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Dr. Stephen Quake, who is a professor of bioengineering at Stanford University, is one of the Company’s founding stockholders and as such held 664,821 shares of common stock as of December 31, 2006, December 29,</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and June 28, 2008. In June 2006, the Company repurchased 35,421 shares of the Company’s common stock held by Dr. Quake for $1.96 per share.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Dr. Quake also serves as a consultant to the Company and is a member of the Company’s Scientific Advisory Board. The Company paid consulting fees of $45,000, $97,000,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$67,000, $50,000 and $58,000 to Dr. Quake during 2005, 2006, 2007 and the six months ended June 30, 2007 and June 28, 2008, respectively, and accrued amounts payable to Dr. Quake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related to these payments were $0, $33,000 and $17,000 as of December 31, 2006, December 29, 2007 and June 28, 2008, respectively. The Company recognized $205,000, $241,000,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$15,000, $0 and $96,000 in revenue related to products and services sold to Stanford University during 2005, 2006, 2007 and the six months ended June 30, 2007 and June 28, 2008,</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and had accounts receivable balances related to these sales of $0, $11,000 and $260,000 as of December 31, 2006, December 29, 2007 and June 28, 2008, respectively.</w:t>
      </w:r>
    </w:p>
    <w:p>
      <w:pPr>
        <w:spacing w:after="0" w:line="8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The Company’s general counsel was also a member of a law firm whose services are utilized by the Company. On April 1, 2008, the Company’s general counsel resigned his position from such law firm. Amounts paid to the law firm for services and direct patent fees were $880,000, $960,000, $576,000, $352,000 and $312,000 for 2005, 2006, 2007 and the six months ended June 30, 2007 and June 28, 2008, respectively, and accrued amounts payable to the law firm were $174,000, $257,000 and $411,000 as of December 31, 2006, December 29, 2007 and June 28, 2008, respectively.</w:t>
      </w:r>
    </w:p>
    <w:p>
      <w:pPr>
        <w:spacing w:after="0" w:line="144"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Information about Geographic Areas</w:t>
      </w:r>
    </w:p>
    <w:p>
      <w:pPr>
        <w:spacing w:after="0" w:line="100" w:lineRule="exact"/>
        <w:rPr>
          <w:sz w:val="20"/>
          <w:szCs w:val="20"/>
          <w:color w:val="auto"/>
        </w:rPr>
      </w:pPr>
    </w:p>
    <w:p>
      <w:pPr>
        <w:ind w:left="680" w:right="820" w:firstLine="399"/>
        <w:spacing w:after="0" w:line="281" w:lineRule="auto"/>
        <w:rPr>
          <w:sz w:val="20"/>
          <w:szCs w:val="20"/>
          <w:color w:val="auto"/>
        </w:rPr>
      </w:pPr>
      <w:r>
        <w:rPr>
          <w:rFonts w:ascii="Arial" w:cs="Arial" w:eastAsia="Arial" w:hAnsi="Arial"/>
          <w:sz w:val="12"/>
          <w:szCs w:val="12"/>
          <w:color w:val="auto"/>
        </w:rPr>
        <w:t xml:space="preserve">SFAS No. 131, </w:t>
      </w:r>
      <w:r>
        <w:rPr>
          <w:rFonts w:ascii="Arial" w:cs="Arial" w:eastAsia="Arial" w:hAnsi="Arial"/>
          <w:sz w:val="12"/>
          <w:szCs w:val="12"/>
          <w:i w:val="1"/>
          <w:iCs w:val="1"/>
          <w:color w:val="auto"/>
        </w:rPr>
        <w:t>Disclosures about Segments of an Enterprise and Related Information</w:t>
      </w:r>
      <w:r>
        <w:rPr>
          <w:rFonts w:ascii="Arial" w:cs="Arial" w:eastAsia="Arial" w:hAnsi="Arial"/>
          <w:sz w:val="12"/>
          <w:szCs w:val="12"/>
          <w:color w:val="auto"/>
        </w:rPr>
        <w:t>, establishes standards for reporting information about operating segments. Operating segments are defined as components of an enterprise about which separate financial information is available that is evaluated regularly by a company’s chief operating decision maker, or decision making group,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reporting segment and operating unit structure which is the development, manufacturing and commercialization of IFCs and complementary laboratory instruments.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by geography is based on the billing address of the customer. The following tables set forth revenue and long-lived assets by geographic area (in thousands):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7"/>
                <w:szCs w:val="7"/>
                <w:color w:val="auto"/>
              </w:rPr>
            </w:pPr>
          </w:p>
        </w:tc>
        <w:tc>
          <w:tcPr>
            <w:tcW w:w="900" w:type="dxa"/>
            <w:vAlign w:val="bottom"/>
            <w:tcBorders>
              <w:top w:val="single" w:sz="8" w:color="auto"/>
            </w:tcBorders>
            <w:gridSpan w:val="3"/>
          </w:tcPr>
          <w:p>
            <w:pPr>
              <w:jc w:val="center"/>
              <w:ind w:right="333"/>
              <w:spacing w:after="0" w:line="81" w:lineRule="exact"/>
              <w:rPr>
                <w:sz w:val="20"/>
                <w:szCs w:val="20"/>
                <w:color w:val="auto"/>
              </w:rPr>
            </w:pPr>
            <w:r>
              <w:rPr>
                <w:rFonts w:ascii="Arial" w:cs="Arial" w:eastAsia="Arial" w:hAnsi="Arial"/>
                <w:sz w:val="9"/>
                <w:szCs w:val="9"/>
                <w:b w:val="1"/>
                <w:bCs w:val="1"/>
                <w:color w:val="auto"/>
                <w:w w:val="99"/>
              </w:rPr>
              <w:t>June 30,</w:t>
            </w:r>
          </w:p>
        </w:tc>
        <w:tc>
          <w:tcPr>
            <w:tcW w:w="48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June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Singapore</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1,972</w:t>
            </w:r>
          </w:p>
        </w:tc>
        <w:tc>
          <w:tcPr>
            <w:tcW w:w="120" w:type="dxa"/>
            <w:vAlign w:val="bottom"/>
          </w:tcPr>
          <w:p>
            <w:pPr>
              <w:spacing w:after="0"/>
              <w:rPr>
                <w:sz w:val="13"/>
                <w:szCs w:val="13"/>
                <w:color w:val="auto"/>
              </w:rPr>
            </w:pPr>
          </w:p>
        </w:tc>
        <w:tc>
          <w:tcPr>
            <w:tcW w:w="780" w:type="dxa"/>
            <w:vAlign w:val="bottom"/>
            <w:gridSpan w:val="2"/>
          </w:tcPr>
          <w:p>
            <w:pPr>
              <w:jc w:val="right"/>
              <w:ind w:right="353"/>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1,492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Europe</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13"/>
                <w:szCs w:val="13"/>
                <w:color w:val="auto"/>
              </w:rPr>
            </w:pPr>
          </w:p>
        </w:tc>
        <w:tc>
          <w:tcPr>
            <w:tcW w:w="780" w:type="dxa"/>
            <w:vAlign w:val="bottom"/>
            <w:gridSpan w:val="2"/>
          </w:tcPr>
          <w:p>
            <w:pPr>
              <w:jc w:val="right"/>
              <w:ind w:right="353"/>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7,674</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6,398</w:t>
            </w:r>
          </w:p>
        </w:tc>
        <w:tc>
          <w:tcPr>
            <w:tcW w:w="3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7,275</w:t>
            </w: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53"/>
              <w:spacing w:after="0"/>
              <w:rPr>
                <w:sz w:val="20"/>
                <w:szCs w:val="20"/>
                <w:color w:val="auto"/>
              </w:rPr>
            </w:pPr>
            <w:r>
              <w:rPr>
                <w:rFonts w:ascii="Arial" w:cs="Arial" w:eastAsia="Arial" w:hAnsi="Arial"/>
                <w:sz w:val="13"/>
                <w:szCs w:val="13"/>
                <w:color w:val="auto"/>
              </w:rPr>
              <w:t>2,997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5,520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0" w:type="dxa"/>
            <w:vAlign w:val="bottom"/>
          </w:tcPr>
          <w:p>
            <w:pPr>
              <w:ind w:left="2080"/>
              <w:spacing w:after="0"/>
              <w:rPr>
                <w:sz w:val="20"/>
                <w:szCs w:val="20"/>
                <w:color w:val="auto"/>
              </w:rPr>
            </w:pPr>
            <w:r>
              <w:rPr>
                <w:rFonts w:ascii="Arial" w:cs="Arial" w:eastAsia="Arial" w:hAnsi="Arial"/>
                <w:sz w:val="13"/>
                <w:szCs w:val="13"/>
                <w:color w:val="auto"/>
              </w:rPr>
              <w:t>F-40</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0"/>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Singapore</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2,240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1,596</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In August 2008, the Board of Directors approved a 1-for-3.5 reverse stock split of the Company’s convertible preferred stock and common stock. The Company expects that the reverse split will become effective prior to the completion of this offering. All share and per share amounts have been retroactively restated in the accompanying financial statements and notes for all periods presented assuming the reverse stock split will be completed.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Board of Directors authorized 2,000,000 shares of common stock reserved for issuance under the 2008 Equity Incentive Plan, which is subject to shareholder approval.</w:t>
      </w:r>
    </w:p>
    <w:p>
      <w:pPr>
        <w:spacing w:after="0" w:line="10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Upon the completion of the Company’s initial public offering, authorized capital stock of the Company will consist of 300,000,000 shares of common stock and 20,000,000 shares of preferred stock, both with a par value of $0.001 per share.</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obtained approval from the convertible preferred stockholders to update the automatic conversion feature to require the outstanding shares of the convertible preferred stock to convert to shares of the Company’s common stock upon the closing of the Company’s initial public offering.</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51276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5127625"/>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73" w:name="page174"/>
    <w:bookmarkEnd w:id="17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4" w:name="page175"/>
    <w:bookmarkEnd w:id="174"/>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3,593</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NASD filing fee</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9,700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Printing and engraving</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850,000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Transfer agent and registrar fees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29,207</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spacing w:after="0"/>
        <w:tabs>
          <w:tab w:leader="none" w:pos="1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To be provided by amendment.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1280" w:right="200" w:hanging="190"/>
        <w:spacing w:after="0" w:line="260" w:lineRule="auto"/>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1280" w:hanging="190"/>
        <w:spacing w:after="0"/>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1080" w:right="40" w:firstLine="389"/>
        <w:spacing w:after="0" w:line="258" w:lineRule="auto"/>
        <w:tabs>
          <w:tab w:leader="none" w:pos="164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134,561 shares of its common stock upon the exercise of options issued to certain employees, directors and consultants under the registrant’s 1999 Stock Option Plan, as amended, at exercise prices ranging from $1.05 to $2.90, for aggregate consideration of $188,442. From July 18, 2007 through May 22, 2008, the registrant issued and sold an aggregate of 71,634 shares of its common stock upon the exercise of options issued to certain employees, directors and consultants under the registrant’s 1999 Stock Option Plan, as amended, at exercise prices ranging from $1.05 to $4.76 per share, for aggregate consideration of $123,346.</w:t>
      </w:r>
    </w:p>
    <w:p>
      <w:pPr>
        <w:spacing w:after="0" w:line="71" w:lineRule="exact"/>
        <w:rPr>
          <w:rFonts w:ascii="Arial" w:cs="Arial" w:eastAsia="Arial" w:hAnsi="Arial"/>
          <w:sz w:val="13"/>
          <w:szCs w:val="13"/>
          <w:color w:val="auto"/>
        </w:rPr>
      </w:pPr>
    </w:p>
    <w:p>
      <w:pPr>
        <w:ind w:left="1080" w:right="20" w:firstLine="389"/>
        <w:spacing w:after="0" w:line="289" w:lineRule="auto"/>
        <w:tabs>
          <w:tab w:leader="none" w:pos="1649" w:val="left"/>
        </w:tabs>
        <w:numPr>
          <w:ilvl w:val="0"/>
          <w:numId w:val="106"/>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1,138,869 shares of its common stock at exercise prices ranging from $1.05 to $4.76 per share. From July 18, 2007 through May 22, 2008, the registrant granted to certain of its employees, directors and consultants under the registrant’s 1999 Stock Option Plan, as amended, options to purchase an aggregate of 129,200 shares of the registrant’s common stock at exercise prices ranging from $4.83 to $8.40 per share.</w:t>
      </w:r>
    </w:p>
    <w:p>
      <w:pPr>
        <w:spacing w:after="0" w:line="52" w:lineRule="exact"/>
        <w:rPr>
          <w:rFonts w:ascii="Arial" w:cs="Arial" w:eastAsia="Arial" w:hAnsi="Arial"/>
          <w:sz w:val="12"/>
          <w:szCs w:val="12"/>
          <w:color w:val="auto"/>
        </w:rPr>
      </w:pPr>
    </w:p>
    <w:p>
      <w:pPr>
        <w:ind w:left="1640" w:hanging="171"/>
        <w:spacing w:after="0"/>
        <w:tabs>
          <w:tab w:leader="none" w:pos="16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March and December 2005, Fluidigm Corporation, a California corporation, pursuant to a loan and security agreement, issued and sold warrants to purchase</w:t>
      </w:r>
    </w:p>
    <w:p>
      <w:pPr>
        <w:spacing w:after="0" w:line="27" w:lineRule="exact"/>
        <w:rPr>
          <w:sz w:val="20"/>
          <w:szCs w:val="20"/>
          <w:color w:val="auto"/>
        </w:rPr>
      </w:pPr>
    </w:p>
    <w:p>
      <w:pPr>
        <w:ind w:left="1080" w:right="120"/>
        <w:spacing w:after="0" w:line="307" w:lineRule="auto"/>
        <w:rPr>
          <w:sz w:val="20"/>
          <w:szCs w:val="20"/>
          <w:color w:val="auto"/>
        </w:rPr>
      </w:pPr>
      <w:r>
        <w:rPr>
          <w:rFonts w:ascii="Arial" w:cs="Arial" w:eastAsia="Arial" w:hAnsi="Arial"/>
          <w:sz w:val="12"/>
          <w:szCs w:val="12"/>
          <w:color w:val="auto"/>
        </w:rPr>
        <w:t>106,122 shares of its Series D Preferred Stock to one accredited investor at an exercise price of $9.80 per share. In connection with the registrant’s reincorporation into the State of Delaware on July 18, 2007, the warrant was converted into a warrant to purchase an equal number of shares of the registrant’s Series D Preferred Stock.</w:t>
      </w:r>
    </w:p>
    <w:p>
      <w:pPr>
        <w:spacing w:after="0" w:line="42" w:lineRule="exact"/>
        <w:rPr>
          <w:sz w:val="20"/>
          <w:szCs w:val="20"/>
          <w:color w:val="auto"/>
        </w:rPr>
      </w:pPr>
    </w:p>
    <w:p>
      <w:pPr>
        <w:ind w:left="1080" w:right="100" w:firstLine="389"/>
        <w:spacing w:after="0" w:line="264" w:lineRule="auto"/>
        <w:tabs>
          <w:tab w:leader="none" w:pos="1649"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20,000 shares of its common stock to one accredited investor at an issuance price of $1.96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firstLine="389"/>
        <w:spacing w:after="0" w:line="276" w:lineRule="auto"/>
        <w:tabs>
          <w:tab w:leader="none" w:pos="164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237,895 shares of its Series D Preferred Stock to one accredited investor in connection with the conversion of a convertible promissory note at a conversion price per share of $9.80.</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1080" w:right="1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330,612 shares of Series D Preferred Stock at a conversion price per share of $9.80.</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220" w:firstLine="389"/>
        <w:spacing w:after="0" w:line="264" w:lineRule="auto"/>
        <w:tabs>
          <w:tab w:leader="none" w:pos="164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 April 2006, Fluidigm Corporation, a California corporation, issued 61,224 shares of its Series D Preferred Stock to three accredited investors at an issuance price of $9.80 per share, for aggregate monetary consideration of $599,998, which amount was deemed paid by the transfer of certain rights granted to registrant pursuant to the terms of a licensing agreement and the achievement of certain milestones thereunder.</w:t>
      </w:r>
    </w:p>
    <w:p>
      <w:pPr>
        <w:spacing w:after="0" w:line="66" w:lineRule="exact"/>
        <w:rPr>
          <w:rFonts w:ascii="Arial" w:cs="Arial" w:eastAsia="Arial" w:hAnsi="Arial"/>
          <w:sz w:val="13"/>
          <w:szCs w:val="13"/>
          <w:color w:val="auto"/>
        </w:rPr>
      </w:pPr>
    </w:p>
    <w:p>
      <w:pPr>
        <w:ind w:left="1080" w:right="440" w:firstLine="389"/>
        <w:spacing w:after="0" w:line="276" w:lineRule="auto"/>
        <w:tabs>
          <w:tab w:leader="none" w:pos="164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76,530 shares of its Series D Preferred Stock to one accredited investor in connection with the exercise of a warrant to purchase shares of its Series D Preferred Stock at an exercise price per share of $9.80.</w:t>
      </w:r>
    </w:p>
    <w:p>
      <w:pPr>
        <w:spacing w:after="0" w:line="59" w:lineRule="exact"/>
        <w:rPr>
          <w:rFonts w:ascii="Arial" w:cs="Arial" w:eastAsia="Arial" w:hAnsi="Arial"/>
          <w:sz w:val="13"/>
          <w:szCs w:val="13"/>
          <w:color w:val="auto"/>
        </w:rPr>
      </w:pPr>
    </w:p>
    <w:p>
      <w:pPr>
        <w:ind w:left="1080" w:firstLine="389"/>
        <w:spacing w:after="0" w:line="289" w:lineRule="auto"/>
        <w:tabs>
          <w:tab w:leader="none" w:pos="16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844,095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left="1080" w:right="20" w:firstLine="389"/>
        <w:spacing w:after="0" w:line="371" w:lineRule="auto"/>
        <w:tabs>
          <w:tab w:leader="none" w:pos="162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 March 2007, Fluidigm Corporation, a California corporation, issued 28,571 shares of its common stock to one accredited investor at an issuance price of $2.90 per share, for aggregate monetary consideration of $83,000, which amount was deemed paid by the transfer of certain rights granted to registrant pursuant to the terms of a licensing agreement.</w:t>
      </w:r>
    </w:p>
    <w:p>
      <w:pPr>
        <w:spacing w:after="0" w:line="11" w:lineRule="exact"/>
        <w:rPr>
          <w:rFonts w:ascii="Arial" w:cs="Arial" w:eastAsia="Arial" w:hAnsi="Arial"/>
          <w:sz w:val="11"/>
          <w:szCs w:val="11"/>
          <w:color w:val="auto"/>
        </w:rPr>
      </w:pPr>
    </w:p>
    <w:p>
      <w:pPr>
        <w:ind w:left="1080" w:right="120" w:firstLine="389"/>
        <w:spacing w:after="0" w:line="276" w:lineRule="auto"/>
        <w:tabs>
          <w:tab w:leader="none" w:pos="164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219,142 shares of its common stock at an exercise price of $4.76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2,770,285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left="1080" w:right="320" w:firstLine="389"/>
        <w:spacing w:after="0" w:line="371" w:lineRule="auto"/>
        <w:tabs>
          <w:tab w:leader="none" w:pos="1685"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779,220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1,845,907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4,675,666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3,484,626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2,562,810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1640" w:hanging="171"/>
        <w:spacing w:after="0"/>
        <w:tabs>
          <w:tab w:leader="none" w:pos="164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2,512,841 shares of Series E Preferred Stock to a total of seven investors at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$14.00 per share, for aggregate proceeds of $35,179,780.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480" w:firstLine="389"/>
        <w:spacing w:after="0" w:line="320" w:lineRule="auto"/>
        <w:tabs>
          <w:tab w:leader="none" w:pos="163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 December 2007, the registrant issued 1,714 shares of its common stock to one accredited investor at an issuance price of $4.76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1080" w:right="700" w:firstLine="389"/>
        <w:spacing w:after="0" w:line="276" w:lineRule="auto"/>
        <w:tabs>
          <w:tab w:leader="none" w:pos="16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28,571 shares of the registrant’s common stock at an exercise price of $8.40 per share.</w:t>
      </w:r>
    </w:p>
    <w:p>
      <w:pPr>
        <w:spacing w:after="0" w:line="59" w:lineRule="exact"/>
        <w:rPr>
          <w:rFonts w:ascii="Arial" w:cs="Arial" w:eastAsia="Arial" w:hAnsi="Arial"/>
          <w:sz w:val="13"/>
          <w:szCs w:val="13"/>
          <w:color w:val="auto"/>
        </w:rPr>
      </w:pPr>
    </w:p>
    <w:p>
      <w:pPr>
        <w:ind w:left="1080" w:right="40" w:firstLine="389"/>
        <w:spacing w:after="0" w:line="276" w:lineRule="auto"/>
        <w:tabs>
          <w:tab w:leader="none" w:pos="164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 February and June 2008, the registrant issued a warrant to purchase 28,572 and 57,142 shares of the registrant’s Series E Preferred Stock to one accredited investor at an exercise price of $14.00 per share.</w:t>
      </w:r>
    </w:p>
    <w:p>
      <w:pPr>
        <w:spacing w:after="0" w:line="59" w:lineRule="exact"/>
        <w:rPr>
          <w:rFonts w:ascii="Arial" w:cs="Arial" w:eastAsia="Arial" w:hAnsi="Arial"/>
          <w:sz w:val="13"/>
          <w:szCs w:val="13"/>
          <w:color w:val="auto"/>
        </w:rPr>
      </w:pPr>
    </w:p>
    <w:p>
      <w:pPr>
        <w:ind w:left="1080" w:right="260" w:firstLine="389"/>
        <w:spacing w:after="0" w:line="276" w:lineRule="auto"/>
        <w:tabs>
          <w:tab w:leader="none" w:pos="164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171,427 shares of the registrant’s common stock at an exercise price of $8.40 per share.</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78"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 April 2008, the registrant granted to 110 of its employees, consultants and directors under the registrant’s 1999 Stock Option Plan, as amended, options to purchase an aggregate of 546,711 shares of its common stock at an exercise price of $11.16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On May 12, 2008, the registrant issued 4,692 shares of its Series C Preferred Stock to Imperial Bank pursuant to Imperial Bank’s net exercise of its warrant to purchase up to 11,795 shares of Series C Preferred Stock. The remainder of the warrant was cancelled pursuant to the terms of the net exercise.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 June 2008, the registrant granted to seven of its employees and consultants under the registrant’s 1999 Stock Option Plan, as amended, options to purchase an aggregate of 24,426 shares of its common stock at an exercise price of $11.97 per share.</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 August 2008, the registrant granted to eight of its employees under the registrant’s 1999 Stock Option Plan, as amended, options to purchase an aggregate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18,426 shares of its common stock at an exercise price of $12.71 per share.</w:t>
      </w:r>
    </w:p>
    <w:p>
      <w:pPr>
        <w:spacing w:after="0" w:line="8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1280" w:right="420" w:hanging="190"/>
        <w:spacing w:after="0" w:line="276"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1280" w:hanging="190"/>
        <w:spacing w:after="0" w:line="323" w:lineRule="auto"/>
        <w:tabs>
          <w:tab w:leader="none" w:pos="128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1280" w:right="140" w:hanging="190"/>
        <w:spacing w:after="0" w:line="258"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(z),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478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-229235</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5"/>
        </w:trPr>
        <w:tc>
          <w:tcPr>
            <w:tcW w:w="840" w:type="dxa"/>
            <w:vAlign w:val="bottom"/>
          </w:tcPr>
          <w:p>
            <w:pPr>
              <w:jc w:val="right"/>
              <w:ind w:right="555"/>
              <w:spacing w:after="0"/>
              <w:rPr>
                <w:sz w:val="20"/>
                <w:szCs w:val="20"/>
                <w:color w:val="auto"/>
              </w:rPr>
            </w:pPr>
            <w:r>
              <w:rPr>
                <w:rFonts w:ascii="Arial" w:cs="Arial" w:eastAsia="Arial" w:hAnsi="Arial"/>
                <w:sz w:val="13"/>
                <w:szCs w:val="13"/>
                <w:color w:val="auto"/>
              </w:rPr>
              <w:t>3.4</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1"/>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10.1</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10.2</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9"/>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10.2A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555"/>
              <w:spacing w:after="0"/>
              <w:rPr>
                <w:sz w:val="20"/>
                <w:szCs w:val="20"/>
                <w:color w:val="auto"/>
              </w:rPr>
            </w:pPr>
            <w:r>
              <w:rPr>
                <w:rFonts w:ascii="Arial" w:cs="Arial" w:eastAsia="Arial" w:hAnsi="Arial"/>
                <w:sz w:val="13"/>
                <w:szCs w:val="13"/>
                <w:color w:val="auto"/>
                <w:w w:val="78"/>
              </w:rPr>
              <w:t>10.3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5"/>
        </w:trPr>
        <w:tc>
          <w:tcPr>
            <w:tcW w:w="840" w:type="dxa"/>
            <w:vAlign w:val="bottom"/>
          </w:tcPr>
          <w:p>
            <w:pPr>
              <w:jc w:val="right"/>
              <w:ind w:right="455"/>
              <w:spacing w:after="0"/>
              <w:rPr>
                <w:sz w:val="20"/>
                <w:szCs w:val="20"/>
                <w:color w:val="auto"/>
              </w:rPr>
            </w:pPr>
            <w:r>
              <w:rPr>
                <w:rFonts w:ascii="Arial" w:cs="Arial" w:eastAsia="Arial" w:hAnsi="Arial"/>
                <w:sz w:val="13"/>
                <w:szCs w:val="13"/>
                <w:color w:val="auto"/>
                <w:w w:val="88"/>
              </w:rPr>
              <w:t>10.3A</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10.4</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10.4A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w w:val="88"/>
              </w:rPr>
              <w:t>10.5</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10.5A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10.6</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10.7</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10.8</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10.8A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10.9</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10.9A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jc w:val="right"/>
              <w:ind w:right="235"/>
              <w:spacing w:after="0"/>
              <w:rPr>
                <w:sz w:val="20"/>
                <w:szCs w:val="20"/>
                <w:color w:val="auto"/>
              </w:rPr>
            </w:pPr>
            <w:r>
              <w:rPr>
                <w:rFonts w:ascii="Arial" w:cs="Arial" w:eastAsia="Arial" w:hAnsi="Arial"/>
                <w:sz w:val="13"/>
                <w:szCs w:val="13"/>
                <w:color w:val="auto"/>
                <w:w w:val="87"/>
              </w:rPr>
              <w:t>10.10</w:t>
            </w:r>
            <w:r>
              <w:rPr>
                <w:rFonts w:ascii="Arial" w:cs="Arial" w:eastAsia="Arial" w:hAnsi="Arial"/>
                <w:sz w:val="11"/>
                <w:szCs w:val="11"/>
                <w:color w:val="auto"/>
                <w:w w:val="87"/>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-3325495</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-1827530</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1280" w:hanging="194"/>
        <w:spacing w:after="0"/>
        <w:tabs>
          <w:tab w:leader="none" w:pos="1280" w:val="left"/>
        </w:tabs>
        <w:numPr>
          <w:ilvl w:val="1"/>
          <w:numId w:val="111"/>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jurisdiction the question whether such indemnification by it is against public policy as expressed in the Act and will be governed by the final adjudication of such issue.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1080" w:firstLine="389"/>
        <w:spacing w:after="0" w:line="264" w:lineRule="auto"/>
        <w:tabs>
          <w:tab w:leader="none" w:pos="164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1080" w:right="220" w:firstLine="389"/>
        <w:spacing w:after="0" w:line="371" w:lineRule="auto"/>
        <w:tabs>
          <w:tab w:leader="none" w:pos="1649" w:val="left"/>
        </w:tabs>
        <w:numPr>
          <w:ilvl w:val="0"/>
          <w:numId w:val="112"/>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 w:lineRule="exact"/>
        <w:rPr>
          <w:rFonts w:ascii="Arial" w:cs="Arial" w:eastAsia="Arial" w:hAnsi="Arial"/>
          <w:sz w:val="11"/>
          <w:szCs w:val="11"/>
          <w:color w:val="auto"/>
        </w:rPr>
      </w:pPr>
    </w:p>
    <w:p>
      <w:pPr>
        <w:ind w:left="1660" w:hanging="191"/>
        <w:spacing w:after="0"/>
        <w:tabs>
          <w:tab w:leader="none" w:pos="16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w:t>
      </w:r>
    </w:p>
    <w:p>
      <w:pPr>
        <w:spacing w:after="0" w:line="27" w:lineRule="exact"/>
        <w:rPr>
          <w:sz w:val="20"/>
          <w:szCs w:val="20"/>
          <w:color w:val="auto"/>
        </w:rPr>
      </w:pPr>
    </w:p>
    <w:p>
      <w:pPr>
        <w:ind w:left="1080"/>
        <w:spacing w:after="0" w:line="281" w:lineRule="auto"/>
        <w:rPr>
          <w:sz w:val="20"/>
          <w:szCs w:val="20"/>
          <w:color w:val="auto"/>
        </w:rPr>
      </w:pPr>
      <w:r>
        <w:rPr>
          <w:rFonts w:ascii="Arial" w:cs="Arial" w:eastAsia="Arial" w:hAnsi="Arial"/>
          <w:sz w:val="12"/>
          <w:szCs w:val="12"/>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0" w:lineRule="exact"/>
        <w:rPr>
          <w:sz w:val="20"/>
          <w:szCs w:val="20"/>
          <w:color w:val="auto"/>
        </w:rPr>
      </w:pPr>
    </w:p>
    <w:p>
      <w:pPr>
        <w:ind w:left="1080" w:right="40" w:firstLine="389"/>
        <w:spacing w:after="0" w:line="260" w:lineRule="auto"/>
        <w:tabs>
          <w:tab w:leader="none" w:pos="164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100" w:firstLine="372"/>
        <w:spacing w:after="0" w:line="276" w:lineRule="auto"/>
        <w:tabs>
          <w:tab w:leader="none" w:pos="2074"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7 to the registration statement to be signed on its behalf by the undersigned, thereunto duly authorized, in the City of South San Francisco, State of California, on the 5th day of September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7 to the registration statement has been signed by the following persons in the capacities indicated on the 5th day of September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ind w:left="540"/>
              <w:spacing w:after="0"/>
              <w:rPr>
                <w:sz w:val="20"/>
                <w:szCs w:val="20"/>
                <w:color w:val="auto"/>
              </w:rPr>
            </w:pPr>
            <w:r>
              <w:rPr>
                <w:rFonts w:ascii="Arial" w:cs="Arial" w:eastAsia="Arial" w:hAnsi="Arial"/>
                <w:sz w:val="13"/>
                <w:szCs w:val="13"/>
                <w:b w:val="1"/>
                <w:bCs w:val="1"/>
                <w:color w:val="auto"/>
              </w:rPr>
              <w:t>Signature</w:t>
            </w:r>
          </w:p>
        </w:tc>
        <w:tc>
          <w:tcPr>
            <w:tcW w:w="3860" w:type="dxa"/>
            <w:vAlign w:val="bottom"/>
          </w:tcPr>
          <w:p>
            <w:pPr>
              <w:ind w:left="1940"/>
              <w:spacing w:after="0"/>
              <w:rPr>
                <w:sz w:val="20"/>
                <w:szCs w:val="20"/>
                <w:color w:val="auto"/>
              </w:rPr>
            </w:pPr>
            <w:r>
              <w:rPr>
                <w:rFonts w:ascii="Arial" w:cs="Arial" w:eastAsia="Arial" w:hAnsi="Arial"/>
                <w:sz w:val="13"/>
                <w:szCs w:val="13"/>
                <w:b w:val="1"/>
                <w:bCs w:val="1"/>
                <w:color w:val="auto"/>
              </w:rPr>
              <w:t>Title</w:t>
            </w:r>
          </w:p>
        </w:tc>
        <w:tc>
          <w:tcPr>
            <w:tcW w:w="1320" w:type="dxa"/>
            <w:vAlign w:val="bottom"/>
          </w:tcPr>
          <w:p>
            <w:pPr>
              <w:ind w:left="820"/>
              <w:spacing w:after="0"/>
              <w:rPr>
                <w:sz w:val="20"/>
                <w:szCs w:val="20"/>
                <w:color w:val="auto"/>
              </w:rPr>
            </w:pPr>
            <w:r>
              <w:rPr>
                <w:rFonts w:ascii="Arial" w:cs="Arial" w:eastAsia="Arial" w:hAnsi="Arial"/>
                <w:sz w:val="13"/>
                <w:szCs w:val="13"/>
                <w:b w:val="1"/>
                <w:bCs w:val="1"/>
                <w:color w:val="auto"/>
              </w:rPr>
              <w:t>Date</w:t>
            </w:r>
          </w:p>
        </w:tc>
      </w:tr>
      <w:tr>
        <w:trPr>
          <w:trHeight w:val="334"/>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w w:val="72"/>
              </w:rPr>
              <w:t>/s/</w:t>
            </w:r>
          </w:p>
        </w:tc>
        <w:tc>
          <w:tcPr>
            <w:tcW w:w="2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60" w:type="dxa"/>
            <w:vAlign w:val="bottom"/>
          </w:tcPr>
          <w:p>
            <w:pPr>
              <w:jc w:val="center"/>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6"/>
        </w:trPr>
        <w:tc>
          <w:tcPr>
            <w:tcW w:w="720" w:type="dxa"/>
            <w:vAlign w:val="bottom"/>
          </w:tcPr>
          <w:p>
            <w:pPr>
              <w:spacing w:after="0"/>
              <w:rPr>
                <w:sz w:val="13"/>
                <w:szCs w:val="13"/>
                <w:color w:val="auto"/>
              </w:rPr>
            </w:pPr>
          </w:p>
        </w:tc>
        <w:tc>
          <w:tcPr>
            <w:tcW w:w="3780" w:type="dxa"/>
            <w:vAlign w:val="bottom"/>
            <w:gridSpan w:val="2"/>
          </w:tcPr>
          <w:p>
            <w:pPr>
              <w:jc w:val="center"/>
              <w:ind w:right="654"/>
              <w:spacing w:after="0"/>
              <w:rPr>
                <w:sz w:val="20"/>
                <w:szCs w:val="20"/>
                <w:color w:val="auto"/>
              </w:rPr>
            </w:pPr>
            <w:r>
              <w:rPr>
                <w:rFonts w:ascii="Arial" w:cs="Arial" w:eastAsia="Arial" w:hAnsi="Arial"/>
                <w:sz w:val="13"/>
                <w:szCs w:val="13"/>
                <w:color w:val="auto"/>
                <w:w w:val="92"/>
              </w:rPr>
              <w:t>Gajus V. Worthington</w:t>
            </w:r>
          </w:p>
        </w:tc>
        <w:tc>
          <w:tcPr>
            <w:tcW w:w="3860" w:type="dxa"/>
            <w:vAlign w:val="bottom"/>
          </w:tcPr>
          <w:p>
            <w:pPr>
              <w:jc w:val="center"/>
              <w:spacing w:after="0" w:line="145" w:lineRule="exact"/>
              <w:rPr>
                <w:sz w:val="20"/>
                <w:szCs w:val="20"/>
                <w:color w:val="auto"/>
              </w:rPr>
            </w:pPr>
            <w:r>
              <w:rPr>
                <w:rFonts w:ascii="Arial" w:cs="Arial" w:eastAsia="Arial" w:hAnsi="Arial"/>
                <w:sz w:val="13"/>
                <w:szCs w:val="13"/>
                <w:color w:val="auto"/>
                <w:w w:val="95"/>
              </w:rPr>
              <w:t>Executive Officer)</w:t>
            </w:r>
          </w:p>
        </w:tc>
        <w:tc>
          <w:tcPr>
            <w:tcW w:w="1320" w:type="dxa"/>
            <w:vAlign w:val="bottom"/>
          </w:tcPr>
          <w:p>
            <w:pPr>
              <w:spacing w:after="0"/>
              <w:rPr>
                <w:sz w:val="13"/>
                <w:szCs w:val="13"/>
                <w:color w:val="auto"/>
              </w:rPr>
            </w:pPr>
          </w:p>
        </w:tc>
      </w:tr>
      <w:tr>
        <w:trPr>
          <w:trHeight w:val="227"/>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860" w:type="dxa"/>
            <w:vAlign w:val="bottom"/>
          </w:tcPr>
          <w:p>
            <w:pPr>
              <w:jc w:val="center"/>
              <w:spacing w:after="0"/>
              <w:rPr>
                <w:sz w:val="20"/>
                <w:szCs w:val="20"/>
                <w:color w:val="auto"/>
              </w:rPr>
            </w:pPr>
            <w:r>
              <w:rPr>
                <w:rFonts w:ascii="Arial" w:cs="Arial" w:eastAsia="Arial" w:hAnsi="Arial"/>
                <w:sz w:val="13"/>
                <w:szCs w:val="13"/>
                <w:color w:val="auto"/>
                <w:w w:val="94"/>
              </w:rPr>
              <w:t>Chief Financial Officer (Principal Accounting and Financial</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6"/>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2"/>
              </w:rPr>
              <w:t>Vikram Jog</w:t>
            </w:r>
          </w:p>
        </w:tc>
        <w:tc>
          <w:tcPr>
            <w:tcW w:w="386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3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1"/>
              </w:rPr>
              <w:t>Samuel Colella</w:t>
            </w: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5"/>
        </w:trPr>
        <w:tc>
          <w:tcPr>
            <w:tcW w:w="720" w:type="dxa"/>
            <w:vAlign w:val="bottom"/>
          </w:tcPr>
          <w:p>
            <w:pPr>
              <w:spacing w:after="0"/>
              <w:rPr>
                <w:sz w:val="13"/>
                <w:szCs w:val="13"/>
                <w:color w:val="auto"/>
              </w:rPr>
            </w:pPr>
          </w:p>
        </w:tc>
        <w:tc>
          <w:tcPr>
            <w:tcW w:w="3780" w:type="dxa"/>
            <w:vAlign w:val="bottom"/>
            <w:gridSpan w:val="2"/>
          </w:tcPr>
          <w:p>
            <w:pPr>
              <w:jc w:val="center"/>
              <w:ind w:right="634"/>
              <w:spacing w:after="0"/>
              <w:rPr>
                <w:sz w:val="20"/>
                <w:szCs w:val="20"/>
                <w:color w:val="auto"/>
              </w:rPr>
            </w:pPr>
            <w:r>
              <w:rPr>
                <w:rFonts w:ascii="Arial" w:cs="Arial" w:eastAsia="Arial" w:hAnsi="Arial"/>
                <w:sz w:val="13"/>
                <w:szCs w:val="13"/>
                <w:color w:val="auto"/>
                <w:w w:val="96"/>
              </w:rPr>
              <w:t>Michael W. Hunkapiller</w:t>
            </w: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Elaine V. Jones</w:t>
            </w: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Kenneth Nussbacher</w:t>
            </w: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20" w:type="dxa"/>
            <w:vAlign w:val="bottom"/>
          </w:tcPr>
          <w:p>
            <w:pPr>
              <w:ind w:left="340"/>
              <w:spacing w:after="0"/>
              <w:rPr>
                <w:sz w:val="20"/>
                <w:szCs w:val="20"/>
                <w:color w:val="auto"/>
              </w:rPr>
            </w:pPr>
            <w:r>
              <w:rPr>
                <w:rFonts w:ascii="Arial" w:cs="Arial" w:eastAsia="Arial" w:hAnsi="Arial"/>
                <w:sz w:val="13"/>
                <w:szCs w:val="13"/>
                <w:color w:val="auto"/>
                <w:w w:val="86"/>
              </w:rPr>
              <w:t>September 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3"/>
              </w:rPr>
              <w:t>John A. Young</w:t>
            </w: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8"/>
        </w:trPr>
        <w:tc>
          <w:tcPr>
            <w:tcW w:w="1700" w:type="dxa"/>
            <w:vAlign w:val="bottom"/>
            <w:gridSpan w:val="2"/>
          </w:tcPr>
          <w:p>
            <w:pPr>
              <w:ind w:left="180"/>
              <w:spacing w:after="0"/>
              <w:rPr>
                <w:sz w:val="20"/>
                <w:szCs w:val="20"/>
                <w:color w:val="auto"/>
              </w:rPr>
            </w:pPr>
            <w:r>
              <w:rPr>
                <w:rFonts w:ascii="Arial" w:cs="Arial" w:eastAsia="Arial" w:hAnsi="Arial"/>
                <w:sz w:val="13"/>
                <w:szCs w:val="13"/>
                <w:color w:val="auto"/>
              </w:rPr>
              <w:t>*By:</w:t>
            </w:r>
          </w:p>
        </w:tc>
        <w:tc>
          <w:tcPr>
            <w:tcW w:w="2800" w:type="dxa"/>
            <w:vAlign w:val="bottom"/>
          </w:tcPr>
          <w:p>
            <w:pPr>
              <w:jc w:val="center"/>
              <w:ind w:right="9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tcPr>
          <w:p>
            <w:pPr>
              <w:jc w:val="center"/>
              <w:ind w:right="914"/>
              <w:spacing w:after="0" w:line="139" w:lineRule="exact"/>
              <w:rPr>
                <w:sz w:val="20"/>
                <w:szCs w:val="20"/>
                <w:color w:val="auto"/>
              </w:rPr>
            </w:pPr>
            <w:r>
              <w:rPr>
                <w:rFonts w:ascii="Arial" w:cs="Arial" w:eastAsia="Arial" w:hAnsi="Arial"/>
                <w:sz w:val="13"/>
                <w:szCs w:val="13"/>
                <w:color w:val="auto"/>
                <w:w w:val="92"/>
              </w:rPr>
              <w:t>Gajus V. Worthington</w:t>
            </w:r>
          </w:p>
        </w:tc>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jc w:val="center"/>
              <w:ind w:right="894"/>
              <w:spacing w:after="0"/>
              <w:rPr>
                <w:sz w:val="20"/>
                <w:szCs w:val="20"/>
                <w:color w:val="auto"/>
              </w:rPr>
            </w:pPr>
            <w:r>
              <w:rPr>
                <w:rFonts w:ascii="Arial" w:cs="Arial" w:eastAsia="Arial" w:hAnsi="Arial"/>
                <w:sz w:val="13"/>
                <w:szCs w:val="13"/>
                <w:color w:val="auto"/>
                <w:w w:val="95"/>
              </w:rPr>
              <w:t>Attorney-in-Fact</w:t>
            </w: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-2201545</wp:posOffset>
            </wp:positionV>
            <wp:extent cx="2476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-2201545</wp:posOffset>
            </wp:positionV>
            <wp:extent cx="2476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-2201545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5"/>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3.4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9"/>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10.3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5"/>
        </w:trPr>
        <w:tc>
          <w:tcPr>
            <w:tcW w:w="2120" w:type="dxa"/>
            <w:vAlign w:val="bottom"/>
          </w:tcPr>
          <w:p>
            <w:pPr>
              <w:jc w:val="right"/>
              <w:ind w:right="455"/>
              <w:spacing w:after="0"/>
              <w:rPr>
                <w:sz w:val="20"/>
                <w:szCs w:val="20"/>
                <w:color w:val="auto"/>
              </w:rPr>
            </w:pPr>
            <w:r>
              <w:rPr>
                <w:rFonts w:ascii="Arial" w:cs="Arial" w:eastAsia="Arial" w:hAnsi="Arial"/>
                <w:sz w:val="13"/>
                <w:szCs w:val="13"/>
                <w:color w:val="auto"/>
              </w:rPr>
              <w:t>10.3A</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-2226945</wp:posOffset>
            </wp:positionV>
            <wp:extent cx="635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10500"/>
          </w:cols>
          <w:pgMar w:left="220" w:top="343" w:right="11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3"/>
          <w:szCs w:val="13"/>
          <w:b w:val="1"/>
          <w:bCs w:val="1"/>
          <w:color w:val="auto"/>
        </w:rPr>
        <w:t>Exhibit 3.4</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AMENDED AND RESTATED BYLAWS</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OF</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ind w:left="3140"/>
        <w:spacing w:after="0"/>
        <w:tabs>
          <w:tab w:leader="none" w:pos="5820" w:val="left"/>
        </w:tabs>
        <w:rPr>
          <w:sz w:val="20"/>
          <w:szCs w:val="20"/>
          <w:color w:val="auto"/>
        </w:rPr>
      </w:pPr>
      <w:r>
        <w:rPr>
          <w:rFonts w:ascii="Arial" w:cs="Arial" w:eastAsia="Arial" w:hAnsi="Arial"/>
          <w:sz w:val="13"/>
          <w:szCs w:val="13"/>
          <w:color w:val="auto"/>
        </w:rPr>
        <w:t>(amended and restated on</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288290</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wp:posOffset>
            </wp:positionV>
            <wp:extent cx="83185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14"/>
                <w:szCs w:val="14"/>
                <w:color w:val="auto"/>
              </w:rPr>
            </w:pPr>
          </w:p>
        </w:tc>
        <w:tc>
          <w:tcPr>
            <w:tcW w:w="7780" w:type="dxa"/>
            <w:vAlign w:val="bottom"/>
          </w:tcPr>
          <w:p>
            <w:pPr>
              <w:ind w:left="4040"/>
              <w:spacing w:after="0"/>
              <w:rPr>
                <w:sz w:val="20"/>
                <w:szCs w:val="20"/>
                <w:color w:val="auto"/>
              </w:rPr>
            </w:pPr>
            <w:r>
              <w:rPr>
                <w:rFonts w:ascii="Arial" w:cs="Arial" w:eastAsia="Arial" w:hAnsi="Arial"/>
                <w:sz w:val="13"/>
                <w:szCs w:val="13"/>
                <w:b w:val="1"/>
                <w:bCs w:val="1"/>
                <w:color w:val="auto"/>
              </w:rPr>
              <w:t>TABLE OF CONTENTS</w:t>
            </w: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86"/>
        </w:trPr>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Page</w:t>
            </w:r>
          </w:p>
        </w:tc>
      </w:tr>
      <w:tr>
        <w:trPr>
          <w:trHeight w:val="480"/>
        </w:trPr>
        <w:tc>
          <w:tcPr>
            <w:tcW w:w="8780" w:type="dxa"/>
            <w:vAlign w:val="bottom"/>
            <w:gridSpan w:val="2"/>
          </w:tcPr>
          <w:p>
            <w:pPr>
              <w:spacing w:after="0"/>
              <w:rPr>
                <w:sz w:val="20"/>
                <w:szCs w:val="20"/>
                <w:color w:val="auto"/>
              </w:rPr>
            </w:pPr>
            <w:r>
              <w:rPr>
                <w:rFonts w:ascii="Arial" w:cs="Arial" w:eastAsia="Arial" w:hAnsi="Arial"/>
                <w:sz w:val="13"/>
                <w:szCs w:val="13"/>
                <w:color w:val="auto"/>
              </w:rPr>
              <w:t>ARTICLE I — CORPORATE OFFICES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1.1</w:t>
            </w:r>
          </w:p>
        </w:tc>
        <w:tc>
          <w:tcPr>
            <w:tcW w:w="7780" w:type="dxa"/>
            <w:vAlign w:val="bottom"/>
          </w:tcPr>
          <w:p>
            <w:pPr>
              <w:ind w:left="280"/>
              <w:spacing w:after="0"/>
              <w:rPr>
                <w:sz w:val="20"/>
                <w:szCs w:val="20"/>
                <w:color w:val="auto"/>
              </w:rPr>
            </w:pPr>
            <w:r>
              <w:rPr>
                <w:rFonts w:ascii="Arial" w:cs="Arial" w:eastAsia="Arial" w:hAnsi="Arial"/>
                <w:sz w:val="13"/>
                <w:szCs w:val="13"/>
                <w:color w:val="auto"/>
              </w:rPr>
              <w:t>REGISTERED OFFICE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1.2</w:t>
            </w:r>
          </w:p>
        </w:tc>
        <w:tc>
          <w:tcPr>
            <w:tcW w:w="7780" w:type="dxa"/>
            <w:vAlign w:val="bottom"/>
          </w:tcPr>
          <w:p>
            <w:pPr>
              <w:ind w:left="280"/>
              <w:spacing w:after="0"/>
              <w:rPr>
                <w:sz w:val="20"/>
                <w:szCs w:val="20"/>
                <w:color w:val="auto"/>
              </w:rPr>
            </w:pPr>
            <w:r>
              <w:rPr>
                <w:rFonts w:ascii="Arial" w:cs="Arial" w:eastAsia="Arial" w:hAnsi="Arial"/>
                <w:sz w:val="13"/>
                <w:szCs w:val="13"/>
                <w:color w:val="auto"/>
              </w:rPr>
              <w:t>OTHER OFFICES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315"/>
        </w:trPr>
        <w:tc>
          <w:tcPr>
            <w:tcW w:w="8780" w:type="dxa"/>
            <w:vAlign w:val="bottom"/>
            <w:gridSpan w:val="2"/>
          </w:tcPr>
          <w:p>
            <w:pPr>
              <w:spacing w:after="0"/>
              <w:rPr>
                <w:sz w:val="20"/>
                <w:szCs w:val="20"/>
                <w:color w:val="auto"/>
              </w:rPr>
            </w:pPr>
            <w:r>
              <w:rPr>
                <w:rFonts w:ascii="Arial" w:cs="Arial" w:eastAsia="Arial" w:hAnsi="Arial"/>
                <w:sz w:val="13"/>
                <w:szCs w:val="13"/>
                <w:color w:val="auto"/>
              </w:rPr>
              <w:t>ARTICLE II — MEETINGS OF STOCKHOLDERS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2.1</w:t>
            </w:r>
          </w:p>
        </w:tc>
        <w:tc>
          <w:tcPr>
            <w:tcW w:w="7780" w:type="dxa"/>
            <w:vAlign w:val="bottom"/>
          </w:tcPr>
          <w:p>
            <w:pPr>
              <w:ind w:left="280"/>
              <w:spacing w:after="0"/>
              <w:rPr>
                <w:sz w:val="20"/>
                <w:szCs w:val="20"/>
                <w:color w:val="auto"/>
              </w:rPr>
            </w:pPr>
            <w:r>
              <w:rPr>
                <w:rFonts w:ascii="Arial" w:cs="Arial" w:eastAsia="Arial" w:hAnsi="Arial"/>
                <w:sz w:val="13"/>
                <w:szCs w:val="13"/>
                <w:color w:val="auto"/>
              </w:rPr>
              <w:t>PLACE OF MEETINGS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2.2</w:t>
            </w:r>
          </w:p>
        </w:tc>
        <w:tc>
          <w:tcPr>
            <w:tcW w:w="7780" w:type="dxa"/>
            <w:vAlign w:val="bottom"/>
          </w:tcPr>
          <w:p>
            <w:pPr>
              <w:ind w:left="280"/>
              <w:spacing w:after="0"/>
              <w:rPr>
                <w:sz w:val="20"/>
                <w:szCs w:val="20"/>
                <w:color w:val="auto"/>
              </w:rPr>
            </w:pPr>
            <w:r>
              <w:rPr>
                <w:rFonts w:ascii="Arial" w:cs="Arial" w:eastAsia="Arial" w:hAnsi="Arial"/>
                <w:sz w:val="13"/>
                <w:szCs w:val="13"/>
                <w:color w:val="auto"/>
              </w:rPr>
              <w:t>ANNUAL MEETING</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2.3</w:t>
            </w:r>
          </w:p>
        </w:tc>
        <w:tc>
          <w:tcPr>
            <w:tcW w:w="7780" w:type="dxa"/>
            <w:vAlign w:val="bottom"/>
          </w:tcPr>
          <w:p>
            <w:pPr>
              <w:ind w:left="280"/>
              <w:spacing w:after="0"/>
              <w:rPr>
                <w:sz w:val="20"/>
                <w:szCs w:val="20"/>
                <w:color w:val="auto"/>
              </w:rPr>
            </w:pPr>
            <w:r>
              <w:rPr>
                <w:rFonts w:ascii="Arial" w:cs="Arial" w:eastAsia="Arial" w:hAnsi="Arial"/>
                <w:sz w:val="13"/>
                <w:szCs w:val="13"/>
                <w:color w:val="auto"/>
              </w:rPr>
              <w:t>SPECIAL MEETING</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2.4</w:t>
            </w:r>
          </w:p>
        </w:tc>
        <w:tc>
          <w:tcPr>
            <w:tcW w:w="7780" w:type="dxa"/>
            <w:vAlign w:val="bottom"/>
          </w:tcPr>
          <w:p>
            <w:pPr>
              <w:ind w:left="280"/>
              <w:spacing w:after="0"/>
              <w:rPr>
                <w:sz w:val="20"/>
                <w:szCs w:val="20"/>
                <w:color w:val="auto"/>
              </w:rPr>
            </w:pPr>
            <w:r>
              <w:rPr>
                <w:rFonts w:ascii="Arial" w:cs="Arial" w:eastAsia="Arial" w:hAnsi="Arial"/>
                <w:sz w:val="13"/>
                <w:szCs w:val="13"/>
                <w:color w:val="auto"/>
              </w:rPr>
              <w:t>NOTICE OF STOCKHOLDERS’ MEETINGS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2.5</w:t>
            </w:r>
          </w:p>
        </w:tc>
        <w:tc>
          <w:tcPr>
            <w:tcW w:w="7780" w:type="dxa"/>
            <w:vAlign w:val="bottom"/>
          </w:tcPr>
          <w:p>
            <w:pPr>
              <w:ind w:left="280"/>
              <w:spacing w:after="0"/>
              <w:rPr>
                <w:sz w:val="20"/>
                <w:szCs w:val="20"/>
                <w:color w:val="auto"/>
              </w:rPr>
            </w:pPr>
            <w:r>
              <w:rPr>
                <w:rFonts w:ascii="Arial" w:cs="Arial" w:eastAsia="Arial" w:hAnsi="Arial"/>
                <w:sz w:val="13"/>
                <w:szCs w:val="13"/>
                <w:color w:val="auto"/>
              </w:rPr>
              <w:t>MANNER OF GIVING NOTICE; AFFIDAVIT OF NOTICE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2.6</w:t>
            </w:r>
          </w:p>
        </w:tc>
        <w:tc>
          <w:tcPr>
            <w:tcW w:w="7780" w:type="dxa"/>
            <w:vAlign w:val="bottom"/>
          </w:tcPr>
          <w:p>
            <w:pPr>
              <w:ind w:left="280"/>
              <w:spacing w:after="0"/>
              <w:rPr>
                <w:sz w:val="20"/>
                <w:szCs w:val="20"/>
                <w:color w:val="auto"/>
              </w:rPr>
            </w:pPr>
            <w:r>
              <w:rPr>
                <w:rFonts w:ascii="Arial" w:cs="Arial" w:eastAsia="Arial" w:hAnsi="Arial"/>
                <w:sz w:val="13"/>
                <w:szCs w:val="13"/>
                <w:color w:val="auto"/>
              </w:rPr>
              <w:t>QUORUM</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2.7</w:t>
            </w:r>
          </w:p>
        </w:tc>
        <w:tc>
          <w:tcPr>
            <w:tcW w:w="7780" w:type="dxa"/>
            <w:vAlign w:val="bottom"/>
          </w:tcPr>
          <w:p>
            <w:pPr>
              <w:ind w:left="280"/>
              <w:spacing w:after="0"/>
              <w:rPr>
                <w:sz w:val="20"/>
                <w:szCs w:val="20"/>
                <w:color w:val="auto"/>
              </w:rPr>
            </w:pPr>
            <w:r>
              <w:rPr>
                <w:rFonts w:ascii="Arial" w:cs="Arial" w:eastAsia="Arial" w:hAnsi="Arial"/>
                <w:sz w:val="13"/>
                <w:szCs w:val="13"/>
                <w:color w:val="auto"/>
              </w:rPr>
              <w:t>ADJOURNED MEETING; NOTICE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2.8</w:t>
            </w:r>
          </w:p>
        </w:tc>
        <w:tc>
          <w:tcPr>
            <w:tcW w:w="7780" w:type="dxa"/>
            <w:vAlign w:val="bottom"/>
          </w:tcPr>
          <w:p>
            <w:pPr>
              <w:ind w:left="280"/>
              <w:spacing w:after="0"/>
              <w:rPr>
                <w:sz w:val="20"/>
                <w:szCs w:val="20"/>
                <w:color w:val="auto"/>
              </w:rPr>
            </w:pPr>
            <w:r>
              <w:rPr>
                <w:rFonts w:ascii="Arial" w:cs="Arial" w:eastAsia="Arial" w:hAnsi="Arial"/>
                <w:sz w:val="13"/>
                <w:szCs w:val="13"/>
                <w:color w:val="auto"/>
              </w:rPr>
              <w:t>ADMINISTRATION OF THE MEETING</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2.9</w:t>
            </w:r>
          </w:p>
        </w:tc>
        <w:tc>
          <w:tcPr>
            <w:tcW w:w="7780" w:type="dxa"/>
            <w:vAlign w:val="bottom"/>
          </w:tcPr>
          <w:p>
            <w:pPr>
              <w:ind w:left="280"/>
              <w:spacing w:after="0"/>
              <w:rPr>
                <w:sz w:val="20"/>
                <w:szCs w:val="20"/>
                <w:color w:val="auto"/>
              </w:rPr>
            </w:pPr>
            <w:r>
              <w:rPr>
                <w:rFonts w:ascii="Arial" w:cs="Arial" w:eastAsia="Arial" w:hAnsi="Arial"/>
                <w:sz w:val="13"/>
                <w:szCs w:val="13"/>
                <w:color w:val="auto"/>
              </w:rPr>
              <w:t>VOTING</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4</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2.10</w:t>
            </w:r>
          </w:p>
        </w:tc>
        <w:tc>
          <w:tcPr>
            <w:tcW w:w="7780" w:type="dxa"/>
            <w:vAlign w:val="bottom"/>
          </w:tcPr>
          <w:p>
            <w:pPr>
              <w:ind w:left="280"/>
              <w:spacing w:after="0"/>
              <w:rPr>
                <w:sz w:val="20"/>
                <w:szCs w:val="20"/>
                <w:color w:val="auto"/>
              </w:rPr>
            </w:pPr>
            <w:r>
              <w:rPr>
                <w:rFonts w:ascii="Arial" w:cs="Arial" w:eastAsia="Arial" w:hAnsi="Arial"/>
                <w:sz w:val="13"/>
                <w:szCs w:val="13"/>
                <w:color w:val="auto"/>
              </w:rPr>
              <w:t>NO STOCKHOLDER ACTION BY WRITTEN CONSENT WITHOUT A MEETING</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4</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2.11</w:t>
            </w:r>
          </w:p>
        </w:tc>
        <w:tc>
          <w:tcPr>
            <w:tcW w:w="7780" w:type="dxa"/>
            <w:vAlign w:val="bottom"/>
          </w:tcPr>
          <w:p>
            <w:pPr>
              <w:ind w:left="280"/>
              <w:spacing w:after="0"/>
              <w:rPr>
                <w:sz w:val="20"/>
                <w:szCs w:val="20"/>
                <w:color w:val="auto"/>
              </w:rPr>
            </w:pPr>
            <w:r>
              <w:rPr>
                <w:rFonts w:ascii="Arial" w:cs="Arial" w:eastAsia="Arial" w:hAnsi="Arial"/>
                <w:sz w:val="13"/>
                <w:szCs w:val="13"/>
                <w:color w:val="auto"/>
              </w:rPr>
              <w:t>RECORD DATE FOR STOCKHOLDER NOTICE; VOTING; GIVING CONSENTS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5</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2.12</w:t>
            </w:r>
          </w:p>
        </w:tc>
        <w:tc>
          <w:tcPr>
            <w:tcW w:w="7780" w:type="dxa"/>
            <w:vAlign w:val="bottom"/>
          </w:tcPr>
          <w:p>
            <w:pPr>
              <w:ind w:left="280"/>
              <w:spacing w:after="0"/>
              <w:rPr>
                <w:sz w:val="20"/>
                <w:szCs w:val="20"/>
                <w:color w:val="auto"/>
              </w:rPr>
            </w:pPr>
            <w:r>
              <w:rPr>
                <w:rFonts w:ascii="Arial" w:cs="Arial" w:eastAsia="Arial" w:hAnsi="Arial"/>
                <w:sz w:val="13"/>
                <w:szCs w:val="13"/>
                <w:color w:val="auto"/>
              </w:rPr>
              <w:t>PROXIES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5</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2.13</w:t>
            </w:r>
          </w:p>
        </w:tc>
        <w:tc>
          <w:tcPr>
            <w:tcW w:w="7780" w:type="dxa"/>
            <w:vAlign w:val="bottom"/>
          </w:tcPr>
          <w:p>
            <w:pPr>
              <w:ind w:left="280"/>
              <w:spacing w:after="0"/>
              <w:rPr>
                <w:sz w:val="20"/>
                <w:szCs w:val="20"/>
                <w:color w:val="auto"/>
              </w:rPr>
            </w:pPr>
            <w:r>
              <w:rPr>
                <w:rFonts w:ascii="Arial" w:cs="Arial" w:eastAsia="Arial" w:hAnsi="Arial"/>
                <w:sz w:val="13"/>
                <w:szCs w:val="13"/>
                <w:color w:val="auto"/>
              </w:rPr>
              <w:t>LIST OF STOCKHOLDERS ENTITLED TO VOTE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6</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2.14</w:t>
            </w:r>
          </w:p>
        </w:tc>
        <w:tc>
          <w:tcPr>
            <w:tcW w:w="7780" w:type="dxa"/>
            <w:vAlign w:val="bottom"/>
          </w:tcPr>
          <w:p>
            <w:pPr>
              <w:ind w:left="280"/>
              <w:spacing w:after="0"/>
              <w:rPr>
                <w:sz w:val="20"/>
                <w:szCs w:val="20"/>
                <w:color w:val="auto"/>
              </w:rPr>
            </w:pPr>
            <w:r>
              <w:rPr>
                <w:rFonts w:ascii="Arial" w:cs="Arial" w:eastAsia="Arial" w:hAnsi="Arial"/>
                <w:sz w:val="13"/>
                <w:szCs w:val="13"/>
                <w:color w:val="auto"/>
              </w:rPr>
              <w:t>ADVANCE NOTICE OF STOCKHOLDER BUSINESS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6</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2.15</w:t>
            </w:r>
          </w:p>
        </w:tc>
        <w:tc>
          <w:tcPr>
            <w:tcW w:w="7780" w:type="dxa"/>
            <w:vAlign w:val="bottom"/>
          </w:tcPr>
          <w:p>
            <w:pPr>
              <w:ind w:left="280"/>
              <w:spacing w:after="0"/>
              <w:rPr>
                <w:sz w:val="20"/>
                <w:szCs w:val="20"/>
                <w:color w:val="auto"/>
              </w:rPr>
            </w:pPr>
            <w:r>
              <w:rPr>
                <w:rFonts w:ascii="Arial" w:cs="Arial" w:eastAsia="Arial" w:hAnsi="Arial"/>
                <w:sz w:val="13"/>
                <w:szCs w:val="13"/>
                <w:color w:val="auto"/>
              </w:rPr>
              <w:t>ADVANCE NOTICE OF DIRECTOR NOMINATIONS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7</w:t>
            </w:r>
          </w:p>
        </w:tc>
      </w:tr>
      <w:tr>
        <w:trPr>
          <w:trHeight w:val="315"/>
        </w:trPr>
        <w:tc>
          <w:tcPr>
            <w:tcW w:w="8780" w:type="dxa"/>
            <w:vAlign w:val="bottom"/>
            <w:gridSpan w:val="2"/>
          </w:tcPr>
          <w:p>
            <w:pPr>
              <w:spacing w:after="0"/>
              <w:rPr>
                <w:sz w:val="20"/>
                <w:szCs w:val="20"/>
                <w:color w:val="auto"/>
              </w:rPr>
            </w:pPr>
            <w:r>
              <w:rPr>
                <w:rFonts w:ascii="Arial" w:cs="Arial" w:eastAsia="Arial" w:hAnsi="Arial"/>
                <w:sz w:val="13"/>
                <w:szCs w:val="13"/>
                <w:color w:val="auto"/>
              </w:rPr>
              <w:t>ARTICLE III — DIRECTORS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8</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3.1</w:t>
            </w:r>
          </w:p>
        </w:tc>
        <w:tc>
          <w:tcPr>
            <w:tcW w:w="7780" w:type="dxa"/>
            <w:vAlign w:val="bottom"/>
          </w:tcPr>
          <w:p>
            <w:pPr>
              <w:ind w:left="280"/>
              <w:spacing w:after="0"/>
              <w:rPr>
                <w:sz w:val="20"/>
                <w:szCs w:val="20"/>
                <w:color w:val="auto"/>
              </w:rPr>
            </w:pPr>
            <w:r>
              <w:rPr>
                <w:rFonts w:ascii="Arial" w:cs="Arial" w:eastAsia="Arial" w:hAnsi="Arial"/>
                <w:sz w:val="13"/>
                <w:szCs w:val="13"/>
                <w:color w:val="auto"/>
              </w:rPr>
              <w:t>POWERS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8</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3.2</w:t>
            </w:r>
          </w:p>
        </w:tc>
        <w:tc>
          <w:tcPr>
            <w:tcW w:w="7780" w:type="dxa"/>
            <w:vAlign w:val="bottom"/>
          </w:tcPr>
          <w:p>
            <w:pPr>
              <w:ind w:left="280"/>
              <w:spacing w:after="0"/>
              <w:rPr>
                <w:sz w:val="20"/>
                <w:szCs w:val="20"/>
                <w:color w:val="auto"/>
              </w:rPr>
            </w:pPr>
            <w:r>
              <w:rPr>
                <w:rFonts w:ascii="Arial" w:cs="Arial" w:eastAsia="Arial" w:hAnsi="Arial"/>
                <w:sz w:val="13"/>
                <w:szCs w:val="13"/>
                <w:color w:val="auto"/>
              </w:rPr>
              <w:t>NUMBER OF DIRECTORS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8</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3.3</w:t>
            </w:r>
          </w:p>
        </w:tc>
        <w:tc>
          <w:tcPr>
            <w:tcW w:w="7780" w:type="dxa"/>
            <w:vAlign w:val="bottom"/>
          </w:tcPr>
          <w:p>
            <w:pPr>
              <w:ind w:left="280"/>
              <w:spacing w:after="0"/>
              <w:rPr>
                <w:sz w:val="20"/>
                <w:szCs w:val="20"/>
                <w:color w:val="auto"/>
              </w:rPr>
            </w:pPr>
            <w:r>
              <w:rPr>
                <w:rFonts w:ascii="Arial" w:cs="Arial" w:eastAsia="Arial" w:hAnsi="Arial"/>
                <w:sz w:val="13"/>
                <w:szCs w:val="13"/>
                <w:color w:val="auto"/>
              </w:rPr>
              <w:t>ELECTION, QUALIFICATION AND TERM OF OFFICE OF DIRECTORS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8</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3.4</w:t>
            </w:r>
          </w:p>
        </w:tc>
        <w:tc>
          <w:tcPr>
            <w:tcW w:w="7780" w:type="dxa"/>
            <w:vAlign w:val="bottom"/>
          </w:tcPr>
          <w:p>
            <w:pPr>
              <w:ind w:left="280"/>
              <w:spacing w:after="0"/>
              <w:rPr>
                <w:sz w:val="20"/>
                <w:szCs w:val="20"/>
                <w:color w:val="auto"/>
              </w:rPr>
            </w:pPr>
            <w:r>
              <w:rPr>
                <w:rFonts w:ascii="Arial" w:cs="Arial" w:eastAsia="Arial" w:hAnsi="Arial"/>
                <w:sz w:val="13"/>
                <w:szCs w:val="13"/>
                <w:color w:val="auto"/>
              </w:rPr>
              <w:t>RESIGNATION AND VACANCIES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9</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3.5</w:t>
            </w:r>
          </w:p>
        </w:tc>
        <w:tc>
          <w:tcPr>
            <w:tcW w:w="7780" w:type="dxa"/>
            <w:vAlign w:val="bottom"/>
          </w:tcPr>
          <w:p>
            <w:pPr>
              <w:ind w:left="280"/>
              <w:spacing w:after="0"/>
              <w:rPr>
                <w:sz w:val="20"/>
                <w:szCs w:val="20"/>
                <w:color w:val="auto"/>
              </w:rPr>
            </w:pPr>
            <w:r>
              <w:rPr>
                <w:rFonts w:ascii="Arial" w:cs="Arial" w:eastAsia="Arial" w:hAnsi="Arial"/>
                <w:sz w:val="13"/>
                <w:szCs w:val="13"/>
                <w:color w:val="auto"/>
              </w:rPr>
              <w:t>PLACE OF MEETINGS; MEETINGS BY TELEPHONE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9</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3.6</w:t>
            </w:r>
          </w:p>
        </w:tc>
        <w:tc>
          <w:tcPr>
            <w:tcW w:w="7780" w:type="dxa"/>
            <w:vAlign w:val="bottom"/>
          </w:tcPr>
          <w:p>
            <w:pPr>
              <w:ind w:left="280"/>
              <w:spacing w:after="0"/>
              <w:rPr>
                <w:sz w:val="20"/>
                <w:szCs w:val="20"/>
                <w:color w:val="auto"/>
              </w:rPr>
            </w:pPr>
            <w:r>
              <w:rPr>
                <w:rFonts w:ascii="Arial" w:cs="Arial" w:eastAsia="Arial" w:hAnsi="Arial"/>
                <w:sz w:val="13"/>
                <w:szCs w:val="13"/>
                <w:color w:val="auto"/>
              </w:rPr>
              <w:t>REGULAR MEETINGS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10</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3.7</w:t>
            </w:r>
          </w:p>
        </w:tc>
        <w:tc>
          <w:tcPr>
            <w:tcW w:w="7780" w:type="dxa"/>
            <w:vAlign w:val="bottom"/>
          </w:tcPr>
          <w:p>
            <w:pPr>
              <w:ind w:left="280"/>
              <w:spacing w:after="0"/>
              <w:rPr>
                <w:sz w:val="20"/>
                <w:szCs w:val="20"/>
                <w:color w:val="auto"/>
              </w:rPr>
            </w:pPr>
            <w:r>
              <w:rPr>
                <w:rFonts w:ascii="Arial" w:cs="Arial" w:eastAsia="Arial" w:hAnsi="Arial"/>
                <w:sz w:val="13"/>
                <w:szCs w:val="13"/>
                <w:color w:val="auto"/>
              </w:rPr>
              <w:t>SPECIAL MEETINGS; NOTICE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10</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3.8</w:t>
            </w:r>
          </w:p>
        </w:tc>
        <w:tc>
          <w:tcPr>
            <w:tcW w:w="7780" w:type="dxa"/>
            <w:vAlign w:val="bottom"/>
          </w:tcPr>
          <w:p>
            <w:pPr>
              <w:ind w:left="280"/>
              <w:spacing w:after="0"/>
              <w:rPr>
                <w:sz w:val="20"/>
                <w:szCs w:val="20"/>
                <w:color w:val="auto"/>
              </w:rPr>
            </w:pPr>
            <w:r>
              <w:rPr>
                <w:rFonts w:ascii="Arial" w:cs="Arial" w:eastAsia="Arial" w:hAnsi="Arial"/>
                <w:sz w:val="13"/>
                <w:szCs w:val="13"/>
                <w:color w:val="auto"/>
              </w:rPr>
              <w:t>QUORUM</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10</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3.9</w:t>
            </w:r>
          </w:p>
        </w:tc>
        <w:tc>
          <w:tcPr>
            <w:tcW w:w="7780" w:type="dxa"/>
            <w:vAlign w:val="bottom"/>
          </w:tcPr>
          <w:p>
            <w:pPr>
              <w:ind w:left="280"/>
              <w:spacing w:after="0"/>
              <w:rPr>
                <w:sz w:val="20"/>
                <w:szCs w:val="20"/>
                <w:color w:val="auto"/>
              </w:rPr>
            </w:pPr>
            <w:r>
              <w:rPr>
                <w:rFonts w:ascii="Arial" w:cs="Arial" w:eastAsia="Arial" w:hAnsi="Arial"/>
                <w:sz w:val="13"/>
                <w:szCs w:val="13"/>
                <w:color w:val="auto"/>
              </w:rPr>
              <w:t>WAIVER OF NOTICE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3.10</w:t>
            </w:r>
          </w:p>
        </w:tc>
        <w:tc>
          <w:tcPr>
            <w:tcW w:w="7780" w:type="dxa"/>
            <w:vAlign w:val="bottom"/>
          </w:tcPr>
          <w:p>
            <w:pPr>
              <w:ind w:left="280"/>
              <w:spacing w:after="0"/>
              <w:rPr>
                <w:sz w:val="20"/>
                <w:szCs w:val="20"/>
                <w:color w:val="auto"/>
              </w:rPr>
            </w:pPr>
            <w:r>
              <w:rPr>
                <w:rFonts w:ascii="Arial" w:cs="Arial" w:eastAsia="Arial" w:hAnsi="Arial"/>
                <w:sz w:val="13"/>
                <w:szCs w:val="13"/>
                <w:color w:val="auto"/>
              </w:rPr>
              <w:t>BOARD ACTION BY WRITTEN CONSENT WITHOUT A MEETING</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3.11</w:t>
            </w:r>
          </w:p>
        </w:tc>
        <w:tc>
          <w:tcPr>
            <w:tcW w:w="7780" w:type="dxa"/>
            <w:vAlign w:val="bottom"/>
          </w:tcPr>
          <w:p>
            <w:pPr>
              <w:ind w:left="280"/>
              <w:spacing w:after="0"/>
              <w:rPr>
                <w:sz w:val="20"/>
                <w:szCs w:val="20"/>
                <w:color w:val="auto"/>
              </w:rPr>
            </w:pPr>
            <w:r>
              <w:rPr>
                <w:rFonts w:ascii="Arial" w:cs="Arial" w:eastAsia="Arial" w:hAnsi="Arial"/>
                <w:sz w:val="13"/>
                <w:szCs w:val="13"/>
                <w:color w:val="auto"/>
              </w:rPr>
              <w:t>ADJOURNED MEETING; NOTICE</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3.12</w:t>
            </w:r>
          </w:p>
        </w:tc>
        <w:tc>
          <w:tcPr>
            <w:tcW w:w="7780" w:type="dxa"/>
            <w:vAlign w:val="bottom"/>
          </w:tcPr>
          <w:p>
            <w:pPr>
              <w:ind w:left="280"/>
              <w:spacing w:after="0"/>
              <w:rPr>
                <w:sz w:val="20"/>
                <w:szCs w:val="20"/>
                <w:color w:val="auto"/>
              </w:rPr>
            </w:pPr>
            <w:r>
              <w:rPr>
                <w:rFonts w:ascii="Arial" w:cs="Arial" w:eastAsia="Arial" w:hAnsi="Arial"/>
                <w:sz w:val="13"/>
                <w:szCs w:val="13"/>
                <w:color w:val="auto"/>
              </w:rPr>
              <w:t>FEES AND COMPENSATION OF DIRECTORS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11</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3.13</w:t>
            </w:r>
          </w:p>
        </w:tc>
        <w:tc>
          <w:tcPr>
            <w:tcW w:w="7780" w:type="dxa"/>
            <w:vAlign w:val="bottom"/>
          </w:tcPr>
          <w:p>
            <w:pPr>
              <w:ind w:left="280"/>
              <w:spacing w:after="0"/>
              <w:rPr>
                <w:sz w:val="20"/>
                <w:szCs w:val="20"/>
                <w:color w:val="auto"/>
              </w:rPr>
            </w:pPr>
            <w:r>
              <w:rPr>
                <w:rFonts w:ascii="Arial" w:cs="Arial" w:eastAsia="Arial" w:hAnsi="Arial"/>
                <w:sz w:val="13"/>
                <w:szCs w:val="13"/>
                <w:color w:val="auto"/>
              </w:rPr>
              <w:t>REMOVAL OF DIRECTORS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11</w:t>
            </w:r>
          </w:p>
        </w:tc>
      </w:tr>
      <w:tr>
        <w:trPr>
          <w:trHeight w:val="315"/>
        </w:trPr>
        <w:tc>
          <w:tcPr>
            <w:tcW w:w="8780" w:type="dxa"/>
            <w:vAlign w:val="bottom"/>
            <w:gridSpan w:val="2"/>
          </w:tcPr>
          <w:p>
            <w:pPr>
              <w:spacing w:after="0"/>
              <w:rPr>
                <w:sz w:val="20"/>
                <w:szCs w:val="20"/>
                <w:color w:val="auto"/>
              </w:rPr>
            </w:pPr>
            <w:r>
              <w:rPr>
                <w:rFonts w:ascii="Arial" w:cs="Arial" w:eastAsia="Arial" w:hAnsi="Arial"/>
                <w:sz w:val="13"/>
                <w:szCs w:val="13"/>
                <w:color w:val="auto"/>
              </w:rPr>
              <w:t>ARTICLE IV — COMMITTEES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12</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4.1</w:t>
            </w:r>
          </w:p>
        </w:tc>
        <w:tc>
          <w:tcPr>
            <w:tcW w:w="7780" w:type="dxa"/>
            <w:vAlign w:val="bottom"/>
          </w:tcPr>
          <w:p>
            <w:pPr>
              <w:ind w:left="280"/>
              <w:spacing w:after="0"/>
              <w:rPr>
                <w:sz w:val="20"/>
                <w:szCs w:val="20"/>
                <w:color w:val="auto"/>
              </w:rPr>
            </w:pPr>
            <w:r>
              <w:rPr>
                <w:rFonts w:ascii="Arial" w:cs="Arial" w:eastAsia="Arial" w:hAnsi="Arial"/>
                <w:sz w:val="13"/>
                <w:szCs w:val="13"/>
                <w:color w:val="auto"/>
              </w:rPr>
              <w:t>COMMITTEES OF DIRECTORS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4.2</w:t>
            </w:r>
          </w:p>
        </w:tc>
        <w:tc>
          <w:tcPr>
            <w:tcW w:w="7780" w:type="dxa"/>
            <w:vAlign w:val="bottom"/>
          </w:tcPr>
          <w:p>
            <w:pPr>
              <w:ind w:left="280"/>
              <w:spacing w:after="0"/>
              <w:rPr>
                <w:sz w:val="20"/>
                <w:szCs w:val="20"/>
                <w:color w:val="auto"/>
              </w:rPr>
            </w:pPr>
            <w:r>
              <w:rPr>
                <w:rFonts w:ascii="Arial" w:cs="Arial" w:eastAsia="Arial" w:hAnsi="Arial"/>
                <w:sz w:val="13"/>
                <w:szCs w:val="13"/>
                <w:color w:val="auto"/>
              </w:rPr>
              <w:t>COMMITTEE MINUTES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12</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4.3</w:t>
            </w:r>
          </w:p>
        </w:tc>
        <w:tc>
          <w:tcPr>
            <w:tcW w:w="7780" w:type="dxa"/>
            <w:vAlign w:val="bottom"/>
          </w:tcPr>
          <w:p>
            <w:pPr>
              <w:ind w:left="280"/>
              <w:spacing w:after="0"/>
              <w:rPr>
                <w:sz w:val="20"/>
                <w:szCs w:val="20"/>
                <w:color w:val="auto"/>
              </w:rPr>
            </w:pPr>
            <w:r>
              <w:rPr>
                <w:rFonts w:ascii="Arial" w:cs="Arial" w:eastAsia="Arial" w:hAnsi="Arial"/>
                <w:sz w:val="13"/>
                <w:szCs w:val="13"/>
                <w:color w:val="auto"/>
              </w:rPr>
              <w:t>MEETINGS AND ACTION OF COMMITTEES</w:t>
            </w:r>
          </w:p>
        </w:tc>
        <w:tc>
          <w:tcPr>
            <w:tcW w:w="2680" w:type="dxa"/>
            <w:vAlign w:val="bottom"/>
            <w:gridSpan w:val="2"/>
          </w:tcPr>
          <w:p>
            <w:pPr>
              <w:jc w:val="right"/>
              <w:ind w:right="154"/>
              <w:spacing w:after="0"/>
              <w:rPr>
                <w:sz w:val="20"/>
                <w:szCs w:val="20"/>
                <w:color w:val="auto"/>
              </w:rPr>
            </w:pPr>
            <w:r>
              <w:rPr>
                <w:rFonts w:ascii="Arial" w:cs="Arial" w:eastAsia="Arial" w:hAnsi="Arial"/>
                <w:sz w:val="13"/>
                <w:szCs w:val="13"/>
                <w:color w:val="auto"/>
              </w:rPr>
              <w:t>12</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14"/>
                <w:szCs w:val="14"/>
                <w:color w:val="auto"/>
              </w:rPr>
            </w:pPr>
          </w:p>
        </w:tc>
        <w:tc>
          <w:tcPr>
            <w:tcW w:w="9660" w:type="dxa"/>
            <w:vAlign w:val="bottom"/>
          </w:tcPr>
          <w:p>
            <w:pPr>
              <w:ind w:left="4040"/>
              <w:spacing w:after="0"/>
              <w:rPr>
                <w:sz w:val="20"/>
                <w:szCs w:val="20"/>
                <w:color w:val="auto"/>
              </w:rPr>
            </w:pPr>
            <w:r>
              <w:rPr>
                <w:rFonts w:ascii="Arial" w:cs="Arial" w:eastAsia="Arial" w:hAnsi="Arial"/>
                <w:sz w:val="13"/>
                <w:szCs w:val="13"/>
                <w:b w:val="1"/>
                <w:bCs w:val="1"/>
                <w:color w:val="auto"/>
              </w:rPr>
              <w:t>TABLE OF CONTENTS</w:t>
            </w:r>
          </w:p>
        </w:tc>
        <w:tc>
          <w:tcPr>
            <w:tcW w:w="800" w:type="dxa"/>
            <w:vAlign w:val="bottom"/>
          </w:tcPr>
          <w:p>
            <w:pPr>
              <w:spacing w:after="0"/>
              <w:rPr>
                <w:sz w:val="14"/>
                <w:szCs w:val="14"/>
                <w:color w:val="auto"/>
              </w:rPr>
            </w:pPr>
          </w:p>
        </w:tc>
      </w:tr>
      <w:tr>
        <w:trPr>
          <w:trHeight w:val="306"/>
        </w:trPr>
        <w:tc>
          <w:tcPr>
            <w:tcW w:w="100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color w:val="auto"/>
              </w:rPr>
              <w:t>Page</w:t>
            </w:r>
          </w:p>
        </w:tc>
      </w:tr>
      <w:tr>
        <w:trPr>
          <w:trHeight w:val="303"/>
        </w:trPr>
        <w:tc>
          <w:tcPr>
            <w:tcW w:w="10660" w:type="dxa"/>
            <w:vAlign w:val="bottom"/>
            <w:gridSpan w:val="2"/>
          </w:tcPr>
          <w:p>
            <w:pPr>
              <w:spacing w:after="0"/>
              <w:rPr>
                <w:sz w:val="20"/>
                <w:szCs w:val="20"/>
                <w:color w:val="auto"/>
              </w:rPr>
            </w:pPr>
            <w:r>
              <w:rPr>
                <w:rFonts w:ascii="Arial" w:cs="Arial" w:eastAsia="Arial" w:hAnsi="Arial"/>
                <w:sz w:val="13"/>
                <w:szCs w:val="13"/>
                <w:color w:val="auto"/>
              </w:rPr>
              <w:t>ARTICLE V — 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13</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5.1</w:t>
            </w:r>
          </w:p>
        </w:tc>
        <w:tc>
          <w:tcPr>
            <w:tcW w:w="9660" w:type="dxa"/>
            <w:vAlign w:val="bottom"/>
          </w:tcPr>
          <w:p>
            <w:pPr>
              <w:ind w:left="280"/>
              <w:spacing w:after="0"/>
              <w:rPr>
                <w:sz w:val="20"/>
                <w:szCs w:val="20"/>
                <w:color w:val="auto"/>
              </w:rPr>
            </w:pPr>
            <w:r>
              <w:rPr>
                <w:rFonts w:ascii="Arial" w:cs="Arial" w:eastAsia="Arial" w:hAnsi="Arial"/>
                <w:sz w:val="13"/>
                <w:szCs w:val="13"/>
                <w:color w:val="auto"/>
              </w:rPr>
              <w:t>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5.2</w:t>
            </w:r>
          </w:p>
        </w:tc>
        <w:tc>
          <w:tcPr>
            <w:tcW w:w="9660" w:type="dxa"/>
            <w:vAlign w:val="bottom"/>
          </w:tcPr>
          <w:p>
            <w:pPr>
              <w:ind w:left="280"/>
              <w:spacing w:after="0"/>
              <w:rPr>
                <w:sz w:val="20"/>
                <w:szCs w:val="20"/>
                <w:color w:val="auto"/>
              </w:rPr>
            </w:pPr>
            <w:r>
              <w:rPr>
                <w:rFonts w:ascii="Arial" w:cs="Arial" w:eastAsia="Arial" w:hAnsi="Arial"/>
                <w:sz w:val="13"/>
                <w:szCs w:val="13"/>
                <w:color w:val="auto"/>
              </w:rPr>
              <w:t>APPOINTMENT OF 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5.3</w:t>
            </w:r>
          </w:p>
        </w:tc>
        <w:tc>
          <w:tcPr>
            <w:tcW w:w="9660" w:type="dxa"/>
            <w:vAlign w:val="bottom"/>
          </w:tcPr>
          <w:p>
            <w:pPr>
              <w:ind w:left="280"/>
              <w:spacing w:after="0"/>
              <w:rPr>
                <w:sz w:val="20"/>
                <w:szCs w:val="20"/>
                <w:color w:val="auto"/>
              </w:rPr>
            </w:pPr>
            <w:r>
              <w:rPr>
                <w:rFonts w:ascii="Arial" w:cs="Arial" w:eastAsia="Arial" w:hAnsi="Arial"/>
                <w:sz w:val="13"/>
                <w:szCs w:val="13"/>
                <w:color w:val="auto"/>
              </w:rPr>
              <w:t>SUBORDINATE 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5.4</w:t>
            </w:r>
          </w:p>
        </w:tc>
        <w:tc>
          <w:tcPr>
            <w:tcW w:w="9660" w:type="dxa"/>
            <w:vAlign w:val="bottom"/>
          </w:tcPr>
          <w:p>
            <w:pPr>
              <w:ind w:left="280"/>
              <w:spacing w:after="0"/>
              <w:rPr>
                <w:sz w:val="20"/>
                <w:szCs w:val="20"/>
                <w:color w:val="auto"/>
              </w:rPr>
            </w:pPr>
            <w:r>
              <w:rPr>
                <w:rFonts w:ascii="Arial" w:cs="Arial" w:eastAsia="Arial" w:hAnsi="Arial"/>
                <w:sz w:val="13"/>
                <w:szCs w:val="13"/>
                <w:color w:val="auto"/>
              </w:rPr>
              <w:t>REMOVAL AND RESIGNATION OF 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5.5</w:t>
            </w:r>
          </w:p>
        </w:tc>
        <w:tc>
          <w:tcPr>
            <w:tcW w:w="9660" w:type="dxa"/>
            <w:vAlign w:val="bottom"/>
          </w:tcPr>
          <w:p>
            <w:pPr>
              <w:ind w:left="280"/>
              <w:spacing w:after="0"/>
              <w:rPr>
                <w:sz w:val="20"/>
                <w:szCs w:val="20"/>
                <w:color w:val="auto"/>
              </w:rPr>
            </w:pPr>
            <w:r>
              <w:rPr>
                <w:rFonts w:ascii="Arial" w:cs="Arial" w:eastAsia="Arial" w:hAnsi="Arial"/>
                <w:sz w:val="13"/>
                <w:szCs w:val="13"/>
                <w:color w:val="auto"/>
              </w:rPr>
              <w:t>VACANCIES IN OFFICES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14</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5.6</w:t>
            </w:r>
          </w:p>
        </w:tc>
        <w:tc>
          <w:tcPr>
            <w:tcW w:w="9660" w:type="dxa"/>
            <w:vAlign w:val="bottom"/>
          </w:tcPr>
          <w:p>
            <w:pPr>
              <w:ind w:left="280"/>
              <w:spacing w:after="0"/>
              <w:rPr>
                <w:sz w:val="20"/>
                <w:szCs w:val="20"/>
                <w:color w:val="auto"/>
              </w:rPr>
            </w:pPr>
            <w:r>
              <w:rPr>
                <w:rFonts w:ascii="Arial" w:cs="Arial" w:eastAsia="Arial" w:hAnsi="Arial"/>
                <w:sz w:val="13"/>
                <w:szCs w:val="13"/>
                <w:color w:val="auto"/>
              </w:rPr>
              <w:t>REPRESENTATION OF SHARES OF OTHER CORPORATIONS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14</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5.7</w:t>
            </w:r>
          </w:p>
        </w:tc>
        <w:tc>
          <w:tcPr>
            <w:tcW w:w="9660" w:type="dxa"/>
            <w:vAlign w:val="bottom"/>
          </w:tcPr>
          <w:p>
            <w:pPr>
              <w:ind w:left="280"/>
              <w:spacing w:after="0"/>
              <w:rPr>
                <w:sz w:val="20"/>
                <w:szCs w:val="20"/>
                <w:color w:val="auto"/>
              </w:rPr>
            </w:pPr>
            <w:r>
              <w:rPr>
                <w:rFonts w:ascii="Arial" w:cs="Arial" w:eastAsia="Arial" w:hAnsi="Arial"/>
                <w:sz w:val="13"/>
                <w:szCs w:val="13"/>
                <w:color w:val="auto"/>
              </w:rPr>
              <w:t>AUTHORITY AND DUTIES OF 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14</w:t>
            </w:r>
          </w:p>
        </w:tc>
      </w:tr>
      <w:tr>
        <w:trPr>
          <w:trHeight w:val="315"/>
        </w:trPr>
        <w:tc>
          <w:tcPr>
            <w:tcW w:w="10660" w:type="dxa"/>
            <w:vAlign w:val="bottom"/>
            <w:gridSpan w:val="2"/>
          </w:tcPr>
          <w:p>
            <w:pPr>
              <w:spacing w:after="0"/>
              <w:rPr>
                <w:sz w:val="20"/>
                <w:szCs w:val="20"/>
                <w:color w:val="auto"/>
              </w:rPr>
            </w:pPr>
            <w:r>
              <w:rPr>
                <w:rFonts w:ascii="Arial" w:cs="Arial" w:eastAsia="Arial" w:hAnsi="Arial"/>
                <w:sz w:val="13"/>
                <w:szCs w:val="13"/>
                <w:color w:val="auto"/>
              </w:rPr>
              <w:t>ARTICLE VI — RECORDS AND REPORTS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14</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6.1</w:t>
            </w:r>
          </w:p>
        </w:tc>
        <w:tc>
          <w:tcPr>
            <w:tcW w:w="9660" w:type="dxa"/>
            <w:vAlign w:val="bottom"/>
          </w:tcPr>
          <w:p>
            <w:pPr>
              <w:ind w:left="280"/>
              <w:spacing w:after="0"/>
              <w:rPr>
                <w:sz w:val="20"/>
                <w:szCs w:val="20"/>
                <w:color w:val="auto"/>
              </w:rPr>
            </w:pPr>
            <w:r>
              <w:rPr>
                <w:rFonts w:ascii="Arial" w:cs="Arial" w:eastAsia="Arial" w:hAnsi="Arial"/>
                <w:sz w:val="13"/>
                <w:szCs w:val="13"/>
                <w:color w:val="auto"/>
              </w:rPr>
              <w:t>MAINTENANCE AND INSPECTION OF RECORDS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14</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6.2</w:t>
            </w:r>
          </w:p>
        </w:tc>
        <w:tc>
          <w:tcPr>
            <w:tcW w:w="9660" w:type="dxa"/>
            <w:vAlign w:val="bottom"/>
          </w:tcPr>
          <w:p>
            <w:pPr>
              <w:ind w:left="280"/>
              <w:spacing w:after="0"/>
              <w:rPr>
                <w:sz w:val="20"/>
                <w:szCs w:val="20"/>
                <w:color w:val="auto"/>
              </w:rPr>
            </w:pPr>
            <w:r>
              <w:rPr>
                <w:rFonts w:ascii="Arial" w:cs="Arial" w:eastAsia="Arial" w:hAnsi="Arial"/>
                <w:sz w:val="13"/>
                <w:szCs w:val="13"/>
                <w:color w:val="auto"/>
              </w:rPr>
              <w:t>INSPECTION BY DIRECTORS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15</w:t>
            </w:r>
          </w:p>
        </w:tc>
      </w:tr>
      <w:tr>
        <w:trPr>
          <w:trHeight w:val="315"/>
        </w:trPr>
        <w:tc>
          <w:tcPr>
            <w:tcW w:w="10660" w:type="dxa"/>
            <w:vAlign w:val="bottom"/>
            <w:gridSpan w:val="2"/>
          </w:tcPr>
          <w:p>
            <w:pPr>
              <w:spacing w:after="0"/>
              <w:rPr>
                <w:sz w:val="20"/>
                <w:szCs w:val="20"/>
                <w:color w:val="auto"/>
              </w:rPr>
            </w:pPr>
            <w:r>
              <w:rPr>
                <w:rFonts w:ascii="Arial" w:cs="Arial" w:eastAsia="Arial" w:hAnsi="Arial"/>
                <w:sz w:val="13"/>
                <w:szCs w:val="13"/>
                <w:color w:val="auto"/>
              </w:rPr>
              <w:t>ARTICLE VII — GENERAL MATTERS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15</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7.1</w:t>
            </w:r>
          </w:p>
        </w:tc>
        <w:tc>
          <w:tcPr>
            <w:tcW w:w="9660" w:type="dxa"/>
            <w:vAlign w:val="bottom"/>
          </w:tcPr>
          <w:p>
            <w:pPr>
              <w:ind w:left="280"/>
              <w:spacing w:after="0"/>
              <w:rPr>
                <w:sz w:val="20"/>
                <w:szCs w:val="20"/>
                <w:color w:val="auto"/>
              </w:rPr>
            </w:pPr>
            <w:r>
              <w:rPr>
                <w:rFonts w:ascii="Arial" w:cs="Arial" w:eastAsia="Arial" w:hAnsi="Arial"/>
                <w:sz w:val="13"/>
                <w:szCs w:val="13"/>
                <w:color w:val="auto"/>
              </w:rPr>
              <w:t>CHECKS; DRAFTS; EVIDENCES OF INDEBTEDNESS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15</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7.2</w:t>
            </w:r>
          </w:p>
        </w:tc>
        <w:tc>
          <w:tcPr>
            <w:tcW w:w="9660" w:type="dxa"/>
            <w:vAlign w:val="bottom"/>
          </w:tcPr>
          <w:p>
            <w:pPr>
              <w:ind w:left="280"/>
              <w:spacing w:after="0"/>
              <w:rPr>
                <w:sz w:val="20"/>
                <w:szCs w:val="20"/>
                <w:color w:val="auto"/>
              </w:rPr>
            </w:pPr>
            <w:r>
              <w:rPr>
                <w:rFonts w:ascii="Arial" w:cs="Arial" w:eastAsia="Arial" w:hAnsi="Arial"/>
                <w:sz w:val="13"/>
                <w:szCs w:val="13"/>
                <w:color w:val="auto"/>
              </w:rPr>
              <w:t>EXECUTION OF CORPORATE CONTRACTS AND INSTRUMENTS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15</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7.3</w:t>
            </w:r>
          </w:p>
        </w:tc>
        <w:tc>
          <w:tcPr>
            <w:tcW w:w="9660" w:type="dxa"/>
            <w:vAlign w:val="bottom"/>
          </w:tcPr>
          <w:p>
            <w:pPr>
              <w:ind w:left="280"/>
              <w:spacing w:after="0"/>
              <w:rPr>
                <w:sz w:val="20"/>
                <w:szCs w:val="20"/>
                <w:color w:val="auto"/>
              </w:rPr>
            </w:pPr>
            <w:r>
              <w:rPr>
                <w:rFonts w:ascii="Arial" w:cs="Arial" w:eastAsia="Arial" w:hAnsi="Arial"/>
                <w:sz w:val="13"/>
                <w:szCs w:val="13"/>
                <w:color w:val="auto"/>
              </w:rPr>
              <w:t>STOCK CERTIFICATES; PARTLY PAID SHARES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15</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7.4</w:t>
            </w:r>
          </w:p>
        </w:tc>
        <w:tc>
          <w:tcPr>
            <w:tcW w:w="9660" w:type="dxa"/>
            <w:vAlign w:val="bottom"/>
          </w:tcPr>
          <w:p>
            <w:pPr>
              <w:ind w:left="280"/>
              <w:spacing w:after="0"/>
              <w:rPr>
                <w:sz w:val="20"/>
                <w:szCs w:val="20"/>
                <w:color w:val="auto"/>
              </w:rPr>
            </w:pPr>
            <w:r>
              <w:rPr>
                <w:rFonts w:ascii="Arial" w:cs="Arial" w:eastAsia="Arial" w:hAnsi="Arial"/>
                <w:sz w:val="13"/>
                <w:szCs w:val="13"/>
                <w:color w:val="auto"/>
              </w:rPr>
              <w:t>SPECIAL DESIGNATION ON CERTIFICATES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16</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7.5</w:t>
            </w:r>
          </w:p>
        </w:tc>
        <w:tc>
          <w:tcPr>
            <w:tcW w:w="9660" w:type="dxa"/>
            <w:vAlign w:val="bottom"/>
          </w:tcPr>
          <w:p>
            <w:pPr>
              <w:ind w:left="280"/>
              <w:spacing w:after="0"/>
              <w:rPr>
                <w:sz w:val="20"/>
                <w:szCs w:val="20"/>
                <w:color w:val="auto"/>
              </w:rPr>
            </w:pPr>
            <w:r>
              <w:rPr>
                <w:rFonts w:ascii="Arial" w:cs="Arial" w:eastAsia="Arial" w:hAnsi="Arial"/>
                <w:sz w:val="13"/>
                <w:szCs w:val="13"/>
                <w:color w:val="auto"/>
              </w:rPr>
              <w:t>LOST CERTIFICATES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16</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7.6</w:t>
            </w:r>
          </w:p>
        </w:tc>
        <w:tc>
          <w:tcPr>
            <w:tcW w:w="9660" w:type="dxa"/>
            <w:vAlign w:val="bottom"/>
          </w:tcPr>
          <w:p>
            <w:pPr>
              <w:ind w:left="280"/>
              <w:spacing w:after="0"/>
              <w:rPr>
                <w:sz w:val="20"/>
                <w:szCs w:val="20"/>
                <w:color w:val="auto"/>
              </w:rPr>
            </w:pPr>
            <w:r>
              <w:rPr>
                <w:rFonts w:ascii="Arial" w:cs="Arial" w:eastAsia="Arial" w:hAnsi="Arial"/>
                <w:sz w:val="13"/>
                <w:szCs w:val="13"/>
                <w:color w:val="auto"/>
              </w:rPr>
              <w:t>DIVIDENDS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16</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7.7</w:t>
            </w:r>
          </w:p>
        </w:tc>
        <w:tc>
          <w:tcPr>
            <w:tcW w:w="9660" w:type="dxa"/>
            <w:vAlign w:val="bottom"/>
          </w:tcPr>
          <w:p>
            <w:pPr>
              <w:ind w:left="280"/>
              <w:spacing w:after="0"/>
              <w:rPr>
                <w:sz w:val="20"/>
                <w:szCs w:val="20"/>
                <w:color w:val="auto"/>
              </w:rPr>
            </w:pPr>
            <w:r>
              <w:rPr>
                <w:rFonts w:ascii="Arial" w:cs="Arial" w:eastAsia="Arial" w:hAnsi="Arial"/>
                <w:sz w:val="13"/>
                <w:szCs w:val="13"/>
                <w:color w:val="auto"/>
              </w:rPr>
              <w:t>FISCAL YEAR</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16</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7.8</w:t>
            </w:r>
          </w:p>
        </w:tc>
        <w:tc>
          <w:tcPr>
            <w:tcW w:w="9660" w:type="dxa"/>
            <w:vAlign w:val="bottom"/>
          </w:tcPr>
          <w:p>
            <w:pPr>
              <w:ind w:left="280"/>
              <w:spacing w:after="0"/>
              <w:rPr>
                <w:sz w:val="20"/>
                <w:szCs w:val="20"/>
                <w:color w:val="auto"/>
              </w:rPr>
            </w:pPr>
            <w:r>
              <w:rPr>
                <w:rFonts w:ascii="Arial" w:cs="Arial" w:eastAsia="Arial" w:hAnsi="Arial"/>
                <w:sz w:val="13"/>
                <w:szCs w:val="13"/>
                <w:color w:val="auto"/>
              </w:rPr>
              <w:t>SEAL</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17</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7.9</w:t>
            </w:r>
          </w:p>
        </w:tc>
        <w:tc>
          <w:tcPr>
            <w:tcW w:w="9660" w:type="dxa"/>
            <w:vAlign w:val="bottom"/>
          </w:tcPr>
          <w:p>
            <w:pPr>
              <w:ind w:left="280"/>
              <w:spacing w:after="0"/>
              <w:rPr>
                <w:sz w:val="20"/>
                <w:szCs w:val="20"/>
                <w:color w:val="auto"/>
              </w:rPr>
            </w:pPr>
            <w:r>
              <w:rPr>
                <w:rFonts w:ascii="Arial" w:cs="Arial" w:eastAsia="Arial" w:hAnsi="Arial"/>
                <w:sz w:val="13"/>
                <w:szCs w:val="13"/>
                <w:color w:val="auto"/>
              </w:rPr>
              <w:t>TRANSFER OF STOCK</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17</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7.10</w:t>
            </w:r>
          </w:p>
        </w:tc>
        <w:tc>
          <w:tcPr>
            <w:tcW w:w="9660" w:type="dxa"/>
            <w:vAlign w:val="bottom"/>
          </w:tcPr>
          <w:p>
            <w:pPr>
              <w:ind w:left="280"/>
              <w:spacing w:after="0"/>
              <w:rPr>
                <w:sz w:val="20"/>
                <w:szCs w:val="20"/>
                <w:color w:val="auto"/>
              </w:rPr>
            </w:pPr>
            <w:r>
              <w:rPr>
                <w:rFonts w:ascii="Arial" w:cs="Arial" w:eastAsia="Arial" w:hAnsi="Arial"/>
                <w:sz w:val="13"/>
                <w:szCs w:val="13"/>
                <w:color w:val="auto"/>
              </w:rPr>
              <w:t>STOCK TRANSFER AGREEMENTS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17</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7.11</w:t>
            </w:r>
          </w:p>
        </w:tc>
        <w:tc>
          <w:tcPr>
            <w:tcW w:w="9660" w:type="dxa"/>
            <w:vAlign w:val="bottom"/>
          </w:tcPr>
          <w:p>
            <w:pPr>
              <w:ind w:left="280"/>
              <w:spacing w:after="0"/>
              <w:rPr>
                <w:sz w:val="20"/>
                <w:szCs w:val="20"/>
                <w:color w:val="auto"/>
              </w:rPr>
            </w:pPr>
            <w:r>
              <w:rPr>
                <w:rFonts w:ascii="Arial" w:cs="Arial" w:eastAsia="Arial" w:hAnsi="Arial"/>
                <w:sz w:val="13"/>
                <w:szCs w:val="13"/>
                <w:color w:val="auto"/>
              </w:rPr>
              <w:t>REGISTERED STOCKHOLDERS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17</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7.12</w:t>
            </w:r>
          </w:p>
        </w:tc>
        <w:tc>
          <w:tcPr>
            <w:tcW w:w="9660" w:type="dxa"/>
            <w:vAlign w:val="bottom"/>
          </w:tcPr>
          <w:p>
            <w:pPr>
              <w:ind w:left="280"/>
              <w:spacing w:after="0"/>
              <w:rPr>
                <w:sz w:val="20"/>
                <w:szCs w:val="20"/>
                <w:color w:val="auto"/>
              </w:rPr>
            </w:pPr>
            <w:r>
              <w:rPr>
                <w:rFonts w:ascii="Arial" w:cs="Arial" w:eastAsia="Arial" w:hAnsi="Arial"/>
                <w:sz w:val="13"/>
                <w:szCs w:val="13"/>
                <w:color w:val="auto"/>
              </w:rPr>
              <w:t>WAIVER OF NOTICE</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17</w:t>
            </w:r>
          </w:p>
        </w:tc>
      </w:tr>
      <w:tr>
        <w:trPr>
          <w:trHeight w:val="315"/>
        </w:trPr>
        <w:tc>
          <w:tcPr>
            <w:tcW w:w="10660" w:type="dxa"/>
            <w:vAlign w:val="bottom"/>
            <w:gridSpan w:val="2"/>
          </w:tcPr>
          <w:p>
            <w:pPr>
              <w:spacing w:after="0"/>
              <w:rPr>
                <w:sz w:val="20"/>
                <w:szCs w:val="20"/>
                <w:color w:val="auto"/>
              </w:rPr>
            </w:pPr>
            <w:r>
              <w:rPr>
                <w:rFonts w:ascii="Arial" w:cs="Arial" w:eastAsia="Arial" w:hAnsi="Arial"/>
                <w:sz w:val="13"/>
                <w:szCs w:val="13"/>
                <w:color w:val="auto"/>
              </w:rPr>
              <w:t>ARTICLE VIII — NOTICE BY ELECTRONIC TRANSMISSION</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18</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8.1</w:t>
            </w:r>
          </w:p>
        </w:tc>
        <w:tc>
          <w:tcPr>
            <w:tcW w:w="9660" w:type="dxa"/>
            <w:vAlign w:val="bottom"/>
          </w:tcPr>
          <w:p>
            <w:pPr>
              <w:ind w:left="280"/>
              <w:spacing w:after="0"/>
              <w:rPr>
                <w:sz w:val="20"/>
                <w:szCs w:val="20"/>
                <w:color w:val="auto"/>
              </w:rPr>
            </w:pPr>
            <w:r>
              <w:rPr>
                <w:rFonts w:ascii="Arial" w:cs="Arial" w:eastAsia="Arial" w:hAnsi="Arial"/>
                <w:sz w:val="13"/>
                <w:szCs w:val="13"/>
                <w:color w:val="auto"/>
              </w:rPr>
              <w:t>NOTICE BY ELECTRONIC TRANSMISSION</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18</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8.2</w:t>
            </w:r>
          </w:p>
        </w:tc>
        <w:tc>
          <w:tcPr>
            <w:tcW w:w="9660" w:type="dxa"/>
            <w:vAlign w:val="bottom"/>
          </w:tcPr>
          <w:p>
            <w:pPr>
              <w:ind w:left="280"/>
              <w:spacing w:after="0"/>
              <w:rPr>
                <w:sz w:val="20"/>
                <w:szCs w:val="20"/>
                <w:color w:val="auto"/>
              </w:rPr>
            </w:pPr>
            <w:r>
              <w:rPr>
                <w:rFonts w:ascii="Arial" w:cs="Arial" w:eastAsia="Arial" w:hAnsi="Arial"/>
                <w:sz w:val="13"/>
                <w:szCs w:val="13"/>
                <w:color w:val="auto"/>
              </w:rPr>
              <w:t>DEFINITION OF ELECTRONIC TRANSMISSION</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18</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8.3</w:t>
            </w:r>
          </w:p>
        </w:tc>
        <w:tc>
          <w:tcPr>
            <w:tcW w:w="9660" w:type="dxa"/>
            <w:vAlign w:val="bottom"/>
          </w:tcPr>
          <w:p>
            <w:pPr>
              <w:ind w:left="280"/>
              <w:spacing w:after="0"/>
              <w:rPr>
                <w:sz w:val="20"/>
                <w:szCs w:val="20"/>
                <w:color w:val="auto"/>
              </w:rPr>
            </w:pPr>
            <w:r>
              <w:rPr>
                <w:rFonts w:ascii="Arial" w:cs="Arial" w:eastAsia="Arial" w:hAnsi="Arial"/>
                <w:sz w:val="13"/>
                <w:szCs w:val="13"/>
                <w:color w:val="auto"/>
              </w:rPr>
              <w:t>INAPPLICABILITY</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19</w:t>
            </w:r>
          </w:p>
        </w:tc>
      </w:tr>
      <w:tr>
        <w:trPr>
          <w:trHeight w:val="315"/>
        </w:trPr>
        <w:tc>
          <w:tcPr>
            <w:tcW w:w="10660" w:type="dxa"/>
            <w:vAlign w:val="bottom"/>
            <w:gridSpan w:val="2"/>
          </w:tcPr>
          <w:p>
            <w:pPr>
              <w:spacing w:after="0"/>
              <w:rPr>
                <w:sz w:val="20"/>
                <w:szCs w:val="20"/>
                <w:color w:val="auto"/>
              </w:rPr>
            </w:pPr>
            <w:r>
              <w:rPr>
                <w:rFonts w:ascii="Arial" w:cs="Arial" w:eastAsia="Arial" w:hAnsi="Arial"/>
                <w:sz w:val="13"/>
                <w:szCs w:val="13"/>
                <w:color w:val="auto"/>
              </w:rPr>
              <w:t>ARTICLE IX — INDEMNIFICATION OF DIRECTORS AND OFFICERS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19</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9.1</w:t>
            </w:r>
          </w:p>
        </w:tc>
        <w:tc>
          <w:tcPr>
            <w:tcW w:w="9660" w:type="dxa"/>
            <w:vAlign w:val="bottom"/>
          </w:tcPr>
          <w:p>
            <w:pPr>
              <w:ind w:left="280"/>
              <w:spacing w:after="0"/>
              <w:rPr>
                <w:sz w:val="20"/>
                <w:szCs w:val="20"/>
                <w:color w:val="auto"/>
              </w:rPr>
            </w:pPr>
            <w:r>
              <w:rPr>
                <w:rFonts w:ascii="Arial" w:cs="Arial" w:eastAsia="Arial" w:hAnsi="Arial"/>
                <w:sz w:val="13"/>
                <w:szCs w:val="13"/>
                <w:color w:val="auto"/>
              </w:rPr>
              <w:t>POWER TO INDEMNIFY IN ACTIONS, SUITS OR PROCEEDINGS OTHER THAN THOSE BY</w:t>
            </w:r>
          </w:p>
        </w:tc>
        <w:tc>
          <w:tcPr>
            <w:tcW w:w="800" w:type="dxa"/>
            <w:vAlign w:val="bottom"/>
          </w:tcPr>
          <w:p>
            <w:pPr>
              <w:spacing w:after="0"/>
              <w:rPr>
                <w:sz w:val="24"/>
                <w:szCs w:val="24"/>
                <w:color w:val="auto"/>
              </w:rPr>
            </w:pPr>
          </w:p>
        </w:tc>
      </w:tr>
      <w:tr>
        <w:trPr>
          <w:trHeight w:val="157"/>
        </w:trPr>
        <w:tc>
          <w:tcPr>
            <w:tcW w:w="1000" w:type="dxa"/>
            <w:vAlign w:val="bottom"/>
          </w:tcPr>
          <w:p>
            <w:pPr>
              <w:spacing w:after="0"/>
              <w:rPr>
                <w:sz w:val="13"/>
                <w:szCs w:val="13"/>
                <w:color w:val="auto"/>
              </w:rPr>
            </w:pPr>
          </w:p>
        </w:tc>
        <w:tc>
          <w:tcPr>
            <w:tcW w:w="9660" w:type="dxa"/>
            <w:vAlign w:val="bottom"/>
          </w:tcPr>
          <w:p>
            <w:pPr>
              <w:ind w:left="280"/>
              <w:spacing w:after="0"/>
              <w:rPr>
                <w:sz w:val="20"/>
                <w:szCs w:val="20"/>
                <w:color w:val="auto"/>
              </w:rPr>
            </w:pPr>
            <w:r>
              <w:rPr>
                <w:rFonts w:ascii="Arial" w:cs="Arial" w:eastAsia="Arial" w:hAnsi="Arial"/>
                <w:sz w:val="13"/>
                <w:szCs w:val="13"/>
                <w:color w:val="auto"/>
              </w:rPr>
              <w:t>OR IN THE RIGHT OF THE CORPORATION</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19</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9.2</w:t>
            </w:r>
          </w:p>
        </w:tc>
        <w:tc>
          <w:tcPr>
            <w:tcW w:w="9660" w:type="dxa"/>
            <w:vAlign w:val="bottom"/>
          </w:tcPr>
          <w:p>
            <w:pPr>
              <w:ind w:left="280"/>
              <w:spacing w:after="0"/>
              <w:rPr>
                <w:sz w:val="20"/>
                <w:szCs w:val="20"/>
                <w:color w:val="auto"/>
              </w:rPr>
            </w:pPr>
            <w:r>
              <w:rPr>
                <w:rFonts w:ascii="Arial" w:cs="Arial" w:eastAsia="Arial" w:hAnsi="Arial"/>
                <w:sz w:val="13"/>
                <w:szCs w:val="13"/>
                <w:color w:val="auto"/>
              </w:rPr>
              <w:t>POWER TO INDEMNIFY IN ACTIONS, SUITS OR PROCEEDINGS BY OR IN THE RIGHT</w:t>
            </w:r>
          </w:p>
        </w:tc>
        <w:tc>
          <w:tcPr>
            <w:tcW w:w="800" w:type="dxa"/>
            <w:vAlign w:val="bottom"/>
          </w:tcPr>
          <w:p>
            <w:pPr>
              <w:spacing w:after="0"/>
              <w:rPr>
                <w:sz w:val="13"/>
                <w:szCs w:val="13"/>
                <w:color w:val="auto"/>
              </w:rPr>
            </w:pPr>
          </w:p>
        </w:tc>
      </w:tr>
      <w:tr>
        <w:trPr>
          <w:trHeight w:val="157"/>
        </w:trPr>
        <w:tc>
          <w:tcPr>
            <w:tcW w:w="1000" w:type="dxa"/>
            <w:vAlign w:val="bottom"/>
          </w:tcPr>
          <w:p>
            <w:pPr>
              <w:spacing w:after="0"/>
              <w:rPr>
                <w:sz w:val="13"/>
                <w:szCs w:val="13"/>
                <w:color w:val="auto"/>
              </w:rPr>
            </w:pPr>
          </w:p>
        </w:tc>
        <w:tc>
          <w:tcPr>
            <w:tcW w:w="9660" w:type="dxa"/>
            <w:vAlign w:val="bottom"/>
          </w:tcPr>
          <w:p>
            <w:pPr>
              <w:ind w:left="280"/>
              <w:spacing w:after="0"/>
              <w:rPr>
                <w:sz w:val="20"/>
                <w:szCs w:val="20"/>
                <w:color w:val="auto"/>
              </w:rPr>
            </w:pPr>
            <w:r>
              <w:rPr>
                <w:rFonts w:ascii="Arial" w:cs="Arial" w:eastAsia="Arial" w:hAnsi="Arial"/>
                <w:sz w:val="13"/>
                <w:szCs w:val="13"/>
                <w:color w:val="auto"/>
              </w:rPr>
              <w:t>OF THE CORPORATION</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19</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9.3</w:t>
            </w:r>
          </w:p>
        </w:tc>
        <w:tc>
          <w:tcPr>
            <w:tcW w:w="9660" w:type="dxa"/>
            <w:vAlign w:val="bottom"/>
          </w:tcPr>
          <w:p>
            <w:pPr>
              <w:ind w:left="280"/>
              <w:spacing w:after="0"/>
              <w:rPr>
                <w:sz w:val="20"/>
                <w:szCs w:val="20"/>
                <w:color w:val="auto"/>
              </w:rPr>
            </w:pPr>
            <w:r>
              <w:rPr>
                <w:rFonts w:ascii="Arial" w:cs="Arial" w:eastAsia="Arial" w:hAnsi="Arial"/>
                <w:sz w:val="13"/>
                <w:szCs w:val="13"/>
                <w:color w:val="auto"/>
              </w:rPr>
              <w:t>AUTHORIZATION OF INDEMNIFICATION</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20</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9.4</w:t>
            </w:r>
          </w:p>
        </w:tc>
        <w:tc>
          <w:tcPr>
            <w:tcW w:w="9660" w:type="dxa"/>
            <w:vAlign w:val="bottom"/>
          </w:tcPr>
          <w:p>
            <w:pPr>
              <w:ind w:left="280"/>
              <w:spacing w:after="0"/>
              <w:rPr>
                <w:sz w:val="20"/>
                <w:szCs w:val="20"/>
                <w:color w:val="auto"/>
              </w:rPr>
            </w:pPr>
            <w:r>
              <w:rPr>
                <w:rFonts w:ascii="Arial" w:cs="Arial" w:eastAsia="Arial" w:hAnsi="Arial"/>
                <w:sz w:val="13"/>
                <w:szCs w:val="13"/>
                <w:color w:val="auto"/>
              </w:rPr>
              <w:t>GOOD FAITH DEFINED</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20</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9.5</w:t>
            </w:r>
          </w:p>
        </w:tc>
        <w:tc>
          <w:tcPr>
            <w:tcW w:w="9660" w:type="dxa"/>
            <w:vAlign w:val="bottom"/>
          </w:tcPr>
          <w:p>
            <w:pPr>
              <w:ind w:left="280"/>
              <w:spacing w:after="0"/>
              <w:rPr>
                <w:sz w:val="20"/>
                <w:szCs w:val="20"/>
                <w:color w:val="auto"/>
              </w:rPr>
            </w:pPr>
            <w:r>
              <w:rPr>
                <w:rFonts w:ascii="Arial" w:cs="Arial" w:eastAsia="Arial" w:hAnsi="Arial"/>
                <w:sz w:val="13"/>
                <w:szCs w:val="13"/>
                <w:color w:val="auto"/>
              </w:rPr>
              <w:t>INDEMNIFICATION BY A COURT</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21</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9.6</w:t>
            </w:r>
          </w:p>
        </w:tc>
        <w:tc>
          <w:tcPr>
            <w:tcW w:w="9660" w:type="dxa"/>
            <w:vAlign w:val="bottom"/>
          </w:tcPr>
          <w:p>
            <w:pPr>
              <w:ind w:left="280"/>
              <w:spacing w:after="0"/>
              <w:rPr>
                <w:sz w:val="20"/>
                <w:szCs w:val="20"/>
                <w:color w:val="auto"/>
              </w:rPr>
            </w:pPr>
            <w:r>
              <w:rPr>
                <w:rFonts w:ascii="Arial" w:cs="Arial" w:eastAsia="Arial" w:hAnsi="Arial"/>
                <w:sz w:val="13"/>
                <w:szCs w:val="13"/>
                <w:color w:val="auto"/>
              </w:rPr>
              <w:t>EXPENSES PAYABLE IN ADVANCE</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21</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9.7</w:t>
            </w:r>
          </w:p>
        </w:tc>
        <w:tc>
          <w:tcPr>
            <w:tcW w:w="9660" w:type="dxa"/>
            <w:vAlign w:val="bottom"/>
          </w:tcPr>
          <w:p>
            <w:pPr>
              <w:ind w:left="280"/>
              <w:spacing w:after="0"/>
              <w:rPr>
                <w:sz w:val="20"/>
                <w:szCs w:val="20"/>
                <w:color w:val="auto"/>
              </w:rPr>
            </w:pPr>
            <w:r>
              <w:rPr>
                <w:rFonts w:ascii="Arial" w:cs="Arial" w:eastAsia="Arial" w:hAnsi="Arial"/>
                <w:sz w:val="13"/>
                <w:szCs w:val="13"/>
                <w:color w:val="auto"/>
              </w:rPr>
              <w:t>NONEXCLUSIVITY OF INDEMNIFICATION AND ADVANCEMENT OF EXPENSES</w:t>
            </w:r>
          </w:p>
        </w:tc>
        <w:tc>
          <w:tcPr>
            <w:tcW w:w="800" w:type="dxa"/>
            <w:vAlign w:val="bottom"/>
          </w:tcPr>
          <w:p>
            <w:pPr>
              <w:jc w:val="right"/>
              <w:ind w:right="155"/>
              <w:spacing w:after="0"/>
              <w:rPr>
                <w:sz w:val="20"/>
                <w:szCs w:val="20"/>
                <w:color w:val="auto"/>
              </w:rPr>
            </w:pPr>
            <w:r>
              <w:rPr>
                <w:rFonts w:ascii="Arial" w:cs="Arial" w:eastAsia="Arial" w:hAnsi="Arial"/>
                <w:sz w:val="13"/>
                <w:szCs w:val="13"/>
                <w:color w:val="auto"/>
              </w:rPr>
              <w:t>21</w:t>
            </w:r>
          </w:p>
        </w:tc>
      </w:tr>
      <w:tr>
        <w:trPr>
          <w:trHeight w:val="458"/>
        </w:trPr>
        <w:tc>
          <w:tcPr>
            <w:tcW w:w="100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3"/>
          <w:szCs w:val="13"/>
          <w:b w:val="1"/>
          <w:b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000" w:type="dxa"/>
            <w:vAlign w:val="bottom"/>
          </w:tcPr>
          <w:p>
            <w:pPr>
              <w:spacing w:after="0"/>
              <w:rPr>
                <w:sz w:val="10"/>
                <w:szCs w:val="10"/>
                <w:color w:val="auto"/>
              </w:rPr>
            </w:pPr>
          </w:p>
        </w:tc>
        <w:tc>
          <w:tcPr>
            <w:tcW w:w="9660" w:type="dxa"/>
            <w:vAlign w:val="bottom"/>
          </w:tcPr>
          <w:p>
            <w:pPr>
              <w:spacing w:after="0"/>
              <w:rPr>
                <w:sz w:val="10"/>
                <w:szCs w:val="10"/>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color w:val="auto"/>
              </w:rPr>
              <w:t>Page</w:t>
            </w:r>
          </w:p>
        </w:tc>
      </w:tr>
      <w:tr>
        <w:trPr>
          <w:trHeight w:val="296"/>
        </w:trPr>
        <w:tc>
          <w:tcPr>
            <w:tcW w:w="1000" w:type="dxa"/>
            <w:vAlign w:val="bottom"/>
          </w:tcPr>
          <w:p>
            <w:pPr>
              <w:ind w:left="480"/>
              <w:spacing w:after="0"/>
              <w:rPr>
                <w:sz w:val="20"/>
                <w:szCs w:val="20"/>
                <w:color w:val="auto"/>
              </w:rPr>
            </w:pPr>
            <w:r>
              <w:rPr>
                <w:rFonts w:ascii="Arial" w:cs="Arial" w:eastAsia="Arial" w:hAnsi="Arial"/>
                <w:sz w:val="13"/>
                <w:szCs w:val="13"/>
                <w:color w:val="auto"/>
              </w:rPr>
              <w:t>9.8</w:t>
            </w:r>
          </w:p>
        </w:tc>
        <w:tc>
          <w:tcPr>
            <w:tcW w:w="9660" w:type="dxa"/>
            <w:vAlign w:val="bottom"/>
          </w:tcPr>
          <w:p>
            <w:pPr>
              <w:ind w:left="280"/>
              <w:spacing w:after="0"/>
              <w:rPr>
                <w:sz w:val="20"/>
                <w:szCs w:val="20"/>
                <w:color w:val="auto"/>
              </w:rPr>
            </w:pPr>
            <w:r>
              <w:rPr>
                <w:rFonts w:ascii="Arial" w:cs="Arial" w:eastAsia="Arial" w:hAnsi="Arial"/>
                <w:sz w:val="13"/>
                <w:szCs w:val="13"/>
                <w:color w:val="auto"/>
              </w:rPr>
              <w:t>INSURANCE</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9.9</w:t>
            </w:r>
          </w:p>
        </w:tc>
        <w:tc>
          <w:tcPr>
            <w:tcW w:w="9660" w:type="dxa"/>
            <w:vAlign w:val="bottom"/>
          </w:tcPr>
          <w:p>
            <w:pPr>
              <w:ind w:left="280"/>
              <w:spacing w:after="0"/>
              <w:rPr>
                <w:sz w:val="20"/>
                <w:szCs w:val="20"/>
                <w:color w:val="auto"/>
              </w:rPr>
            </w:pPr>
            <w:r>
              <w:rPr>
                <w:rFonts w:ascii="Arial" w:cs="Arial" w:eastAsia="Arial" w:hAnsi="Arial"/>
                <w:sz w:val="13"/>
                <w:szCs w:val="13"/>
                <w:color w:val="auto"/>
              </w:rPr>
              <w:t>CERTAIN DEFINITIONS</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9.10</w:t>
            </w:r>
          </w:p>
        </w:tc>
        <w:tc>
          <w:tcPr>
            <w:tcW w:w="9660" w:type="dxa"/>
            <w:vAlign w:val="bottom"/>
          </w:tcPr>
          <w:p>
            <w:pPr>
              <w:ind w:left="280"/>
              <w:spacing w:after="0"/>
              <w:rPr>
                <w:sz w:val="20"/>
                <w:szCs w:val="20"/>
                <w:color w:val="auto"/>
              </w:rPr>
            </w:pPr>
            <w:r>
              <w:rPr>
                <w:rFonts w:ascii="Arial" w:cs="Arial" w:eastAsia="Arial" w:hAnsi="Arial"/>
                <w:sz w:val="13"/>
                <w:szCs w:val="13"/>
                <w:color w:val="auto"/>
              </w:rPr>
              <w:t>SURVIVAL OF INDEMNIFICATION AND ADVANCEMENT OF EXPENSES</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9.11</w:t>
            </w:r>
          </w:p>
        </w:tc>
        <w:tc>
          <w:tcPr>
            <w:tcW w:w="9660" w:type="dxa"/>
            <w:vAlign w:val="bottom"/>
          </w:tcPr>
          <w:p>
            <w:pPr>
              <w:ind w:left="280"/>
              <w:spacing w:after="0"/>
              <w:rPr>
                <w:sz w:val="20"/>
                <w:szCs w:val="20"/>
                <w:color w:val="auto"/>
              </w:rPr>
            </w:pPr>
            <w:r>
              <w:rPr>
                <w:rFonts w:ascii="Arial" w:cs="Arial" w:eastAsia="Arial" w:hAnsi="Arial"/>
                <w:sz w:val="13"/>
                <w:szCs w:val="13"/>
                <w:color w:val="auto"/>
              </w:rPr>
              <w:t>LIMITATION ON INDEMNIFICATION</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22</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9.12</w:t>
            </w:r>
          </w:p>
        </w:tc>
        <w:tc>
          <w:tcPr>
            <w:tcW w:w="9660" w:type="dxa"/>
            <w:vAlign w:val="bottom"/>
          </w:tcPr>
          <w:p>
            <w:pPr>
              <w:ind w:left="280"/>
              <w:spacing w:after="0"/>
              <w:rPr>
                <w:sz w:val="20"/>
                <w:szCs w:val="20"/>
                <w:color w:val="auto"/>
              </w:rPr>
            </w:pPr>
            <w:r>
              <w:rPr>
                <w:rFonts w:ascii="Arial" w:cs="Arial" w:eastAsia="Arial" w:hAnsi="Arial"/>
                <w:sz w:val="13"/>
                <w:szCs w:val="13"/>
                <w:color w:val="auto"/>
              </w:rPr>
              <w:t>INDEMNIFICATION OF EMPLOYEES AND AGENTS</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9.13</w:t>
            </w:r>
          </w:p>
        </w:tc>
        <w:tc>
          <w:tcPr>
            <w:tcW w:w="9660" w:type="dxa"/>
            <w:vAlign w:val="bottom"/>
          </w:tcPr>
          <w:p>
            <w:pPr>
              <w:ind w:left="280"/>
              <w:spacing w:after="0"/>
              <w:rPr>
                <w:sz w:val="20"/>
                <w:szCs w:val="20"/>
                <w:color w:val="auto"/>
              </w:rPr>
            </w:pPr>
            <w:r>
              <w:rPr>
                <w:rFonts w:ascii="Arial" w:cs="Arial" w:eastAsia="Arial" w:hAnsi="Arial"/>
                <w:sz w:val="13"/>
                <w:szCs w:val="13"/>
                <w:color w:val="auto"/>
              </w:rPr>
              <w:t>EFFECT OF AMENDMENT OR REPEAL</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r>
        <w:trPr>
          <w:trHeight w:val="315"/>
        </w:trPr>
        <w:tc>
          <w:tcPr>
            <w:tcW w:w="10660" w:type="dxa"/>
            <w:vAlign w:val="bottom"/>
            <w:gridSpan w:val="2"/>
          </w:tcPr>
          <w:p>
            <w:pPr>
              <w:spacing w:after="0"/>
              <w:rPr>
                <w:sz w:val="20"/>
                <w:szCs w:val="20"/>
                <w:color w:val="auto"/>
              </w:rPr>
            </w:pPr>
            <w:r>
              <w:rPr>
                <w:rFonts w:ascii="Arial" w:cs="Arial" w:eastAsia="Arial" w:hAnsi="Arial"/>
                <w:sz w:val="13"/>
                <w:szCs w:val="13"/>
                <w:color w:val="auto"/>
              </w:rPr>
              <w:t>ARTICLE X — MISCELLANEOUS</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r>
        <w:trPr>
          <w:trHeight w:val="307"/>
        </w:trPr>
        <w:tc>
          <w:tcPr>
            <w:tcW w:w="1000" w:type="dxa"/>
            <w:vAlign w:val="bottom"/>
          </w:tcPr>
          <w:p>
            <w:pPr>
              <w:ind w:left="480"/>
              <w:spacing w:after="0"/>
              <w:rPr>
                <w:sz w:val="20"/>
                <w:szCs w:val="20"/>
                <w:color w:val="auto"/>
              </w:rPr>
            </w:pPr>
            <w:r>
              <w:rPr>
                <w:rFonts w:ascii="Arial" w:cs="Arial" w:eastAsia="Arial" w:hAnsi="Arial"/>
                <w:sz w:val="13"/>
                <w:szCs w:val="13"/>
                <w:color w:val="auto"/>
              </w:rPr>
              <w:t>10.1</w:t>
            </w:r>
          </w:p>
        </w:tc>
        <w:tc>
          <w:tcPr>
            <w:tcW w:w="9660" w:type="dxa"/>
            <w:vAlign w:val="bottom"/>
          </w:tcPr>
          <w:p>
            <w:pPr>
              <w:ind w:left="280"/>
              <w:spacing w:after="0"/>
              <w:rPr>
                <w:sz w:val="20"/>
                <w:szCs w:val="20"/>
                <w:color w:val="auto"/>
              </w:rPr>
            </w:pPr>
            <w:r>
              <w:rPr>
                <w:rFonts w:ascii="Arial" w:cs="Arial" w:eastAsia="Arial" w:hAnsi="Arial"/>
                <w:sz w:val="13"/>
                <w:szCs w:val="13"/>
                <w:color w:val="auto"/>
              </w:rPr>
              <w:t>PROVISIONS OF CERTIFICATE GOVERN</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10.2</w:t>
            </w:r>
          </w:p>
        </w:tc>
        <w:tc>
          <w:tcPr>
            <w:tcW w:w="9660" w:type="dxa"/>
            <w:vAlign w:val="bottom"/>
          </w:tcPr>
          <w:p>
            <w:pPr>
              <w:ind w:left="280"/>
              <w:spacing w:after="0"/>
              <w:rPr>
                <w:sz w:val="20"/>
                <w:szCs w:val="20"/>
                <w:color w:val="auto"/>
              </w:rPr>
            </w:pPr>
            <w:r>
              <w:rPr>
                <w:rFonts w:ascii="Arial" w:cs="Arial" w:eastAsia="Arial" w:hAnsi="Arial"/>
                <w:sz w:val="13"/>
                <w:szCs w:val="13"/>
                <w:color w:val="auto"/>
              </w:rPr>
              <w:t>CONSTRUCTION; DEFINITIONS</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r>
        <w:trPr>
          <w:trHeight w:val="157"/>
        </w:trPr>
        <w:tc>
          <w:tcPr>
            <w:tcW w:w="1000" w:type="dxa"/>
            <w:vAlign w:val="bottom"/>
          </w:tcPr>
          <w:p>
            <w:pPr>
              <w:ind w:left="480"/>
              <w:spacing w:after="0"/>
              <w:rPr>
                <w:sz w:val="20"/>
                <w:szCs w:val="20"/>
                <w:color w:val="auto"/>
              </w:rPr>
            </w:pPr>
            <w:r>
              <w:rPr>
                <w:rFonts w:ascii="Arial" w:cs="Arial" w:eastAsia="Arial" w:hAnsi="Arial"/>
                <w:sz w:val="13"/>
                <w:szCs w:val="13"/>
                <w:color w:val="auto"/>
              </w:rPr>
              <w:t>10.3</w:t>
            </w:r>
          </w:p>
        </w:tc>
        <w:tc>
          <w:tcPr>
            <w:tcW w:w="9660" w:type="dxa"/>
            <w:vAlign w:val="bottom"/>
          </w:tcPr>
          <w:p>
            <w:pPr>
              <w:ind w:left="280"/>
              <w:spacing w:after="0"/>
              <w:rPr>
                <w:sz w:val="20"/>
                <w:szCs w:val="20"/>
                <w:color w:val="auto"/>
              </w:rPr>
            </w:pPr>
            <w:r>
              <w:rPr>
                <w:rFonts w:ascii="Arial" w:cs="Arial" w:eastAsia="Arial" w:hAnsi="Arial"/>
                <w:sz w:val="13"/>
                <w:szCs w:val="13"/>
                <w:color w:val="auto"/>
              </w:rPr>
              <w:t>SEVERABILITY</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r>
        <w:trPr>
          <w:trHeight w:val="165"/>
        </w:trPr>
        <w:tc>
          <w:tcPr>
            <w:tcW w:w="1000" w:type="dxa"/>
            <w:vAlign w:val="bottom"/>
          </w:tcPr>
          <w:p>
            <w:pPr>
              <w:ind w:left="480"/>
              <w:spacing w:after="0"/>
              <w:rPr>
                <w:sz w:val="20"/>
                <w:szCs w:val="20"/>
                <w:color w:val="auto"/>
              </w:rPr>
            </w:pPr>
            <w:r>
              <w:rPr>
                <w:rFonts w:ascii="Arial" w:cs="Arial" w:eastAsia="Arial" w:hAnsi="Arial"/>
                <w:sz w:val="13"/>
                <w:szCs w:val="13"/>
                <w:color w:val="auto"/>
              </w:rPr>
              <w:t>10.4</w:t>
            </w:r>
          </w:p>
        </w:tc>
        <w:tc>
          <w:tcPr>
            <w:tcW w:w="9660" w:type="dxa"/>
            <w:vAlign w:val="bottom"/>
          </w:tcPr>
          <w:p>
            <w:pPr>
              <w:ind w:left="280"/>
              <w:spacing w:after="0"/>
              <w:rPr>
                <w:sz w:val="20"/>
                <w:szCs w:val="20"/>
                <w:color w:val="auto"/>
              </w:rPr>
            </w:pPr>
            <w:r>
              <w:rPr>
                <w:rFonts w:ascii="Arial" w:cs="Arial" w:eastAsia="Arial" w:hAnsi="Arial"/>
                <w:sz w:val="13"/>
                <w:szCs w:val="13"/>
                <w:color w:val="auto"/>
              </w:rPr>
              <w:t>AMENDMENT</w:t>
            </w:r>
          </w:p>
        </w:tc>
        <w:tc>
          <w:tcPr>
            <w:tcW w:w="800" w:type="dxa"/>
            <w:vAlign w:val="bottom"/>
          </w:tcPr>
          <w:p>
            <w:pPr>
              <w:jc w:val="right"/>
              <w:ind w:right="156"/>
              <w:spacing w:after="0"/>
              <w:rPr>
                <w:sz w:val="20"/>
                <w:szCs w:val="20"/>
                <w:color w:val="auto"/>
              </w:rPr>
            </w:pPr>
            <w:r>
              <w:rPr>
                <w:rFonts w:ascii="Arial" w:cs="Arial" w:eastAsia="Arial" w:hAnsi="Arial"/>
                <w:sz w:val="13"/>
                <w:szCs w:val="13"/>
                <w:color w:val="auto"/>
              </w:rPr>
              <w:t>23</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3"/>
          <w:szCs w:val="13"/>
          <w:b w:val="1"/>
          <w:bCs w:val="1"/>
          <w:color w:val="auto"/>
        </w:rPr>
        <w:t>AMENDED AND RESTATED BYLAWS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142875</wp:posOffset>
            </wp:positionV>
            <wp:extent cx="189103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 — CORPORATE OFFICES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 REGISTERED OFFICE.</w:t>
      </w:r>
    </w:p>
    <w:p>
      <w:pPr>
        <w:spacing w:after="0" w:line="86" w:lineRule="exact"/>
        <w:rPr>
          <w:sz w:val="20"/>
          <w:szCs w:val="20"/>
          <w:color w:val="auto"/>
        </w:rPr>
      </w:pPr>
    </w:p>
    <w:p>
      <w:pPr>
        <w:ind w:right="440" w:firstLine="161"/>
        <w:spacing w:after="0" w:line="276" w:lineRule="auto"/>
        <w:rPr>
          <w:sz w:val="20"/>
          <w:szCs w:val="20"/>
          <w:color w:val="auto"/>
        </w:rPr>
      </w:pPr>
      <w:r>
        <w:rPr>
          <w:rFonts w:ascii="Arial" w:cs="Arial" w:eastAsia="Arial" w:hAnsi="Arial"/>
          <w:sz w:val="13"/>
          <w:szCs w:val="13"/>
          <w:color w:val="auto"/>
        </w:rPr>
        <w:t>The registered office of Fluidigm Corporation shall be fixed in the corporation’s certificate of incorporation, as the same may be amended and/or restated from time to time (as so amended and/or restated, the “</w:t>
      </w:r>
      <w:r>
        <w:rPr>
          <w:rFonts w:ascii="Arial" w:cs="Arial" w:eastAsia="Arial" w:hAnsi="Arial"/>
          <w:sz w:val="13"/>
          <w:szCs w:val="13"/>
          <w:u w:val="single" w:color="auto"/>
          <w:color w:val="auto"/>
        </w:rPr>
        <w:t>Certificate</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 OTHER OFFICES.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corporation’s Board of Directors (the “</w:t>
      </w:r>
      <w:r>
        <w:rPr>
          <w:rFonts w:ascii="Arial" w:cs="Arial" w:eastAsia="Arial" w:hAnsi="Arial"/>
          <w:sz w:val="13"/>
          <w:szCs w:val="13"/>
          <w:u w:val="single" w:color="auto"/>
          <w:color w:val="auto"/>
        </w:rPr>
        <w:t>Board</w:t>
      </w:r>
      <w:r>
        <w:rPr>
          <w:rFonts w:ascii="Arial" w:cs="Arial" w:eastAsia="Arial" w:hAnsi="Arial"/>
          <w:sz w:val="13"/>
          <w:szCs w:val="13"/>
          <w:color w:val="auto"/>
        </w:rPr>
        <w:t>”) may at any time establish other offices at any place or places where the corporation is qualified to do business.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II — MEETINGS OF STOCKHOLDERS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2.1 PLACE OF MEETINGS.</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Meetings of stockholders shall be held at any place within or outside the State of Delaware as designated by the Board.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3"/>
          <w:szCs w:val="13"/>
          <w:u w:val="single" w:color="auto"/>
          <w:color w:val="auto"/>
        </w:rPr>
        <w:t>DGCL</w:t>
      </w:r>
      <w:r>
        <w:rPr>
          <w:rFonts w:ascii="Arial" w:cs="Arial" w:eastAsia="Arial" w:hAnsi="Arial"/>
          <w:sz w:val="13"/>
          <w:szCs w:val="13"/>
          <w:color w:val="auto"/>
        </w:rPr>
        <w:t>”). In the absence of any such designation or determination, stockholders’ meetings shall be held at the corporation’s principal executive office.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 ANNUAL MEETING.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annual meeting of stockholders shall be held each year on a date and at a time designated by the Board. At the annual meeting, directors shall be elected and any other proper business may be transacted.</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2.3 SPECIAL MEETING.</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Unless otherwise required by law or the Certificate, special meetings of the stockholders may be called at any time, for any purpose or purposes, only by (a) the Board, (b) the Chairperson of the Board, (c) the chief executive officer or (d) the president of the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 business may be transacted at such special meeting other than the business specified in the notice to stockholders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0" w:name="page191"/>
    <w:bookmarkEnd w:id="190"/>
    <w:p>
      <w:pPr>
        <w:ind w:left="160"/>
        <w:spacing w:after="0"/>
        <w:rPr>
          <w:sz w:val="20"/>
          <w:szCs w:val="20"/>
          <w:color w:val="auto"/>
        </w:rPr>
      </w:pPr>
      <w:r>
        <w:rPr>
          <w:rFonts w:ascii="Arial" w:cs="Arial" w:eastAsia="Arial" w:hAnsi="Arial"/>
          <w:sz w:val="13"/>
          <w:szCs w:val="13"/>
          <w:color w:val="auto"/>
        </w:rPr>
        <w:t>2.4 NOTICE OF STOCKHOLDERS’ MEETINGS.</w:t>
      </w:r>
    </w:p>
    <w:p>
      <w:pPr>
        <w:spacing w:after="0" w:line="86" w:lineRule="exact"/>
        <w:rPr>
          <w:sz w:val="20"/>
          <w:szCs w:val="20"/>
          <w:color w:val="auto"/>
        </w:rPr>
      </w:pPr>
    </w:p>
    <w:p>
      <w:pPr>
        <w:ind w:right="20" w:firstLine="157"/>
        <w:spacing w:after="0" w:line="285" w:lineRule="auto"/>
        <w:rPr>
          <w:sz w:val="20"/>
          <w:szCs w:val="20"/>
          <w:color w:val="auto"/>
        </w:rPr>
      </w:pPr>
      <w:r>
        <w:rPr>
          <w:rFonts w:ascii="Arial" w:cs="Arial" w:eastAsia="Arial" w:hAnsi="Arial"/>
          <w:sz w:val="12"/>
          <w:szCs w:val="12"/>
          <w:color w:val="auto"/>
        </w:rPr>
        <w:t>All notices of meetings of stockholders shall be sent or otherwise given in accordance with either Section 2.5 or Section 8.1 of these bylaws not less than ten (10) nor more than 60 days before the date of the meeting to each stockholder entitled to vote at such meeting, except as otherwise required by applicable law.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Any previously scheduled meeting of stockholders may be postponed, and, unless the Certificate provides otherwise, any special meeting of the stockholders may be cancelled by resolution duly adopted by a majority of the Board members then in office upon public notice given prior to the date previously scheduled for such meeting of stockholders.</w:t>
      </w:r>
    </w:p>
    <w:p>
      <w:pPr>
        <w:spacing w:after="0" w:line="46" w:lineRule="exact"/>
        <w:rPr>
          <w:sz w:val="20"/>
          <w:szCs w:val="20"/>
          <w:color w:val="auto"/>
        </w:rPr>
      </w:pPr>
    </w:p>
    <w:p>
      <w:pPr>
        <w:ind w:right="100" w:firstLine="161"/>
        <w:spacing w:after="0" w:line="258" w:lineRule="auto"/>
        <w:rPr>
          <w:sz w:val="20"/>
          <w:szCs w:val="20"/>
          <w:color w:val="auto"/>
        </w:rPr>
      </w:pPr>
      <w:r>
        <w:rPr>
          <w:rFonts w:ascii="Arial" w:cs="Arial" w:eastAsia="Arial" w:hAnsi="Arial"/>
          <w:sz w:val="13"/>
          <w:szCs w:val="13"/>
          <w:color w:val="auto"/>
        </w:rPr>
        <w:t>Whenever notice is required to be given, under the DGCL, the Certificate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61"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Whenever notice is required to be given, under any provision of the DGCL, the Certificate or these bylaws, to any stockholder to whom (A) notice of two (2) consecutive annual meetings, or (B) all, and at least two (2), payments (if sent by first-class mail) of dividends or interest on securities during a 12 month period, have been mailed addressed to such person at such person’s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exception in subsection (A) of the above paragraph to the requirement that notice be given shall not be applicable to any notice returned as undeliverable if the notice was given by electronic transmission.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2.5 MANNER OF GIVING NOTICE; AFFIDAVIT OF NOTICE.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Notice of any meeting of stockholders shall be given:</w:t>
      </w:r>
    </w:p>
    <w:p>
      <w:pPr>
        <w:spacing w:after="0" w:line="86" w:lineRule="exact"/>
        <w:rPr>
          <w:sz w:val="20"/>
          <w:szCs w:val="20"/>
          <w:color w:val="auto"/>
        </w:rPr>
      </w:pPr>
    </w:p>
    <w:p>
      <w:pPr>
        <w:ind w:left="5660" w:right="2600" w:hanging="5334"/>
        <w:spacing w:after="0" w:line="497" w:lineRule="auto"/>
        <w:tabs>
          <w:tab w:leader="none" w:pos="50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if mailed, when deposited in the United States mail, postage prepaid, directed to the stockholder at his or her address as it appears on the corporation’s records;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1" w:name="page192"/>
    <w:bookmarkEnd w:id="191"/>
    <w:p>
      <w:pPr>
        <w:ind w:left="520" w:hanging="194"/>
        <w:spacing w:after="0"/>
        <w:tabs>
          <w:tab w:leader="none" w:pos="5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if electronically transmitted, as provided in Section 8.1 of these bylaws; or</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otherwise, when delivered.</w:t>
      </w:r>
    </w:p>
    <w:p>
      <w:pPr>
        <w:spacing w:after="0" w:line="86" w:lineRule="exact"/>
        <w:rPr>
          <w:sz w:val="20"/>
          <w:szCs w:val="20"/>
          <w:color w:val="auto"/>
        </w:rPr>
      </w:pPr>
    </w:p>
    <w:p>
      <w:pPr>
        <w:ind w:right="460" w:firstLine="157"/>
        <w:spacing w:after="0" w:line="276" w:lineRule="auto"/>
        <w:rPr>
          <w:sz w:val="20"/>
          <w:szCs w:val="20"/>
          <w:color w:val="auto"/>
        </w:rPr>
      </w:pPr>
      <w:r>
        <w:rPr>
          <w:rFonts w:ascii="Arial" w:cs="Arial" w:eastAsia="Arial" w:hAnsi="Arial"/>
          <w:sz w:val="13"/>
          <w:szCs w:val="13"/>
          <w:color w:val="auto"/>
        </w:rPr>
        <w:t xml:space="preserve">An affidavit of the secretary or an assistant secretary of the corporation or of the transfer agent or any other agent of the corporation that the notice has been given shall, in the absence of fraud, be </w:t>
      </w:r>
      <w:r>
        <w:rPr>
          <w:rFonts w:ascii="Arial" w:cs="Arial" w:eastAsia="Arial" w:hAnsi="Arial"/>
          <w:sz w:val="13"/>
          <w:szCs w:val="13"/>
          <w:i w:val="1"/>
          <w:iCs w:val="1"/>
          <w:color w:val="auto"/>
        </w:rPr>
        <w:t>prima facie</w:t>
      </w:r>
      <w:r>
        <w:rPr>
          <w:rFonts w:ascii="Arial" w:cs="Arial" w:eastAsia="Arial" w:hAnsi="Arial"/>
          <w:sz w:val="13"/>
          <w:szCs w:val="13"/>
          <w:color w:val="auto"/>
        </w:rPr>
        <w:t xml:space="preserve"> evidence of the facts stated therein.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Notice may be waived in accordance with Section 7.12 of these bylaws.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2.6 QUORUM.</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Unless otherwise provided in the Certificate or required by law, stockholders representing a majority of the voting power of the issued and outstanding capital stock of the corporation, present in person or represented by proxy, shall constitute a quorum for the transaction of business at all meetings of the stockholders. If such quorum is not present or represented at any meeting of the stockholders, then the chairperson of the meeting, or the stockholders representing a majority of the voting power of the capital stock at the meeting, present in person or represented by proxy, shall have power to adjourn the meeting from time to time until a quorum is present or represented. At such adjourned meeting at which a quorum is present or represented, any business may be transacted that might have been transacted at the meeting as originally noticed. The stockholders present at a duly called meeting at which a quorum is present may continue to transact business until adjournment, notwithstanding the withdrawal of enough stockholders to leave less than a quorum unless the number of stockholders who withdrew does not permit action to be taken by the stockholders in accordance with the DGCL.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2.7 ADJOURNED MEETING; NOTICE.</w:t>
      </w:r>
    </w:p>
    <w:p>
      <w:pPr>
        <w:spacing w:after="0" w:line="86" w:lineRule="exact"/>
        <w:rPr>
          <w:sz w:val="20"/>
          <w:szCs w:val="20"/>
          <w:color w:val="auto"/>
        </w:rPr>
      </w:pPr>
    </w:p>
    <w:p>
      <w:pPr>
        <w:ind w:right="160" w:firstLine="161"/>
        <w:spacing w:after="0" w:line="258" w:lineRule="auto"/>
        <w:rPr>
          <w:sz w:val="20"/>
          <w:szCs w:val="20"/>
          <w:color w:val="auto"/>
        </w:rPr>
      </w:pPr>
      <w:r>
        <w:rPr>
          <w:rFonts w:ascii="Arial" w:cs="Arial" w:eastAsia="Arial" w:hAnsi="Arial"/>
          <w:sz w:val="13"/>
          <w:szCs w:val="13"/>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continuation of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in accordance with the provisions of Section 2.4 and Section 2.5 of these bylaws.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2.8 ADMINISTRATION OF THE MEETING.</w:t>
      </w:r>
    </w:p>
    <w:p>
      <w:pPr>
        <w:spacing w:after="0" w:line="86"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Meetings of stockholders shall be presided over by the chief executive officer of the corporation. If the chief executive officer will not be present at a meeting of stockholders, such meeting shall be presided over by such chairperson as the Board shall appoint, or, in the event that the Board shall fail to make such appointment, any officer of the corporation elected by the Board. The secretary of the meeting shall be the secretary of the corporation, or, in the absence of the secretary of the corporation, such person as the chairperson of the meeting appoints.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2" w:name="page193"/>
    <w:bookmarkEnd w:id="192"/>
    <w:p>
      <w:pPr>
        <w:ind w:firstLine="161"/>
        <w:spacing w:after="0" w:line="258" w:lineRule="auto"/>
        <w:rPr>
          <w:sz w:val="20"/>
          <w:szCs w:val="20"/>
          <w:color w:val="auto"/>
        </w:rPr>
      </w:pPr>
      <w:r>
        <w:rPr>
          <w:rFonts w:ascii="Arial" w:cs="Arial" w:eastAsia="Arial" w:hAnsi="Arial"/>
          <w:sz w:val="13"/>
          <w:szCs w:val="13"/>
          <w:color w:val="auto"/>
        </w:rPr>
        <w:t>The Board shall, in advance of any meeting of stockholders, appoint one (1) or more inspector(s), who may include individual(s) who serve the corporation in other capacities, including without limitation as officers, employees or agents, to act at the meeting of stockholders and make a written report thereof. The Board may designate one (1) or more persons as alternate inspector(s) to replace any inspector, who fails to act. If no inspector or alternate has been appointed or is able to act at a meeting of stockholders, the chairperson of the meeting shall appoint one (1) or more inspector(s) to act at the meeting. Each inspector, before discharging his or her duties, shall take and sign an oath to faithfully execute the duties of inspector with strict impartiality and according to the best of his or her ability. The inspector(s) or alternate(s) shall have the duties prescribed pursuant to Section 231 of the DGCL or other applicable law.</w:t>
      </w:r>
    </w:p>
    <w:p>
      <w:pPr>
        <w:spacing w:after="0" w:line="61" w:lineRule="exact"/>
        <w:rPr>
          <w:sz w:val="20"/>
          <w:szCs w:val="20"/>
          <w:color w:val="auto"/>
        </w:rPr>
      </w:pPr>
    </w:p>
    <w:p>
      <w:pPr>
        <w:ind w:right="40" w:firstLine="161"/>
        <w:spacing w:after="0" w:line="289" w:lineRule="auto"/>
        <w:rPr>
          <w:sz w:val="20"/>
          <w:szCs w:val="20"/>
          <w:color w:val="auto"/>
        </w:rPr>
      </w:pPr>
      <w:r>
        <w:rPr>
          <w:rFonts w:ascii="Arial" w:cs="Arial" w:eastAsia="Arial" w:hAnsi="Arial"/>
          <w:sz w:val="12"/>
          <w:szCs w:val="12"/>
          <w:color w:val="auto"/>
        </w:rPr>
        <w:t>The Board shall be entitled to make such rules or regulations for the conduct of meetings of stockholders as it shall deem necessary, appropriate or convenient. Subject to such rules and regulations, if any, the chairperson of the meeting shall have the right and authority to prescribe such rules, regulations and procedures and to do all acts as, in the judgment of such chairperson, are necessary, appropriate or convenient for the proper conduct of the meeting, including without limitation establishing an agenda of business of the meeting, rules or regulations to maintain order, restrictions on entry to the meeting after the time fixed for commencement thereof and the fixing of the date and time of the opening and closing of the polls for each matter upon which the stockholders will vote at a meeting (and shall announce such at the meeting).</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2.9 VOTING.</w:t>
      </w:r>
    </w:p>
    <w:p>
      <w:pPr>
        <w:spacing w:after="0" w:line="86"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4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Except as otherwise provided in the provisions of Section 213 of the DGCL (relating to the fixing of a date for determination of stockholders of record), each stockholder shall be entitled to that number of votes for each share of capital stock held by such stockholder as set forth in the Certificate.</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In all matters, other than the election of directors and except as otherwise required by law, the Certificate or these bylaws, the affirmative vote of a majority of the voting power of the shares present or represented by proxy at the meeting and entitled to vote on the subject matter shall be the act of the stockholders. Directors shall be elected by a plurality of the voting power of the shares present in person or represented by proxy at the meeting and entitled to vote on the election of directors.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stockholders of the corporation shall not have the right to cumulate their votes for the election of directors of the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2.10 NO STOCKHOLDER ACTION BY WRITTEN CONSENT WITHOUT A MEETING.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action required or permitted to be taken by the stockholders of the corporation (if the corporation has more than one stockholder at such time) must be effected at a duly called annual or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color w:val="auto"/>
        </w:rPr>
        <w:t>special meeting of stockholders of the corporation and may not be effected by any consent in writing by such stockholders.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2.11 RECORD DATE FOR STOCKHOLDER NOTICE; VOTING; GIVING CONSENTS.</w:t>
      </w:r>
    </w:p>
    <w:p>
      <w:pPr>
        <w:spacing w:after="0" w:line="86"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record date shall not precede the date on which the resolution fixing the record date is adopted and which shall not be more than 60 nor less than ten (10) days before the date of such meeting, nor more than 60 days prior to any other such action.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the Board does not fix a record date in accordance with these bylaws and applicable law:</w:t>
      </w:r>
    </w:p>
    <w:p>
      <w:pPr>
        <w:spacing w:after="0" w:line="86" w:lineRule="exact"/>
        <w:rPr>
          <w:sz w:val="20"/>
          <w:szCs w:val="20"/>
          <w:color w:val="auto"/>
        </w:rPr>
      </w:pPr>
    </w:p>
    <w:p>
      <w:pPr>
        <w:ind w:right="20" w:firstLine="326"/>
        <w:spacing w:after="0" w:line="276" w:lineRule="auto"/>
        <w:tabs>
          <w:tab w:leader="none" w:pos="50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49" w:lineRule="exact"/>
        <w:rPr>
          <w:rFonts w:ascii="Arial" w:cs="Arial" w:eastAsia="Arial" w:hAnsi="Arial"/>
          <w:sz w:val="13"/>
          <w:szCs w:val="13"/>
          <w:color w:val="auto"/>
        </w:rPr>
      </w:pPr>
    </w:p>
    <w:p>
      <w:pPr>
        <w:ind w:firstLine="326"/>
        <w:spacing w:after="0" w:line="276" w:lineRule="auto"/>
        <w:tabs>
          <w:tab w:leader="none" w:pos="51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record date for determining stockholders entitled to consent to corporate action in writing without a meeting, when no prior action by the Board is necessary, shall be the first day on which a signed written consent setting forth the action taken or proposed to be taken is delivered to the corporation.</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record date for determining stockholders for any other purpose shall be at the close of business on the day on which the Board adopts the resolution relating thereto.</w:t>
      </w:r>
    </w:p>
    <w:p>
      <w:pPr>
        <w:spacing w:after="0" w:line="86" w:lineRule="exact"/>
        <w:rPr>
          <w:sz w:val="20"/>
          <w:szCs w:val="20"/>
          <w:color w:val="auto"/>
        </w:rPr>
      </w:pPr>
    </w:p>
    <w:p>
      <w:pPr>
        <w:ind w:right="100" w:firstLine="157"/>
        <w:spacing w:after="0" w:line="276" w:lineRule="auto"/>
        <w:rPr>
          <w:sz w:val="20"/>
          <w:szCs w:val="20"/>
          <w:color w:val="auto"/>
        </w:rPr>
      </w:pPr>
      <w:r>
        <w:rPr>
          <w:rFonts w:ascii="Arial" w:cs="Arial" w:eastAsia="Arial" w:hAnsi="Arial"/>
          <w:sz w:val="13"/>
          <w:szCs w:val="13"/>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2.12 PROXIES.</w:t>
      </w:r>
    </w:p>
    <w:p>
      <w:pPr>
        <w:spacing w:after="0" w:line="86"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Each stockholder entitled to vote at a meeting of stockholders may authorize another person or persons to act for such stockholder by proxy authorized by an instrument in writing or by a transmission permitted by law and filed with the secretary of the corporation, but no such proxy shall be voted or acted upon after three (3) years from its date, unless the proxy provides for a longer period. A stockholder may also authorize another person or persons to act for him, her or it as proxy in the manner(s) provided under Section 212(c) of the DGCL or as otherwise provided under Delaware law. The revocability of a proxy that states on its face that it is irrevocable shall be governed by the provisions of Section 212 of the DGCL.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4" w:name="page195"/>
    <w:bookmarkEnd w:id="194"/>
    <w:p>
      <w:pPr>
        <w:ind w:left="161"/>
        <w:spacing w:after="0"/>
        <w:rPr>
          <w:sz w:val="20"/>
          <w:szCs w:val="20"/>
          <w:color w:val="auto"/>
        </w:rPr>
      </w:pPr>
      <w:r>
        <w:rPr>
          <w:rFonts w:ascii="Arial" w:cs="Arial" w:eastAsia="Arial" w:hAnsi="Arial"/>
          <w:sz w:val="13"/>
          <w:szCs w:val="13"/>
          <w:color w:val="auto"/>
        </w:rPr>
        <w:t>2.13 LIST OF STOCKHOLDERS ENTITLED TO VOTE.</w:t>
      </w:r>
    </w:p>
    <w:p>
      <w:pPr>
        <w:spacing w:after="0" w:line="86" w:lineRule="exact"/>
        <w:rPr>
          <w:sz w:val="20"/>
          <w:szCs w:val="20"/>
          <w:color w:val="auto"/>
        </w:rPr>
      </w:pPr>
    </w:p>
    <w:p>
      <w:pPr>
        <w:ind w:left="1" w:right="40" w:firstLine="161"/>
        <w:spacing w:after="0" w:line="258" w:lineRule="auto"/>
        <w:rPr>
          <w:sz w:val="20"/>
          <w:szCs w:val="20"/>
          <w:color w:val="auto"/>
        </w:rPr>
      </w:pPr>
      <w:r>
        <w:rPr>
          <w:rFonts w:ascii="Arial" w:cs="Arial" w:eastAsia="Arial" w:hAnsi="Arial"/>
          <w:sz w:val="13"/>
          <w:szCs w:val="13"/>
          <w:color w:val="auto"/>
        </w:rPr>
        <w:t>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place of business.</w:t>
      </w:r>
    </w:p>
    <w:p>
      <w:pPr>
        <w:spacing w:after="0" w:line="61" w:lineRule="exact"/>
        <w:rPr>
          <w:sz w:val="20"/>
          <w:szCs w:val="20"/>
          <w:color w:val="auto"/>
        </w:rPr>
      </w:pPr>
    </w:p>
    <w:p>
      <w:pPr>
        <w:ind w:left="1" w:right="80" w:firstLine="164"/>
        <w:spacing w:after="0" w:line="258" w:lineRule="auto"/>
        <w:rPr>
          <w:sz w:val="20"/>
          <w:szCs w:val="20"/>
          <w:color w:val="auto"/>
        </w:rPr>
      </w:pPr>
      <w:r>
        <w:rPr>
          <w:rFonts w:ascii="Arial" w:cs="Arial" w:eastAsia="Arial" w:hAnsi="Arial"/>
          <w:sz w:val="13"/>
          <w:szCs w:val="13"/>
          <w:color w:val="auto"/>
        </w:rPr>
        <w:t>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61" w:lineRule="exact"/>
        <w:rPr>
          <w:sz w:val="20"/>
          <w:szCs w:val="20"/>
          <w:color w:val="auto"/>
        </w:rPr>
      </w:pPr>
    </w:p>
    <w:p>
      <w:pPr>
        <w:ind w:left="161"/>
        <w:spacing w:after="0"/>
        <w:rPr>
          <w:sz w:val="20"/>
          <w:szCs w:val="20"/>
          <w:color w:val="auto"/>
        </w:rPr>
      </w:pPr>
      <w:r>
        <w:rPr>
          <w:rFonts w:ascii="Arial" w:cs="Arial" w:eastAsia="Arial" w:hAnsi="Arial"/>
          <w:sz w:val="13"/>
          <w:szCs w:val="13"/>
          <w:color w:val="auto"/>
        </w:rPr>
        <w:t>2.14 ADVANCE NOTICE OF STOCKHOLDER BUSINESS.</w:t>
      </w:r>
    </w:p>
    <w:p>
      <w:pPr>
        <w:spacing w:after="0" w:line="86" w:lineRule="exact"/>
        <w:rPr>
          <w:sz w:val="20"/>
          <w:szCs w:val="20"/>
          <w:color w:val="auto"/>
        </w:rPr>
      </w:pPr>
    </w:p>
    <w:p>
      <w:pPr>
        <w:ind w:left="1" w:right="60" w:firstLine="164"/>
        <w:spacing w:after="0" w:line="300" w:lineRule="auto"/>
        <w:rPr>
          <w:sz w:val="20"/>
          <w:szCs w:val="20"/>
          <w:color w:val="auto"/>
        </w:rPr>
      </w:pPr>
      <w:r>
        <w:rPr>
          <w:rFonts w:ascii="Arial" w:cs="Arial" w:eastAsia="Arial" w:hAnsi="Arial"/>
          <w:sz w:val="11"/>
          <w:szCs w:val="11"/>
          <w:color w:val="auto"/>
        </w:rPr>
        <w:t>Only such business shall be conducted as shall have been properly brought before a meeting of the stockholders of the corporation. To be properly brought before an annual meeting, business must be (a) specified in the notice of meeting (or any supplement thereto) given by or at the direction of the Board, (b) otherwise properly brought before the meeting by or at the direction of the Board, or (c) a proper matter for stockholder action under the DGCL that has been properly brought before the meeting by a stockholder (i) who is a stockholder of record on the date of the giving of the notice provided for in this Section 2.14 and on the record date for the determination of stockholders entitled to vote at such annual meeting and (ii) who complies with the notice procedures set forth in this Section 2.14. For such business to be considered properly brought before the meeting by a stockholder such stockholder must, in addition to any other applicable requirements, have given timely notice in proper form of such stockholder’s intent to bring such business before such meeting. To be timely, such stockholder’s notice must be delivered to or mailed and received by the secretary of the corporation at the principal executive offices of the corporation not later than the close of business on the ninetieth (90</w:t>
      </w:r>
      <w:r>
        <w:rPr>
          <w:rFonts w:ascii="Arial" w:cs="Arial" w:eastAsia="Arial" w:hAnsi="Arial"/>
          <w:sz w:val="9"/>
          <w:szCs w:val="9"/>
          <w:color w:val="auto"/>
        </w:rPr>
        <w:t>th</w:t>
      </w:r>
      <w:r>
        <w:rPr>
          <w:rFonts w:ascii="Arial" w:cs="Arial" w:eastAsia="Arial" w:hAnsi="Arial"/>
          <w:sz w:val="11"/>
          <w:szCs w:val="11"/>
          <w:color w:val="auto"/>
        </w:rPr>
        <w:t>) day, nor earlier than the close of business on the one hundred twentieth (120</w:t>
      </w:r>
      <w:r>
        <w:rPr>
          <w:rFonts w:ascii="Arial" w:cs="Arial" w:eastAsia="Arial" w:hAnsi="Arial"/>
          <w:sz w:val="9"/>
          <w:szCs w:val="9"/>
          <w:color w:val="auto"/>
        </w:rPr>
        <w:t>th</w:t>
      </w:r>
      <w:r>
        <w:rPr>
          <w:rFonts w:ascii="Arial" w:cs="Arial" w:eastAsia="Arial" w:hAnsi="Arial"/>
          <w:sz w:val="11"/>
          <w:szCs w:val="11"/>
          <w:color w:val="auto"/>
        </w:rPr>
        <w:t>) day, prior to the anniversary date on which the corporation first mailed its proxy statement to stockholders in connection with the immediately preceding annual meeting; provided, however, that in the event that no annual meeting was held in the previous year or the annual meeting is called for a date that is not within thirty</w:t>
      </w:r>
    </w:p>
    <w:p>
      <w:pPr>
        <w:spacing w:after="0" w:line="1" w:lineRule="exact"/>
        <w:rPr>
          <w:sz w:val="20"/>
          <w:szCs w:val="20"/>
          <w:color w:val="auto"/>
        </w:rPr>
      </w:pPr>
    </w:p>
    <w:p>
      <w:pPr>
        <w:ind w:left="1" w:hanging="1"/>
        <w:spacing w:after="0" w:line="264" w:lineRule="auto"/>
        <w:tabs>
          <w:tab w:leader="none" w:pos="25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days before or after such anniversary date, notice by the stockholder to be timely must be so received not later than the close of business the tenth (10</w:t>
      </w:r>
      <w:r>
        <w:rPr>
          <w:rFonts w:ascii="Arial" w:cs="Arial" w:eastAsia="Arial" w:hAnsi="Arial"/>
          <w:sz w:val="11"/>
          <w:szCs w:val="11"/>
          <w:color w:val="auto"/>
        </w:rPr>
        <w:t>th</w:t>
      </w:r>
      <w:r>
        <w:rPr>
          <w:rFonts w:ascii="Arial" w:cs="Arial" w:eastAsia="Arial" w:hAnsi="Arial"/>
          <w:sz w:val="13"/>
          <w:szCs w:val="13"/>
          <w:color w:val="auto"/>
        </w:rPr>
        <w:t>) day following the day on which such notice of the date of the meeting was mailed or public disclosure of the date of the meeting was made, whichever occurs first.</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95" w:name="page196"/>
    <w:bookmarkEnd w:id="195"/>
    <w:p>
      <w:pPr>
        <w:ind w:left="160"/>
        <w:spacing w:after="0"/>
        <w:rPr>
          <w:sz w:val="20"/>
          <w:szCs w:val="20"/>
          <w:color w:val="auto"/>
        </w:rPr>
      </w:pPr>
      <w:r>
        <w:rPr>
          <w:rFonts w:ascii="Arial" w:cs="Arial" w:eastAsia="Arial" w:hAnsi="Arial"/>
          <w:sz w:val="13"/>
          <w:szCs w:val="13"/>
          <w:color w:val="auto"/>
        </w:rPr>
        <w:t>To be in proper form, a stockholder’s notice to the secretary shall be in writing and shall set forth:</w:t>
      </w:r>
    </w:p>
    <w:p>
      <w:pPr>
        <w:spacing w:after="0" w:line="86" w:lineRule="exact"/>
        <w:rPr>
          <w:sz w:val="20"/>
          <w:szCs w:val="20"/>
          <w:color w:val="auto"/>
        </w:rPr>
      </w:pPr>
    </w:p>
    <w:p>
      <w:pPr>
        <w:ind w:right="40" w:firstLine="326"/>
        <w:spacing w:after="0" w:line="276" w:lineRule="auto"/>
        <w:tabs>
          <w:tab w:leader="none" w:pos="506"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name and record address of the stockholder who intends to propose the business and the class or series and number of shares of capital stock of the corporation which are owned beneficially or of record by such stockholder;</w:t>
      </w:r>
    </w:p>
    <w:p>
      <w:pPr>
        <w:spacing w:after="0" w:line="49" w:lineRule="exact"/>
        <w:rPr>
          <w:rFonts w:ascii="Arial" w:cs="Arial" w:eastAsia="Arial" w:hAnsi="Arial"/>
          <w:sz w:val="13"/>
          <w:szCs w:val="13"/>
          <w:color w:val="auto"/>
        </w:rPr>
      </w:pPr>
    </w:p>
    <w:p>
      <w:pPr>
        <w:ind w:right="440" w:firstLine="326"/>
        <w:spacing w:after="0" w:line="276" w:lineRule="auto"/>
        <w:tabs>
          <w:tab w:leader="none" w:pos="51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 representation that the stockholder is a holder of record of stock of the corporation entitled to vote at such meeting and intends to appear in person or by proxy at the meeting to introduce the business specified in the notice;</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 brief description of the business desired to be brought before the annual meeting and the reasons for conducting such business at the annual meeting;</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any material interest of the stockholder in such business; and</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any other information that is required to be provided by the stockholder pursuant to Regulation 14A under the Securities Exchange Act of 1934, as amended (the “</w:t>
      </w:r>
      <w:r>
        <w:rPr>
          <w:rFonts w:ascii="Arial" w:cs="Arial" w:eastAsia="Arial" w:hAnsi="Arial"/>
          <w:sz w:val="13"/>
          <w:szCs w:val="13"/>
          <w:u w:val="single" w:color="auto"/>
          <w:color w:val="auto"/>
        </w:rPr>
        <w:t>Exchange Act</w:t>
      </w:r>
      <w:r>
        <w:rPr>
          <w:rFonts w:ascii="Arial" w:cs="Arial" w:eastAsia="Arial" w:hAnsi="Arial"/>
          <w:sz w:val="13"/>
          <w:szCs w:val="13"/>
          <w:color w:val="auto"/>
        </w:rPr>
        <w:t>”).</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Notwithstanding the foregoing, in order to include information with respect to a stockholder proposal in the proxy statement and form of proxy for a stockholder’s meeting, stockholders must provide notice as required by, and otherwise comply with the requirements of, the Exchange Act and the regulations promulgated thereunder.</w:t>
      </w:r>
    </w:p>
    <w:p>
      <w:pPr>
        <w:spacing w:after="0" w:line="49"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No business shall be conducted at the annual meeting of stockholders except business brought before the annual meeting in accordance with the procedures set forth in this Section 2.14. The chairperson of the meeting may refuse to acknowledge the proposal of any business not made in compliance with the foregoing procedure.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2.15 ADVANCE NOTICE OF DIRECTOR NOMINATIONS.</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Only persons who are nominated in accordance with the following procedures shall be eligible for election as directors of the corporation, except as may be otherwise provided in the Certificate with respect to the right of holders of Preferred Stock of the corporation to nominate and elect a specified number of directors, if any. To be properly brought before an annual meeting of stockholders, or any special meeting of stockholders called for the purpose of electing directors, nominations for the election of director must be (a) specified in the notice of meeting (or any supplement thereto), (b) made by or at the direction of the Board (or any duly authorized committee thereof) or (c) made by any stockholder of the corporation (i) who is a stockholder of record on the date of the giving of the notice provided for in this Section 2.15 and on the record date for the determination of stockholders entitled to vote at such meeting and (ii) who complies with the notice procedures set forth in this Section 2.15.</w:t>
      </w:r>
    </w:p>
    <w:p>
      <w:pPr>
        <w:spacing w:after="0" w:line="4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mailed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6" w:name="page197"/>
    <w:bookmarkEnd w:id="196"/>
    <w:p>
      <w:pPr>
        <w:spacing w:after="0" w:line="264" w:lineRule="auto"/>
        <w:rPr>
          <w:sz w:val="20"/>
          <w:szCs w:val="20"/>
          <w:color w:val="auto"/>
        </w:rPr>
      </w:pPr>
      <w:r>
        <w:rPr>
          <w:rFonts w:ascii="Arial" w:cs="Arial" w:eastAsia="Arial" w:hAnsi="Arial"/>
          <w:sz w:val="13"/>
          <w:szCs w:val="13"/>
          <w:color w:val="auto"/>
        </w:rPr>
        <w:t>received at the principal executive offices of the corporation, in the case of an annual meeting, in accordance with the provisions set forth in Section 2.14 of these bylaws, and,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 be in proper written form, a stockholder’s notice to the secretary must set forth:</w:t>
      </w:r>
    </w:p>
    <w:p>
      <w:pPr>
        <w:spacing w:after="0" w:line="86" w:lineRule="exact"/>
        <w:rPr>
          <w:sz w:val="20"/>
          <w:szCs w:val="20"/>
          <w:color w:val="auto"/>
        </w:rPr>
      </w:pPr>
    </w:p>
    <w:p>
      <w:pPr>
        <w:ind w:right="120" w:firstLine="162"/>
        <w:spacing w:after="0" w:line="285" w:lineRule="auto"/>
        <w:tabs>
          <w:tab w:leader="none" w:pos="342" w:val="left"/>
        </w:tabs>
        <w:numPr>
          <w:ilvl w:val="0"/>
          <w:numId w:val="120"/>
        </w:numPr>
        <w:rPr>
          <w:rFonts w:ascii="Arial" w:cs="Arial" w:eastAsia="Arial" w:hAnsi="Arial"/>
          <w:sz w:val="12"/>
          <w:szCs w:val="12"/>
          <w:color w:val="auto"/>
        </w:rPr>
      </w:pPr>
      <w:r>
        <w:rPr>
          <w:rFonts w:ascii="Arial" w:cs="Arial" w:eastAsia="Arial" w:hAnsi="Arial"/>
          <w:sz w:val="12"/>
          <w:szCs w:val="12"/>
          <w:color w:val="auto"/>
        </w:rPr>
        <w:t>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(iv) a description of all arrangements or understandings between the stockholder and each nominee and any other person or persons (naming such person or persons) pursuant to which the nominations are to be made by the stockholder, and (v)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w:t>
      </w:r>
    </w:p>
    <w:p>
      <w:pPr>
        <w:spacing w:after="0" w:line="45" w:lineRule="exact"/>
        <w:rPr>
          <w:rFonts w:ascii="Arial" w:cs="Arial" w:eastAsia="Arial" w:hAnsi="Arial"/>
          <w:sz w:val="12"/>
          <w:szCs w:val="12"/>
          <w:color w:val="auto"/>
        </w:rPr>
      </w:pPr>
    </w:p>
    <w:p>
      <w:pPr>
        <w:ind w:left="340" w:hanging="178"/>
        <w:spacing w:after="0"/>
        <w:tabs>
          <w:tab w:leader="none" w:pos="3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as to such stockholder giving notice, the information required to be provided pursuant to Section 2.14 of these bylaws.</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Subject to the rights of any holders of Preferred Stock of the corporation, if any, no person shall be eligible for election as a director of the corporation unless nominated in accordance with the procedures set forth in this Section 2.15. If the chairperson of the meeting properly determines that a nomination was not made in accordance with the foregoing procedures, the chairperson shall declare to the meeting that the nomination was defective and such defective nomination shall be disregarded.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III — DIRECTORS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 POWERS.</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Subject to the provisions of the DGCL and any limitations in the Certificate, the business and affairs of the corporation shall be managed and all corporate powers shall be exercised by or under the direction of the Board.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3.2 NUMBER OF DIRECTORS.</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authorized number of directors shall be determined from time to time by resolution of the Board, provided the Board shall consist of at least one member. No reduction of the authorized number of directors shall have the effect of removing any director before that director’s term of office expires.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3.3 ELECTION, QUALIFICATION AND TERM OF OFFICE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Except as provided in Section 3.4 and Section 3.13 of these bylaws, directors shall be elected at each annual meeting of stockholders to hold office until the next annual meeting. Directors need not be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97" w:name="page198"/>
    <w:bookmarkEnd w:id="197"/>
    <w:p>
      <w:pPr>
        <w:ind w:right="100"/>
        <w:spacing w:after="0" w:line="276" w:lineRule="auto"/>
        <w:rPr>
          <w:sz w:val="20"/>
          <w:szCs w:val="20"/>
          <w:color w:val="auto"/>
        </w:rPr>
      </w:pPr>
      <w:r>
        <w:rPr>
          <w:rFonts w:ascii="Arial" w:cs="Arial" w:eastAsia="Arial" w:hAnsi="Arial"/>
          <w:sz w:val="13"/>
          <w:szCs w:val="13"/>
          <w:color w:val="auto"/>
        </w:rPr>
        <w:t>stockholders unless so required by the Certificate or these bylaws. The Certificate or these bylaws may prescribe other qualifications for directors. Each director, including a director elected to fill a vacancy, shall hold office until such director’s successor is elected and qualified or until such director’s earlier death, resignation or removal.</w:t>
      </w:r>
    </w:p>
    <w:p>
      <w:pPr>
        <w:spacing w:after="0" w:line="49"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Except as provided in the Certificate or Section 3.4 of these bylaws, directors shall be classified, with respect to the time for which they severally hold office, into three (3) classes, as nearly equal in number as possible, one (1) class to be originally elected for a term expiring at the annual meeting of stockholders to be held in 2008, another class to be originally elected for a term expiring at the annual meeting of stockholders to be held in 2009, and another class to be originally elected for a term expiring at the annual meeting of stockholders to be held in 2010, with each class to hold office until its successor is duly elected and qualified. At each succeeding annual meeting of stockholders, commencing with the first annual meeting (a)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and (b) if authorized by a resolution of the Board, directors may be elected to fill any vacancy on the Board, regardless of how such vacancy shall have been created (as set forth in Section 3.4 below).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3.4 RESIGNATION AND VACANCIES.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director may resign at any time upon written notice or by electronic transmission to the corporation.</w:t>
      </w:r>
    </w:p>
    <w:p>
      <w:pPr>
        <w:spacing w:after="0" w:line="86" w:lineRule="exact"/>
        <w:rPr>
          <w:sz w:val="20"/>
          <w:szCs w:val="20"/>
          <w:color w:val="auto"/>
        </w:rPr>
      </w:pPr>
    </w:p>
    <w:p>
      <w:pPr>
        <w:ind w:right="80" w:firstLine="164"/>
        <w:spacing w:after="0" w:line="282" w:lineRule="auto"/>
        <w:rPr>
          <w:sz w:val="20"/>
          <w:szCs w:val="20"/>
          <w:color w:val="auto"/>
        </w:rPr>
      </w:pPr>
      <w:r>
        <w:rPr>
          <w:rFonts w:ascii="Arial" w:cs="Arial" w:eastAsia="Arial" w:hAnsi="Arial"/>
          <w:sz w:val="12"/>
          <w:szCs w:val="12"/>
          <w:color w:val="auto"/>
        </w:rPr>
        <w:t>Subject to the rights of the holders of any series of Preferred Stock of the corporation then outstanding, if any, and unless the Board otherwise determines, newly created directorships resulting from any increase in the authorized number of directors, or any vacancies on the Board resulting from the death, resignation, retirement, disqualification, removal from office or other cause shall, unless otherwise required by law, be filled by the affirmative vote of a majority of the remaining directors then in office, even though less than a quorum of the Board, or by a sole remaining director. A person so elected by the directors then in office to fill a vacancy or newly created directorship shall hold office until the next election of the class for which such director shall have been chosen and until his or her successor shall have been duly elected and qualified. When one or more directors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3.4 in the filling of other vacancies.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3.5 PLACE OF MEETINGS; MEETINGS BY TELEPHONE.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Board may hold meetings, both regular and special, either within or outside the State of Delaware.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Unless otherwise restricted by the Certificate or these bylaws, members of the Board, or any committee designated by the Board, may participate in a meeting of the Board, or any committee, by means of conference telephone or other communications equipment by means of which all persons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98" w:name="page199"/>
    <w:bookmarkEnd w:id="198"/>
    <w:p>
      <w:pPr>
        <w:spacing w:after="0"/>
        <w:rPr>
          <w:sz w:val="20"/>
          <w:szCs w:val="20"/>
          <w:color w:val="auto"/>
        </w:rPr>
      </w:pPr>
      <w:r>
        <w:rPr>
          <w:rFonts w:ascii="Arial" w:cs="Arial" w:eastAsia="Arial" w:hAnsi="Arial"/>
          <w:sz w:val="13"/>
          <w:szCs w:val="13"/>
          <w:color w:val="auto"/>
        </w:rPr>
        <w:t>participating in the meeting can hear each other, and such participation in a meeting shall constitute presence in person at the meeting.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3.6 REGULAR MEETINGS.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Regular meetings of the Board may be held without notice at such time and at such place as shall from time to time be determined by the Board.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3.7 SPECIAL MEETINGS; NOTICE.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Special meetings of the Board for any purpose or purposes may be called at any time by the chairperson of the Board, the chief executive officer, the president, the secretary or a majority of the authorized number of directors. The person(s) authorized to call special meetings of the Board may fix the place and time of the meeting.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Notice of the time and place of special meetings shall be:</w:t>
      </w:r>
    </w:p>
    <w:p>
      <w:pPr>
        <w:spacing w:after="0" w:line="86" w:lineRule="exact"/>
        <w:rPr>
          <w:sz w:val="20"/>
          <w:szCs w:val="20"/>
          <w:color w:val="auto"/>
        </w:rPr>
      </w:pPr>
    </w:p>
    <w:p>
      <w:pPr>
        <w:ind w:left="900" w:hanging="449"/>
        <w:spacing w:after="0"/>
        <w:tabs>
          <w:tab w:leader="none" w:pos="9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delivered personally by hand, by courier or by telephone;</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sent by United States first-class mail, postage prepaid;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sent by facsimile; or</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sent by electronic mail,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directed to each director at that director’s address, telephone number, facsimile number or electronic mail address, as the case may be, as shown on the corporation’s records.</w:t>
      </w:r>
    </w:p>
    <w:p>
      <w:pPr>
        <w:spacing w:after="0" w:line="86" w:lineRule="exact"/>
        <w:rPr>
          <w:sz w:val="20"/>
          <w:szCs w:val="20"/>
          <w:color w:val="auto"/>
        </w:rPr>
      </w:pPr>
    </w:p>
    <w:p>
      <w:pPr>
        <w:ind w:right="140" w:firstLine="164"/>
        <w:spacing w:after="0" w:line="260" w:lineRule="auto"/>
        <w:rPr>
          <w:sz w:val="20"/>
          <w:szCs w:val="20"/>
          <w:color w:val="auto"/>
        </w:rPr>
      </w:pPr>
      <w:r>
        <w:rPr>
          <w:rFonts w:ascii="Arial" w:cs="Arial" w:eastAsia="Arial" w:hAnsi="Arial"/>
          <w:sz w:val="13"/>
          <w:szCs w:val="13"/>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either to the director or to a person at the office of the director who the person giving notice has reason to believe will promptly communicate such notice to the director. The notice need not specify the place of the meeting if the meeting is to be held at the corporation’s principal executive office nor the purpose of the meeting.</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3.8 QUORUM.</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Except as otherwise required by law or the Certificate, at all meetings of the Board, a majority of the authorized number of directors (as determined pursuant to Section 3.2 of these bylaws) shall constitute a quorum for the transaction of business, except to adjourn as provided in Section 3.11 of these bylaws. The vote of a majority of the directors present at any meeting at which a quorum is present shall be the act of the Board, except as may be otherwise specifically provided by statute, the Certificate or these bylaws.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99" w:name="page200"/>
    <w:bookmarkEnd w:id="199"/>
    <w:p>
      <w:pPr>
        <w:ind w:right="260" w:firstLine="157"/>
        <w:spacing w:after="0" w:line="276" w:lineRule="auto"/>
        <w:rPr>
          <w:sz w:val="20"/>
          <w:szCs w:val="20"/>
          <w:color w:val="auto"/>
        </w:rPr>
      </w:pPr>
      <w:r>
        <w:rPr>
          <w:rFonts w:ascii="Arial" w:cs="Arial" w:eastAsia="Arial" w:hAnsi="Arial"/>
          <w:sz w:val="13"/>
          <w:szCs w:val="13"/>
          <w:color w:val="auto"/>
        </w:rPr>
        <w:t>A meeting at which a quorum is initially present may continue to transact business notwithstanding the withdrawal of directors, if any action taken is approved by at least a majority of the directors present at that meeting.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3.9 WAIVER OF NOTICE.</w:t>
      </w:r>
    </w:p>
    <w:p>
      <w:pPr>
        <w:spacing w:after="0" w:line="86" w:lineRule="exact"/>
        <w:rPr>
          <w:sz w:val="20"/>
          <w:szCs w:val="20"/>
          <w:color w:val="auto"/>
        </w:rPr>
      </w:pPr>
    </w:p>
    <w:p>
      <w:pPr>
        <w:ind w:right="40" w:firstLine="161"/>
        <w:spacing w:after="0" w:line="258" w:lineRule="auto"/>
        <w:rPr>
          <w:sz w:val="20"/>
          <w:szCs w:val="20"/>
          <w:color w:val="auto"/>
        </w:rPr>
      </w:pPr>
      <w:r>
        <w:rPr>
          <w:rFonts w:ascii="Arial" w:cs="Arial" w:eastAsia="Arial" w:hAnsi="Arial"/>
          <w:sz w:val="13"/>
          <w:szCs w:val="13"/>
          <w:color w:val="auto"/>
        </w:rPr>
        <w:t>Whenever notice is required to be given under any provisions of the DGCL, the Certificate or these bylaws, a written waiver thereof, signed by the person entitled to notice, or a waiver by electronic transmission by the person entitled to notice, whether before or after the time stated therein, shall be deemed equivalent to notice .. Attendance of a person at a meeting shall constitute a waiver of notice of such meeting, except when the person attends a meeting solely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or any waiver by electronic transmission unless so required by the Certificate or these bylaws.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3.10 BOARD ACTION BY WRITTEN CONSENT WITHOUT A MEETING.</w:t>
      </w:r>
    </w:p>
    <w:p>
      <w:pPr>
        <w:spacing w:after="0" w:line="86" w:lineRule="exact"/>
        <w:rPr>
          <w:sz w:val="20"/>
          <w:szCs w:val="20"/>
          <w:color w:val="auto"/>
        </w:rPr>
      </w:pPr>
    </w:p>
    <w:p>
      <w:pPr>
        <w:jc w:val="both"/>
        <w:ind w:firstLine="164"/>
        <w:spacing w:after="0" w:line="296" w:lineRule="auto"/>
        <w:rPr>
          <w:sz w:val="20"/>
          <w:szCs w:val="20"/>
          <w:color w:val="auto"/>
        </w:rPr>
      </w:pPr>
      <w:r>
        <w:rPr>
          <w:rFonts w:ascii="Arial" w:cs="Arial" w:eastAsia="Arial" w:hAnsi="Arial"/>
          <w:sz w:val="12"/>
          <w:szCs w:val="12"/>
          <w:color w:val="auto"/>
        </w:rPr>
        <w:t>Unless otherwise restricted by the Certificate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3.11 ADJOURNED MEETING; NOTICE.</w:t>
      </w:r>
    </w:p>
    <w:p>
      <w:pPr>
        <w:spacing w:after="0" w:line="86"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If a quorum is not present at any meeting of the Board, then a majority of the directors present thereat may adjourn the meeting from time to time, without notice other than announcement at the meeting, until a quorum is present.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3.12 FEES AND COMPENSATION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Unless otherwise restricted by the Certificate or these bylaws, the Board shall have the authority to fix the compensation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3.13 REMOVAL OF DIRECTORS.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Unless otherwise restricted by statute, the Certificate or these bylaws, any director, or all of the directors, may be removed from the Board, but only for cause, and only by the affirmative vote of the holders of at least a majority of the voting power of all the then outstanding shares of capital stock of the corporation then entitled to vote at the election of directors, voting together as a single class.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jc w:val="center"/>
        <w:ind w:right="-99"/>
        <w:spacing w:after="0"/>
        <w:rPr>
          <w:sz w:val="20"/>
          <w:szCs w:val="20"/>
          <w:color w:val="auto"/>
        </w:rPr>
      </w:pPr>
      <w:r>
        <w:rPr>
          <w:rFonts w:ascii="Arial" w:cs="Arial" w:eastAsia="Arial" w:hAnsi="Arial"/>
          <w:sz w:val="13"/>
          <w:szCs w:val="13"/>
          <w:b w:val="1"/>
          <w:bCs w:val="1"/>
          <w:color w:val="auto"/>
        </w:rPr>
        <w:t>ARTICLE IV — COMMITTEES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4.1 COMMITTEES OF DIRECTORS.</w:t>
      </w:r>
    </w:p>
    <w:p>
      <w:pPr>
        <w:spacing w:after="0" w:line="86" w:lineRule="exact"/>
        <w:rPr>
          <w:sz w:val="20"/>
          <w:szCs w:val="20"/>
          <w:color w:val="auto"/>
        </w:rPr>
      </w:pPr>
    </w:p>
    <w:p>
      <w:pPr>
        <w:ind w:firstLine="161"/>
        <w:spacing w:after="0" w:line="322" w:lineRule="auto"/>
        <w:rPr>
          <w:sz w:val="20"/>
          <w:szCs w:val="20"/>
          <w:color w:val="auto"/>
        </w:rPr>
      </w:pPr>
      <w:r>
        <w:rPr>
          <w:rFonts w:ascii="Arial" w:cs="Arial" w:eastAsia="Arial" w:hAnsi="Arial"/>
          <w:sz w:val="11"/>
          <w:szCs w:val="11"/>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such lawfully delegable powers and duties as the Board may confer.</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4.2 COMMITTEE MINUTES.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committee shall keep regular minutes of its meetings and report to the Board when required.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4.3 MEETINGS AND ACTION OF COMMITTEES.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Meetings and actions of committees shall be governed by, and held and taken in accordance with, the provisions of:</w:t>
      </w:r>
    </w:p>
    <w:p>
      <w:pPr>
        <w:spacing w:after="0" w:line="86" w:lineRule="exact"/>
        <w:rPr>
          <w:sz w:val="20"/>
          <w:szCs w:val="20"/>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3.5 (relating to place of meetings and meetings by telephone);</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3.6 (relating to regular meetings);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3.7 (relating to special meetings and notice);</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3.8 (relating to quorum);</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3.9 (relating to waiver of notice);</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3.10 (relating to action without a meeting); and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Section 3.11 (relating to adjournment and notice of adjournment)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of these bylaws, with such changes in the context of those bylaws as are necessary to substitute the committee and its members for the Board and its members.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Notwithstanding the foregoing:</w:t>
      </w:r>
    </w:p>
    <w:p>
      <w:pPr>
        <w:spacing w:after="0" w:line="86" w:lineRule="exact"/>
        <w:rPr>
          <w:sz w:val="20"/>
          <w:szCs w:val="20"/>
          <w:color w:val="auto"/>
        </w:rPr>
      </w:pPr>
    </w:p>
    <w:p>
      <w:pPr>
        <w:ind w:left="480" w:hanging="154"/>
        <w:spacing w:after="0"/>
        <w:tabs>
          <w:tab w:leader="none" w:pos="4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time of regular meetings of committees may be determined either by resolution of the Board or by resolution of the committee;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special meetings of committees may also be called by resolution of the Board; and</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36" w:right="319" w:bottom="1440" w:gutter="0" w:footer="0" w:header="0"/>
        </w:sectPr>
      </w:pPr>
    </w:p>
    <w:bookmarkStart w:id="201" w:name="page202"/>
    <w:bookmarkEnd w:id="201"/>
    <w:p>
      <w:pPr>
        <w:ind w:right="140" w:firstLine="326"/>
        <w:spacing w:after="0" w:line="276" w:lineRule="auto"/>
        <w:tabs>
          <w:tab w:leader="none" w:pos="55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 — OFFICERS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5.1 OFFICERS.</w:t>
      </w:r>
    </w:p>
    <w:p>
      <w:pPr>
        <w:spacing w:after="0" w:line="86" w:lineRule="exact"/>
        <w:rPr>
          <w:sz w:val="20"/>
          <w:szCs w:val="20"/>
          <w:color w:val="auto"/>
        </w:rPr>
      </w:pPr>
    </w:p>
    <w:p>
      <w:pPr>
        <w:jc w:val="both"/>
        <w:ind w:right="20" w:firstLine="161"/>
        <w:spacing w:after="0" w:line="264" w:lineRule="auto"/>
        <w:rPr>
          <w:sz w:val="20"/>
          <w:szCs w:val="20"/>
          <w:color w:val="auto"/>
        </w:rPr>
      </w:pPr>
      <w:r>
        <w:rPr>
          <w:rFonts w:ascii="Arial" w:cs="Arial" w:eastAsia="Arial" w:hAnsi="Arial"/>
          <w:sz w:val="13"/>
          <w:szCs w:val="13"/>
          <w:color w:val="auto"/>
        </w:rPr>
        <w:t>The officers of the corporation shall be a president and a secretary. The corporation may also have, at the discretion of the Board, a chairperson of the Board, a vice chairperson of the Board,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number of offices may be held by the same person.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5.2 APPOINTMENT OF OFFICERS.</w:t>
      </w:r>
    </w:p>
    <w:p>
      <w:pPr>
        <w:spacing w:after="0" w:line="86"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The Board shall appoint the officers of the corporation, except such officers as may be appointed in accordance with the provisions of Section 5.3 of these bylaws, subject to the rights, if any, of an officer under any contract of employment. Each officer shall hold office until his or her successor is elected and qualified or until his or her earlier resignation or removal. A failure to elect officers shall not dissolve or otherwise affect the corporation.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5.3 SUBORDINATE OFFICERS.</w:t>
      </w:r>
    </w:p>
    <w:p>
      <w:pPr>
        <w:spacing w:after="0" w:line="86" w:lineRule="exact"/>
        <w:rPr>
          <w:sz w:val="20"/>
          <w:szCs w:val="20"/>
          <w:color w:val="auto"/>
        </w:rPr>
      </w:pPr>
    </w:p>
    <w:p>
      <w:pPr>
        <w:ind w:firstLine="161"/>
        <w:spacing w:after="0" w:line="371" w:lineRule="auto"/>
        <w:rPr>
          <w:sz w:val="20"/>
          <w:szCs w:val="20"/>
          <w:color w:val="auto"/>
        </w:rPr>
      </w:pPr>
      <w:r>
        <w:rPr>
          <w:rFonts w:ascii="Arial" w:cs="Arial" w:eastAsia="Arial" w:hAnsi="Arial"/>
          <w:sz w:val="11"/>
          <w:szCs w:val="11"/>
          <w:color w:val="auto"/>
        </w:rPr>
        <w:t>The Board may appoint, or empower the chief executive officer or, in the absence of a chief executive officer, the president of the corporation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5.4 REMOVAL AND RESIGNATION OF OFFICERS.</w:t>
      </w:r>
    </w:p>
    <w:p>
      <w:pPr>
        <w:spacing w:after="0" w:line="86"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Any officer may be removed, either with or without cause, by an affirmative vote of the majority of the Board at any regular or special meeting of the Board or, except in the case of an officer appointed by the Board, by any officer upon whom such power of removal may be conferred by the Board.</w:t>
      </w:r>
    </w:p>
    <w:p>
      <w:pPr>
        <w:spacing w:after="0" w:line="49" w:lineRule="exact"/>
        <w:rPr>
          <w:sz w:val="20"/>
          <w:szCs w:val="20"/>
          <w:color w:val="auto"/>
        </w:rPr>
      </w:pPr>
    </w:p>
    <w:p>
      <w:pPr>
        <w:ind w:right="20" w:firstLine="157"/>
        <w:spacing w:after="0" w:line="264" w:lineRule="auto"/>
        <w:rPr>
          <w:sz w:val="20"/>
          <w:szCs w:val="20"/>
          <w:color w:val="auto"/>
        </w:rPr>
      </w:pPr>
      <w:r>
        <w:rPr>
          <w:rFonts w:ascii="Arial" w:cs="Arial" w:eastAsia="Arial" w:hAnsi="Arial"/>
          <w:sz w:val="13"/>
          <w:szCs w:val="13"/>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2" w:name="page203"/>
    <w:bookmarkEnd w:id="202"/>
    <w:p>
      <w:pPr>
        <w:ind w:left="160"/>
        <w:spacing w:after="0"/>
        <w:rPr>
          <w:sz w:val="20"/>
          <w:szCs w:val="20"/>
          <w:color w:val="auto"/>
        </w:rPr>
      </w:pPr>
      <w:r>
        <w:rPr>
          <w:rFonts w:ascii="Arial" w:cs="Arial" w:eastAsia="Arial" w:hAnsi="Arial"/>
          <w:sz w:val="13"/>
          <w:szCs w:val="13"/>
          <w:color w:val="auto"/>
        </w:rPr>
        <w:t>5.5 VACANCIES IN OFFICES.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vacancy occurring in any office of the corporation may only be filled by the Board or as provided in Section 5.3 of these bylaws.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5.6 REPRESENTATION OF SHARES OF OTHER CORPORATIONS.</w:t>
      </w:r>
    </w:p>
    <w:p>
      <w:pPr>
        <w:spacing w:after="0" w:line="86" w:lineRule="exact"/>
        <w:rPr>
          <w:sz w:val="20"/>
          <w:szCs w:val="20"/>
          <w:color w:val="auto"/>
        </w:rPr>
      </w:pPr>
    </w:p>
    <w:p>
      <w:pPr>
        <w:jc w:val="both"/>
        <w:ind w:right="100" w:firstLine="161"/>
        <w:spacing w:after="0" w:line="260" w:lineRule="auto"/>
        <w:rPr>
          <w:sz w:val="20"/>
          <w:szCs w:val="20"/>
          <w:color w:val="auto"/>
        </w:rPr>
      </w:pPr>
      <w:r>
        <w:rPr>
          <w:rFonts w:ascii="Arial" w:cs="Arial" w:eastAsia="Arial" w:hAnsi="Arial"/>
          <w:sz w:val="13"/>
          <w:szCs w:val="13"/>
          <w:color w:val="auto"/>
        </w:rPr>
        <w:t>The chairperson of the Board, 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other equity interests of any other corporation or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5.7 AUTHORITY AND DUTIES OF OFFICERS.</w:t>
      </w:r>
    </w:p>
    <w:p>
      <w:pPr>
        <w:spacing w:after="0" w:line="86"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In addition to the foregoing authority and duties, all officers of the corporation shall respectively have such authority and perform such duties in the management of the business of the corporation as may be designated from time to time by the Board.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VI — RECORDS AND REPORTS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6.1 MAINTENANCE AND INSPECTION OF RECORDS.</w:t>
      </w:r>
    </w:p>
    <w:p>
      <w:pPr>
        <w:spacing w:after="0" w:line="86"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The corporation shall, either at its principal executive office or at such place or places as designated by the Board, keep a record of its stockholders listing their names and addresses and the number and class of shares held by each stockholder, a copy of these bylaws, as may be amended to date, minute books, accounting books and other records.</w:t>
      </w:r>
    </w:p>
    <w:p>
      <w:pPr>
        <w:spacing w:after="0" w:line="49" w:lineRule="exact"/>
        <w:rPr>
          <w:sz w:val="20"/>
          <w:szCs w:val="20"/>
          <w:color w:val="auto"/>
        </w:rPr>
      </w:pPr>
    </w:p>
    <w:p>
      <w:pPr>
        <w:ind w:firstLine="157"/>
        <w:spacing w:after="0" w:line="260" w:lineRule="auto"/>
        <w:rPr>
          <w:sz w:val="20"/>
          <w:szCs w:val="20"/>
          <w:color w:val="auto"/>
        </w:rPr>
      </w:pPr>
      <w:r>
        <w:rPr>
          <w:rFonts w:ascii="Arial" w:cs="Arial" w:eastAsia="Arial" w:hAnsi="Arial"/>
          <w:sz w:val="13"/>
          <w:szCs w:val="13"/>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DGCL.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60" w:lineRule="exact"/>
        <w:rPr>
          <w:sz w:val="20"/>
          <w:szCs w:val="20"/>
          <w:color w:val="auto"/>
        </w:rPr>
      </w:pPr>
    </w:p>
    <w:p>
      <w:pPr>
        <w:ind w:right="40" w:firstLine="157"/>
        <w:spacing w:after="0" w:line="260" w:lineRule="auto"/>
        <w:rPr>
          <w:sz w:val="20"/>
          <w:szCs w:val="20"/>
          <w:color w:val="auto"/>
        </w:rPr>
      </w:pPr>
      <w:r>
        <w:rPr>
          <w:rFonts w:ascii="Arial" w:cs="Arial" w:eastAsia="Arial" w:hAnsi="Arial"/>
          <w:sz w:val="13"/>
          <w:szCs w:val="13"/>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3" w:name="page204"/>
    <w:bookmarkEnd w:id="203"/>
    <w:p>
      <w:pPr>
        <w:spacing w:after="0"/>
        <w:rPr>
          <w:sz w:val="20"/>
          <w:szCs w:val="20"/>
          <w:color w:val="auto"/>
        </w:rPr>
      </w:pPr>
      <w:r>
        <w:rPr>
          <w:rFonts w:ascii="Arial" w:cs="Arial" w:eastAsia="Arial" w:hAnsi="Arial"/>
          <w:sz w:val="13"/>
          <w:szCs w:val="13"/>
          <w:color w:val="auto"/>
        </w:rPr>
        <w:t>stockholder. The demand under oath shall be directed to the corporation at its registered office in Delaware or at its principal executive office.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6.2 INSPECTION BY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Any director shall have the right to examine the corporation’s stock ledger, a list of its stockholders, and its other books and records for a purpose reasonably related to his or her position as a director.</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VII — GENERAL MATTERS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7.1 CHECKS; DRAFTS; EVIDENCES OF INDEBTEDNESS.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From time to time, the Board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7.2 EXECUTION OF CORPORATE CONTRACTS AND INSTRUMENTS.</w:t>
      </w:r>
    </w:p>
    <w:p>
      <w:pPr>
        <w:spacing w:after="0" w:line="86"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Except as otherwise provided in these bylaws, the Board, or any officers of the corporation authorized thereby, may authorize any officer or officers, or agent or agents, to enter into any contract or execute any instrument in the name of and on behalf of the corporation; such authority may be general or confined to specific instances.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7.3 STOCK CERTIFICATES; PARTLY PAID SHARES.</w:t>
      </w:r>
    </w:p>
    <w:p>
      <w:pPr>
        <w:spacing w:after="0" w:line="86" w:lineRule="exact"/>
        <w:rPr>
          <w:sz w:val="20"/>
          <w:szCs w:val="20"/>
          <w:color w:val="auto"/>
        </w:rPr>
      </w:pPr>
    </w:p>
    <w:p>
      <w:pPr>
        <w:ind w:right="20" w:firstLine="161"/>
        <w:spacing w:after="0" w:line="282" w:lineRule="auto"/>
        <w:rPr>
          <w:sz w:val="20"/>
          <w:szCs w:val="20"/>
          <w:color w:val="auto"/>
        </w:rPr>
      </w:pPr>
      <w:r>
        <w:rPr>
          <w:rFonts w:ascii="Arial" w:cs="Arial" w:eastAsia="Arial" w:hAnsi="Arial"/>
          <w:sz w:val="12"/>
          <w:szCs w:val="12"/>
          <w:color w:val="auto"/>
        </w:rPr>
        <w:t>The shares of the corporation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and upon request every holder of uncertificated shares shall be entitled to have a certificate signed by, or in the name of the corporation by the chairperson or vice-chairperson of the Board, or the president or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49" w:lineRule="exact"/>
        <w:rPr>
          <w:sz w:val="20"/>
          <w:szCs w:val="20"/>
          <w:color w:val="auto"/>
        </w:rPr>
      </w:pPr>
    </w:p>
    <w:p>
      <w:pPr>
        <w:ind w:right="260" w:firstLine="161"/>
        <w:spacing w:after="0" w:line="264" w:lineRule="auto"/>
        <w:rPr>
          <w:sz w:val="20"/>
          <w:szCs w:val="20"/>
          <w:color w:val="auto"/>
        </w:rPr>
      </w:pPr>
      <w:r>
        <w:rPr>
          <w:rFonts w:ascii="Arial" w:cs="Arial" w:eastAsia="Arial" w:hAnsi="Arial"/>
          <w:sz w:val="13"/>
          <w:szCs w:val="13"/>
          <w:color w:val="auto"/>
        </w:rPr>
        <w:t>The corporation may issue the whole or any part of its shares as partly paid and subject to call for the remainder of the consideration to be paid therefor. Upon the face or back of each stock certificate issued to represent any such partly paid shares, and upon the books and records of the corporation in the case of uncertificated partly paid shares, the total amount of the consideration to be paid therefor and the amount paid thereon shall be stated. Upon the declaration of any dividend on fully paid shares,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color w:val="auto"/>
        </w:rPr>
        <w:t>corporation shall declare a dividend upon partly paid shares of the same class, but only upon the basis of the percentage of the consideration actually paid thereon.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7.4 SPECIAL DESIGNATION ON CERTIFICATES.</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If the corporation is authorized to issue more than one class of stock or more than one series of any 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7.5 LOST CERTIFICATES.</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Except as provided in this Section 7.5,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7.6 DIVIDENDS.</w:t>
      </w:r>
    </w:p>
    <w:p>
      <w:pPr>
        <w:spacing w:after="0" w:line="86"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The Board, subject to any restrictions contained in either (a) the DGCL or (b) the Certificate, may declare and pay dividends upon the shares of its capital stock. Dividends may be paid in cash, in property, or in shares of the corporation’s capital stock.</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Board may set apart out of any of the funds of the corporation available for dividends a reserve or reserves for any proper purpose and may abolish any such reserve.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7.7 FISCAL YEAR.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fiscal year of the corporation shall be fixed by resolution of the Board and may be changed by the Board.</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05" w:name="page206"/>
    <w:bookmarkEnd w:id="205"/>
    <w:p>
      <w:pPr>
        <w:ind w:left="160"/>
        <w:spacing w:after="0"/>
        <w:rPr>
          <w:sz w:val="20"/>
          <w:szCs w:val="20"/>
          <w:color w:val="auto"/>
        </w:rPr>
      </w:pPr>
      <w:r>
        <w:rPr>
          <w:rFonts w:ascii="Arial" w:cs="Arial" w:eastAsia="Arial" w:hAnsi="Arial"/>
          <w:sz w:val="13"/>
          <w:szCs w:val="13"/>
          <w:color w:val="auto"/>
        </w:rPr>
        <w:t>7.8 SEAL.</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7.9 TRANSFER OF STOCK.</w:t>
      </w:r>
    </w:p>
    <w:p>
      <w:pPr>
        <w:spacing w:after="0" w:line="86" w:lineRule="exact"/>
        <w:rPr>
          <w:sz w:val="20"/>
          <w:szCs w:val="20"/>
          <w:color w:val="auto"/>
        </w:rPr>
      </w:pPr>
    </w:p>
    <w:p>
      <w:pPr>
        <w:ind w:right="80" w:firstLine="161"/>
        <w:spacing w:after="0" w:line="289" w:lineRule="auto"/>
        <w:rPr>
          <w:sz w:val="20"/>
          <w:szCs w:val="20"/>
          <w:color w:val="auto"/>
        </w:rPr>
      </w:pPr>
      <w:r>
        <w:rPr>
          <w:rFonts w:ascii="Arial" w:cs="Arial" w:eastAsia="Arial" w:hAnsi="Arial"/>
          <w:sz w:val="12"/>
          <w:szCs w:val="12"/>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7.5 of these bylaws, an outstanding certificate for the number of shares involved shall be surrendered for cancellation before a new certificate is issued therefore.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7.10 STOCK TRANSFER AGREEMENTS.</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7.11 REGISTERED STOCKHOLDERS.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corporation:</w:t>
      </w:r>
    </w:p>
    <w:p>
      <w:pPr>
        <w:spacing w:after="0" w:line="86" w:lineRule="exact"/>
        <w:rPr>
          <w:sz w:val="20"/>
          <w:szCs w:val="20"/>
          <w:color w:val="auto"/>
        </w:rPr>
      </w:pPr>
    </w:p>
    <w:p>
      <w:pPr>
        <w:ind w:left="660" w:hanging="170"/>
        <w:spacing w:after="0"/>
        <w:tabs>
          <w:tab w:leader="none" w:pos="6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shall be entitled to recognize the exclusive right of a person registered on its books as the owner of shares to receive dividends and to vote as such owner;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shall be entitled to hold liable for calls and assessments on partly paid shares the person registered on its books as the owner of shares; and</w:t>
      </w:r>
    </w:p>
    <w:p>
      <w:pPr>
        <w:spacing w:after="0" w:line="86" w:lineRule="exact"/>
        <w:rPr>
          <w:rFonts w:ascii="Arial" w:cs="Arial" w:eastAsia="Arial" w:hAnsi="Arial"/>
          <w:sz w:val="13"/>
          <w:szCs w:val="13"/>
          <w:color w:val="auto"/>
        </w:rPr>
      </w:pPr>
    </w:p>
    <w:p>
      <w:pPr>
        <w:ind w:right="460" w:firstLine="490"/>
        <w:spacing w:after="0" w:line="276" w:lineRule="auto"/>
        <w:tabs>
          <w:tab w:leader="none" w:pos="669" w:val="left"/>
        </w:tabs>
        <w:numPr>
          <w:ilvl w:val="0"/>
          <w:numId w:val="125"/>
        </w:numPr>
        <w:rPr>
          <w:rFonts w:ascii="Arial" w:cs="Arial" w:eastAsia="Arial" w:hAnsi="Arial"/>
          <w:sz w:val="13"/>
          <w:szCs w:val="13"/>
          <w:color w:val="auto"/>
        </w:rPr>
      </w:pPr>
      <w:r>
        <w:rPr>
          <w:rFonts w:ascii="Arial" w:cs="Arial" w:eastAsia="Arial" w:hAnsi="Arial"/>
          <w:sz w:val="13"/>
          <w:szCs w:val="13"/>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7.12 WAIVER OF NOTICE.</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Whenever notice is required to be given under any provision of the DGCL, the Certificate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solely for the express purpose of objecting at the beginning of the meeting, to the transaction of any business because the meeting is not lawfully called or convened. Neither the business to be transacted at, nor the purpose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06" w:name="page207"/>
    <w:bookmarkEnd w:id="206"/>
    <w:p>
      <w:pPr>
        <w:spacing w:after="0"/>
        <w:rPr>
          <w:sz w:val="20"/>
          <w:szCs w:val="20"/>
          <w:color w:val="auto"/>
        </w:rPr>
      </w:pPr>
      <w:r>
        <w:rPr>
          <w:rFonts w:ascii="Arial" w:cs="Arial" w:eastAsia="Arial" w:hAnsi="Arial"/>
          <w:sz w:val="13"/>
          <w:szCs w:val="13"/>
          <w:color w:val="auto"/>
        </w:rPr>
        <w:t>of, any regular or special meeting of the stockholders need be specified in any written waiver of notice or any waiver by electronic transmission unless so required by the Certificate or these bylaws.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 — NOTICE BY ELECTRONIC TRANSMISSION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8.1 NOTICE BY ELECTRONIC TRANSMISSION.</w:t>
      </w:r>
    </w:p>
    <w:p>
      <w:pPr>
        <w:spacing w:after="0" w:line="86" w:lineRule="exact"/>
        <w:rPr>
          <w:sz w:val="20"/>
          <w:szCs w:val="20"/>
          <w:color w:val="auto"/>
        </w:rPr>
      </w:pPr>
    </w:p>
    <w:p>
      <w:pPr>
        <w:ind w:right="60" w:firstLine="161"/>
        <w:spacing w:after="0" w:line="264" w:lineRule="auto"/>
        <w:rPr>
          <w:sz w:val="20"/>
          <w:szCs w:val="20"/>
          <w:color w:val="auto"/>
        </w:rPr>
      </w:pPr>
      <w:r>
        <w:rPr>
          <w:rFonts w:ascii="Arial" w:cs="Arial" w:eastAsia="Arial" w:hAnsi="Arial"/>
          <w:sz w:val="13"/>
          <w:szCs w:val="13"/>
          <w:color w:val="auto"/>
        </w:rPr>
        <w:t>Without limiting the manner by which notice otherwise may be given effectively to stockholders pursuant to the DGCL, the Certificate or these bylaws, any notice to stockholders given by the corporation under any provision of the DGCL, the Certificate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57" w:lineRule="exact"/>
        <w:rPr>
          <w:sz w:val="20"/>
          <w:szCs w:val="20"/>
          <w:color w:val="auto"/>
        </w:rPr>
      </w:pPr>
    </w:p>
    <w:p>
      <w:pPr>
        <w:ind w:left="660" w:hanging="170"/>
        <w:spacing w:after="0"/>
        <w:tabs>
          <w:tab w:leader="none" w:pos="66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the corporation is unable to deliver by electronic transmission two consecutive notices given by the corporation in accordance with such consent; and</w:t>
      </w:r>
    </w:p>
    <w:p>
      <w:pPr>
        <w:spacing w:after="0" w:line="86" w:lineRule="exact"/>
        <w:rPr>
          <w:rFonts w:ascii="Arial" w:cs="Arial" w:eastAsia="Arial" w:hAnsi="Arial"/>
          <w:sz w:val="13"/>
          <w:szCs w:val="13"/>
          <w:color w:val="auto"/>
        </w:rPr>
      </w:pPr>
    </w:p>
    <w:p>
      <w:pPr>
        <w:ind w:right="2100" w:firstLine="490"/>
        <w:spacing w:after="0" w:line="378" w:lineRule="auto"/>
        <w:tabs>
          <w:tab w:leader="none" w:pos="677" w:val="left"/>
        </w:tabs>
        <w:numPr>
          <w:ilvl w:val="1"/>
          <w:numId w:val="126"/>
        </w:numPr>
        <w:rPr>
          <w:rFonts w:ascii="Arial" w:cs="Arial" w:eastAsia="Arial" w:hAnsi="Arial"/>
          <w:sz w:val="13"/>
          <w:szCs w:val="13"/>
          <w:color w:val="auto"/>
        </w:rPr>
      </w:pPr>
      <w:r>
        <w:rPr>
          <w:rFonts w:ascii="Arial" w:cs="Arial" w:eastAsia="Arial" w:hAnsi="Arial"/>
          <w:sz w:val="13"/>
          <w:szCs w:val="13"/>
          <w:color w:val="auto"/>
        </w:rPr>
        <w:t>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w:t>
      </w:r>
    </w:p>
    <w:p>
      <w:pPr>
        <w:ind w:left="160"/>
        <w:spacing w:after="0"/>
        <w:rPr>
          <w:rFonts w:ascii="Arial" w:cs="Arial" w:eastAsia="Arial" w:hAnsi="Arial"/>
          <w:sz w:val="13"/>
          <w:szCs w:val="13"/>
          <w:color w:val="auto"/>
        </w:rPr>
      </w:pPr>
      <w:r>
        <w:rPr>
          <w:rFonts w:ascii="Arial" w:cs="Arial" w:eastAsia="Arial" w:hAnsi="Arial"/>
          <w:sz w:val="13"/>
          <w:szCs w:val="13"/>
          <w:color w:val="auto"/>
        </w:rPr>
        <w:t>Any notice given pursuant to the preceding paragraph shall be deemed given:</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if by facsimile telecommunication, when directed to a number at which the stockholder has consented to receive notice;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if by electronic mail, when directed to an electronic mail address at which the stockholder has consented to receive notice;</w:t>
      </w:r>
    </w:p>
    <w:p>
      <w:pPr>
        <w:spacing w:after="0" w:line="86" w:lineRule="exact"/>
        <w:rPr>
          <w:rFonts w:ascii="Arial" w:cs="Arial" w:eastAsia="Arial" w:hAnsi="Arial"/>
          <w:sz w:val="13"/>
          <w:szCs w:val="13"/>
          <w:color w:val="auto"/>
        </w:rPr>
      </w:pPr>
    </w:p>
    <w:p>
      <w:pPr>
        <w:ind w:left="560" w:hanging="234"/>
        <w:spacing w:after="0"/>
        <w:tabs>
          <w:tab w:leader="none" w:pos="5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if by a posting on an electronic network together with separate notice to the stockholder of such specific posting, upon the later of (A) such posting and (B) the giving of such separate notice; and</w:t>
      </w:r>
    </w:p>
    <w:p>
      <w:pPr>
        <w:spacing w:after="0" w:line="97" w:lineRule="exact"/>
        <w:rPr>
          <w:rFonts w:ascii="Arial" w:cs="Arial" w:eastAsia="Arial" w:hAnsi="Arial"/>
          <w:sz w:val="12"/>
          <w:szCs w:val="12"/>
          <w:color w:val="auto"/>
        </w:rPr>
      </w:pPr>
    </w:p>
    <w:p>
      <w:pPr>
        <w:ind w:left="540" w:hanging="214"/>
        <w:spacing w:after="0"/>
        <w:tabs>
          <w:tab w:leader="none" w:pos="54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if by any other form of electronic transmission, when directed to the stockholder.</w:t>
      </w:r>
    </w:p>
    <w:p>
      <w:pPr>
        <w:spacing w:after="0" w:line="86"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8.2 DEFINITION OF ELECTRONIC TRANSMISSION.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 “electronic transmission” means any form of communication, not directly involving the physical transmission of paper, that creates a record that may be retained, retrieved, and reviewed by 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7" w:name="page208"/>
    <w:bookmarkEnd w:id="207"/>
    <w:p>
      <w:pPr>
        <w:spacing w:after="0"/>
        <w:rPr>
          <w:sz w:val="20"/>
          <w:szCs w:val="20"/>
          <w:color w:val="auto"/>
        </w:rPr>
      </w:pPr>
      <w:r>
        <w:rPr>
          <w:rFonts w:ascii="Arial" w:cs="Arial" w:eastAsia="Arial" w:hAnsi="Arial"/>
          <w:sz w:val="13"/>
          <w:szCs w:val="13"/>
          <w:color w:val="auto"/>
        </w:rPr>
        <w:t>recipient thereof, and that may be directly reproduced in paper form by such a recipient through an automated process.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8.3 INAPPLICABILITY.</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Notice by a form of electronic transmission shall not apply to Section 164 (relating to failure to pay for stock; remedies), Section 296 (relating to adjudication of claims; appeal), Section 311 (relating to revocation of voluntary dissolution), Section 312 (relating to renewal, revival, extension and restoration of certificate of incorporation) or Section 324 (relating to attachment of shares of stock or any option, right or interest therein) of the DGCL.</w:t>
      </w:r>
    </w:p>
    <w:p>
      <w:pPr>
        <w:spacing w:after="0" w:line="210"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ARTICLE IX — INDEMNIFICATION OF DIRECTORS AND OFFICERS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9.1 POWER TO INDEMNIFY IN ACTIONS, SUITS OR PROCEEDINGS OTHER THAN THOSE BY OR IN THE RIGHT OF THE CORPORATION.</w:t>
      </w:r>
    </w:p>
    <w:p>
      <w:pPr>
        <w:spacing w:after="0" w:line="86" w:lineRule="exact"/>
        <w:rPr>
          <w:sz w:val="20"/>
          <w:szCs w:val="20"/>
          <w:color w:val="auto"/>
        </w:rPr>
      </w:pPr>
    </w:p>
    <w:p>
      <w:pPr>
        <w:ind w:firstLine="164"/>
        <w:spacing w:after="0" w:line="308" w:lineRule="auto"/>
        <w:rPr>
          <w:sz w:val="20"/>
          <w:szCs w:val="20"/>
          <w:color w:val="auto"/>
        </w:rPr>
      </w:pPr>
      <w:r>
        <w:rPr>
          <w:rFonts w:ascii="Arial" w:cs="Arial" w:eastAsia="Arial" w:hAnsi="Arial"/>
          <w:sz w:val="11"/>
          <w:szCs w:val="11"/>
          <w:color w:val="auto"/>
        </w:rPr>
        <w:t xml:space="preserve">Subject to Section 9.3 of these bylaws, the corporation shall indemnify, to the fullest extent permitted by the DGCL, as now or hereafter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(or the legal representative of such person) is or was a director or officer of the corporation or any predecessor of the corporation, or is or was a director or officer of the corporation serving at the request of the corporation as a director 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Arial" w:cs="Arial" w:eastAsia="Arial" w:hAnsi="Arial"/>
          <w:sz w:val="11"/>
          <w:szCs w:val="11"/>
          <w:i w:val="1"/>
          <w:iCs w:val="1"/>
          <w:color w:val="auto"/>
        </w:rPr>
        <w:t>nolo contendere</w:t>
      </w:r>
      <w:r>
        <w:rPr>
          <w:rFonts w:ascii="Arial" w:cs="Arial" w:eastAsia="Arial" w:hAnsi="Arial"/>
          <w:sz w:val="11"/>
          <w:szCs w:val="11"/>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9.2 POWER TO INDEMNIFY IN ACTIONS, SUITS OR PROCEEDINGS BY OR IN THE RIGHT OF THE CORPORATION.</w:t>
      </w:r>
    </w:p>
    <w:p>
      <w:pPr>
        <w:spacing w:after="0" w:line="86" w:lineRule="exact"/>
        <w:rPr>
          <w:sz w:val="20"/>
          <w:szCs w:val="20"/>
          <w:color w:val="auto"/>
        </w:rPr>
      </w:pPr>
    </w:p>
    <w:p>
      <w:pPr>
        <w:jc w:val="both"/>
        <w:ind w:right="80" w:firstLine="164"/>
        <w:spacing w:after="0" w:line="260" w:lineRule="auto"/>
        <w:rPr>
          <w:sz w:val="20"/>
          <w:szCs w:val="20"/>
          <w:color w:val="auto"/>
        </w:rPr>
      </w:pPr>
      <w:r>
        <w:rPr>
          <w:rFonts w:ascii="Arial" w:cs="Arial" w:eastAsia="Arial" w:hAnsi="Arial"/>
          <w:sz w:val="13"/>
          <w:szCs w:val="13"/>
          <w:color w:val="auto"/>
        </w:rPr>
        <w:t>Subject to Section 9.3 of these bylaws, the corporation shall indemnify, to the fullest extent permitted by the DGCL, as now or hereafter in effect, any person who was or is a party or is threatened to be made a party to any threatened, pending or completed action or suit by or in the right of the corporation to procure a judgment in its favor by reason of the fact that such person (or the legal representative of such person) is or was a director or officer of the corporation or any predecessor of the corporation, or is or was a director or officer of the corporation serving at the request of the corporation as a director, officer, employee or agent of another corporation, partnership, joint venture, trust,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8" w:name="page209"/>
    <w:bookmarkEnd w:id="208"/>
    <w:p>
      <w:pPr>
        <w:spacing w:after="0" w:line="258" w:lineRule="auto"/>
        <w:rPr>
          <w:sz w:val="20"/>
          <w:szCs w:val="20"/>
          <w:color w:val="auto"/>
        </w:rPr>
      </w:pPr>
      <w:r>
        <w:rPr>
          <w:rFonts w:ascii="Arial" w:cs="Arial" w:eastAsia="Arial" w:hAnsi="Arial"/>
          <w:sz w:val="13"/>
          <w:szCs w:val="13"/>
          <w:color w:val="auto"/>
        </w:rPr>
        <w:t>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9.3 AUTHORIZATION OF INDEMNIFICATION.</w:t>
      </w:r>
    </w:p>
    <w:p>
      <w:pPr>
        <w:spacing w:after="0" w:line="86" w:lineRule="exact"/>
        <w:rPr>
          <w:sz w:val="20"/>
          <w:szCs w:val="20"/>
          <w:color w:val="auto"/>
        </w:rPr>
      </w:pPr>
    </w:p>
    <w:p>
      <w:pPr>
        <w:ind w:firstLine="157"/>
        <w:spacing w:after="0" w:line="280" w:lineRule="auto"/>
        <w:rPr>
          <w:sz w:val="20"/>
          <w:szCs w:val="20"/>
          <w:color w:val="auto"/>
        </w:rPr>
      </w:pPr>
      <w:r>
        <w:rPr>
          <w:rFonts w:ascii="Arial" w:cs="Arial" w:eastAsia="Arial" w:hAnsi="Arial"/>
          <w:sz w:val="12"/>
          <w:szCs w:val="12"/>
          <w:color w:val="auto"/>
        </w:rPr>
        <w:t>Any indemnification under this Article IX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9.1 or Section 9.2 of these bylaws, as the case may be. Such determination shall be made, with respect to a person who is either a director or officer at the time of such determination or a former director or officer,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(but only if a majority of the directors who are not parties to such action, suit or proceeding, if they constitute a quorum of the board of directors, presents the issue of entitlement to indemnification to the stockholders for their determination).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9.4 GOOD FAITH DEFINED.</w:t>
      </w:r>
    </w:p>
    <w:p>
      <w:pPr>
        <w:spacing w:after="0" w:line="86" w:lineRule="exact"/>
        <w:rPr>
          <w:sz w:val="20"/>
          <w:szCs w:val="20"/>
          <w:color w:val="auto"/>
        </w:rPr>
      </w:pPr>
    </w:p>
    <w:p>
      <w:pPr>
        <w:ind w:right="40" w:firstLine="164"/>
        <w:spacing w:after="0" w:line="256" w:lineRule="auto"/>
        <w:rPr>
          <w:sz w:val="20"/>
          <w:szCs w:val="20"/>
          <w:color w:val="auto"/>
        </w:rPr>
      </w:pPr>
      <w:r>
        <w:rPr>
          <w:rFonts w:ascii="Arial" w:cs="Arial" w:eastAsia="Arial" w:hAnsi="Arial"/>
          <w:sz w:val="13"/>
          <w:szCs w:val="13"/>
          <w:color w:val="auto"/>
        </w:rPr>
        <w:t>For purposes of any determination under Section 9.3 of these bylaws, to the fullest extent permitted by applicable law,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9.4 shall mean any other corporation or any partnership, joint venture, trust, employee benefit plan or other enterprise of which such person is or was serving at the request of the corporation as a director, officer, employee or agent. The provisions of this Section 9.4 shall not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9" w:name="page210"/>
    <w:bookmarkEnd w:id="209"/>
    <w:p>
      <w:pPr>
        <w:spacing w:after="0"/>
        <w:rPr>
          <w:sz w:val="20"/>
          <w:szCs w:val="20"/>
          <w:color w:val="auto"/>
        </w:rPr>
      </w:pPr>
      <w:r>
        <w:rPr>
          <w:rFonts w:ascii="Arial" w:cs="Arial" w:eastAsia="Arial" w:hAnsi="Arial"/>
          <w:sz w:val="12"/>
          <w:szCs w:val="12"/>
          <w:color w:val="auto"/>
        </w:rPr>
        <w:t>deemed to be exclusive or to limit in any way the circumstances in which a person may be deemed to have met the applicable standard of conduct set forth in Section 9.1 or 9.2 of these bylaws, as the case may be.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9.5 INDEMNIFICATION BY A COURT.</w:t>
      </w:r>
    </w:p>
    <w:p>
      <w:pPr>
        <w:spacing w:after="0" w:line="86"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Notwithstanding any contrary determination in the specific case under Section 9.3 of this Article IX, and notwithstanding the absence of any determination thereunder, any director or officer may apply to the Court of Chancery in the State of Delaware for indemnification to the extent otherwise permissible under Section 9.1 and Section 9.2 of these bylaws. The basis of such indemnification by a court shall be a determination by such court that indemnification of the director or officer is proper in the circumstances because such person has met the applicable standards of conduct set forth in Section 9.1 or Section 9.2 of these bylaws, as the case may be. Neither a contrary determination in the specific case under Section 9.3 of these bylaws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9.5 shall be given to the corporation promptly upon the filing of such application. If successful, in whole or in part, the director or officer seeking indemnification shall also be entitled to be paid the expense of prosecuting such application.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9.6 EXPENSES PAYABLE IN ADVANCE.</w:t>
      </w:r>
    </w:p>
    <w:p>
      <w:pPr>
        <w:spacing w:after="0" w:line="86" w:lineRule="exact"/>
        <w:rPr>
          <w:sz w:val="20"/>
          <w:szCs w:val="20"/>
          <w:color w:val="auto"/>
        </w:rPr>
      </w:pPr>
    </w:p>
    <w:p>
      <w:pPr>
        <w:ind w:right="200" w:firstLine="161"/>
        <w:spacing w:after="0" w:line="260" w:lineRule="auto"/>
        <w:rPr>
          <w:sz w:val="20"/>
          <w:szCs w:val="20"/>
          <w:color w:val="auto"/>
        </w:rPr>
      </w:pPr>
      <w:r>
        <w:rPr>
          <w:rFonts w:ascii="Arial" w:cs="Arial" w:eastAsia="Arial" w:hAnsi="Arial"/>
          <w:sz w:val="13"/>
          <w:szCs w:val="13"/>
          <w:color w:val="auto"/>
        </w:rPr>
        <w:t>To the fullest extent not prohibited by the DGCL, or by any other applicable law, expenses incurred by a person who is or was a director or officer in defending any civil, criminal, administrative or investigative action, suit or proceeding shall be paid by the corporation in advance of the final disposition of such action, suit or proceeding; provided, however, that if the DGCL requires, an advance of expenses incurred by any person in his or her capacity as a director or officer (and not in any other capacity) shall be made only upon receipt of an undertaking by or on behalf of such person to repay such amount if it shall ultimately be determined that such person is not entitled to be indemnified by the corporation as authorized in this Article IX.</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9.7 NONEXCLUSIVITY OF INDEMNIFICATION AND ADVANCEMENT OF EXPENSES.</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indemnification and advancement of expenses provided by or granted pursuant to this Article IX shall not be deemed exclusive of any other rights to which those seeking indemnification or advancement of expenses may be entitled under the Certificate, any bylaw,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and Section 9.2 of these bylaws shall be made to the fullest extent permitted by law. The provisions of this Article IX shall not be deemed to preclude the indemnification of any person who is not specified in Section 9.1 or Section 9.2 of these bylaws but whom the corporation has the power or obligation to indemnify under the provisions of the DGCL, or otherwise.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10" w:name="page211"/>
    <w:bookmarkEnd w:id="210"/>
    <w:p>
      <w:pPr>
        <w:ind w:left="160"/>
        <w:spacing w:after="0"/>
        <w:rPr>
          <w:sz w:val="20"/>
          <w:szCs w:val="20"/>
          <w:color w:val="auto"/>
        </w:rPr>
      </w:pPr>
      <w:r>
        <w:rPr>
          <w:rFonts w:ascii="Arial" w:cs="Arial" w:eastAsia="Arial" w:hAnsi="Arial"/>
          <w:sz w:val="13"/>
          <w:szCs w:val="13"/>
          <w:color w:val="auto"/>
        </w:rPr>
        <w:t>9.8 INSURANCE.</w:t>
      </w:r>
    </w:p>
    <w:p>
      <w:pPr>
        <w:spacing w:after="0" w:line="86" w:lineRule="exact"/>
        <w:rPr>
          <w:sz w:val="20"/>
          <w:szCs w:val="20"/>
          <w:color w:val="auto"/>
        </w:rPr>
      </w:pPr>
    </w:p>
    <w:p>
      <w:pPr>
        <w:ind w:right="80" w:firstLine="161"/>
        <w:spacing w:after="0" w:line="260" w:lineRule="auto"/>
        <w:rPr>
          <w:sz w:val="20"/>
          <w:szCs w:val="20"/>
          <w:color w:val="auto"/>
        </w:rPr>
      </w:pPr>
      <w:r>
        <w:rPr>
          <w:rFonts w:ascii="Arial" w:cs="Arial" w:eastAsia="Arial" w:hAnsi="Arial"/>
          <w:sz w:val="13"/>
          <w:szCs w:val="13"/>
          <w:color w:val="auto"/>
        </w:rPr>
        <w:t>To the fullest extent permitted by the DGCL or any other applicable law, the corporation may purchase and maintain insurance on behalf of any person who is or was a director, officer, employee or agent of the corporation, or is or was a director, officer, employee or agent of the corporation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9.9 CERTAIN DEFINITIONS.</w:t>
      </w:r>
    </w:p>
    <w:p>
      <w:pPr>
        <w:spacing w:after="0" w:line="86"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IX with respect to the resulting or surviving corporation as such person would have with respect to such constituent corporation if its separate existence had continued.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9.10 SURVIVAL OF INDEMNIFICATION AND ADVANCEMENT OF EXPENSES.</w:t>
      </w:r>
    </w:p>
    <w:p>
      <w:pPr>
        <w:spacing w:after="0" w:line="86" w:lineRule="exact"/>
        <w:rPr>
          <w:sz w:val="20"/>
          <w:szCs w:val="20"/>
          <w:color w:val="auto"/>
        </w:rPr>
      </w:pPr>
    </w:p>
    <w:p>
      <w:pPr>
        <w:ind w:right="240" w:firstLine="161"/>
        <w:spacing w:after="0" w:line="276" w:lineRule="auto"/>
        <w:rPr>
          <w:sz w:val="20"/>
          <w:szCs w:val="20"/>
          <w:color w:val="auto"/>
        </w:rPr>
      </w:pPr>
      <w:r>
        <w:rPr>
          <w:rFonts w:ascii="Arial" w:cs="Arial" w:eastAsia="Arial" w:hAnsi="Arial"/>
          <w:sz w:val="13"/>
          <w:szCs w:val="13"/>
          <w:color w:val="auto"/>
        </w:rPr>
        <w:t>The rights to indemnification and advancement of expenses conferred by this Article IX shall continue as to a person who has ceased to be a director or officer and shall inure to the benefit of the heirs, executors, administrators and other personal and legal representatives of such a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9.11 LIMITATION ON INDEMNIFICATION.</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Notwithstanding anything contained in this Article IX to the contrary, except for proceedings to enforce rights to indemnification (which shall be governed by Section 9.5 of these bylaws),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1" w:name="page212"/>
    <w:bookmarkEnd w:id="211"/>
    <w:p>
      <w:pPr>
        <w:ind w:left="160"/>
        <w:spacing w:after="0"/>
        <w:rPr>
          <w:sz w:val="20"/>
          <w:szCs w:val="20"/>
          <w:color w:val="auto"/>
        </w:rPr>
      </w:pPr>
      <w:r>
        <w:rPr>
          <w:rFonts w:ascii="Arial" w:cs="Arial" w:eastAsia="Arial" w:hAnsi="Arial"/>
          <w:sz w:val="13"/>
          <w:szCs w:val="13"/>
          <w:color w:val="auto"/>
        </w:rPr>
        <w:t>9.12 INDEMNIFICATION OF EMPLOYEES AND AGENTS.</w:t>
      </w:r>
    </w:p>
    <w:p>
      <w:pPr>
        <w:spacing w:after="0" w:line="86"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 corporation may, to the extent authorized from time to time by the board of directors, provide rights to indemnification and to the advancement of expenses to employees and agents of the corporation similar to those conferred in this Article IX to directors and officers of the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9.13 EFFECT OF AMENDMENT OR REPEAL.</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Neither any amendment or repeal of any Section of this Article IX, nor the adoption of any provision of the Certificate or the bylaws inconsistent with this Article IX, shall adversely affect any right or protection of any director, officer, employee or other agent established pursuant to this Article IX existing at the time of such amendment, repeal or adoption of an inconsistent provision, including without limitation by eliminating or reducing the effect of this Article IX, for or in respect of any act, omission or other matter occurring, or any action or proceeding accruing or arising (or that, but for this Article IX, would accrue or arise), prior to such amendment, repeal or adoption of an inconsistent provision.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 — MISCELLANEOUS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10.1 PROVISIONS OF CERTIFICATE GOVERN.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any inconsistency between the terms of these bylaws and the Certificate, the terms of the Certificate will govern.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10.2 CONSTRUCTION; DEFINITIONS.</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10.3 SEVERABILITY.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the event that any bylaw or the application thereof becomes or is declared by a court of competent jurisdiction to be illegal, void or unenforceable, the remaining bylaws will continue in full force and effect.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10.4 AMENDMENT.</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The bylaws of the corporation may be adopted, amended or repealed by a majority of the voting power of the stockholders entitled to vote; provided, however, that the corporation may, in its Certificate, also confer the power to adopt, amend or repeal bylaws upon the Board. The fact that such power has been so conferred upon the Board shall not divest the stockholders of the power, nor limit their power to adopt, amend or repeal bylaws. Notwithstanding the foregoing and any provision of law that might otherwise permit a lesser vote or no vote, the Board acting pursuant to a resolution adopted by a majority of the Board and the affirmative vote of the holders at least sixty-six and two-thirds percent (66 2/3%) of the voting power of the issued and outstanding shares of capital stock of the corporation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2" w:name="page213"/>
    <w:bookmarkEnd w:id="212"/>
    <w:p>
      <w:pPr>
        <w:spacing w:after="0" w:line="276" w:lineRule="auto"/>
        <w:rPr>
          <w:sz w:val="20"/>
          <w:szCs w:val="20"/>
          <w:color w:val="auto"/>
        </w:rPr>
      </w:pPr>
      <w:r>
        <w:rPr>
          <w:rFonts w:ascii="Arial" w:cs="Arial" w:eastAsia="Arial" w:hAnsi="Arial"/>
          <w:sz w:val="13"/>
          <w:szCs w:val="13"/>
          <w:color w:val="auto"/>
        </w:rPr>
        <w:t>then entitled to vote shall be required to amend or repeal Section 2.3, the last paragraph of Section 2.9 (relating to no cumulative voting), Section 2.10, Section 2.14, Section 2.15, Section 3.2, Section 3.3, Section 3.4, Section 3.13 and Section 9.13 of these bylaws, or this sentence of this Section 10.4.</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20" w:right="379" w:bottom="1440" w:gutter="0" w:footer="0" w:header="0"/>
        </w:sectPr>
      </w:pPr>
    </w:p>
    <w:bookmarkStart w:id="213" w:name="page214"/>
    <w:bookmarkEnd w:id="213"/>
    <w:p>
      <w:pPr>
        <w:jc w:val="center"/>
        <w:ind w:right="-13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a Delaware corporation</w:t>
      </w: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CERTIFICATE OF ADOPTION OF AMENDED AND RESTATED BYLAWS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1"/>
          <w:szCs w:val="11"/>
          <w:color w:val="auto"/>
        </w:rPr>
        <w:t>The undersigned hereby certifies that he or she is the duly elected, qualified, and acting Secretary of Fluidigm Corporation, a Delaware corporation, and that the foregoing amended and restated bylaws, comprising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20"/>
                <w:szCs w:val="20"/>
                <w:color w:val="auto"/>
              </w:rPr>
            </w:pPr>
            <w:r>
              <w:rPr>
                <w:rFonts w:ascii="Arial" w:cs="Arial" w:eastAsia="Arial" w:hAnsi="Arial"/>
                <w:sz w:val="13"/>
                <w:szCs w:val="13"/>
                <w:color w:val="auto"/>
                <w:w w:val="90"/>
              </w:rPr>
              <w:t>26 pages, were adopted as the corporation’s bylaws (i) on</w:t>
            </w:r>
          </w:p>
        </w:tc>
        <w:tc>
          <w:tcPr>
            <w:tcW w:w="1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gridSpan w:val="5"/>
          </w:tcPr>
          <w:p>
            <w:pPr>
              <w:jc w:val="right"/>
              <w:ind w:right="20"/>
              <w:spacing w:after="0"/>
              <w:rPr>
                <w:sz w:val="20"/>
                <w:szCs w:val="20"/>
                <w:color w:val="auto"/>
              </w:rPr>
            </w:pPr>
            <w:r>
              <w:rPr>
                <w:rFonts w:ascii="Arial" w:cs="Arial" w:eastAsia="Arial" w:hAnsi="Arial"/>
                <w:sz w:val="13"/>
                <w:szCs w:val="13"/>
                <w:color w:val="auto"/>
                <w:w w:val="92"/>
              </w:rPr>
              <w:t>by the corporation’s board of directors and (ii) on</w:t>
            </w:r>
          </w:p>
        </w:tc>
        <w:tc>
          <w:tcPr>
            <w:tcW w:w="1320" w:type="dxa"/>
            <w:vAlign w:val="bottom"/>
            <w:tcBorders>
              <w:bottom w:val="single" w:sz="8" w:color="auto"/>
            </w:tcBorders>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w w:val="90"/>
              </w:rPr>
              <w:t>by the stockholders of the corporation.</w:t>
            </w:r>
          </w:p>
        </w:tc>
      </w:tr>
      <w:tr>
        <w:trPr>
          <w:trHeight w:val="216"/>
        </w:trPr>
        <w:tc>
          <w:tcPr>
            <w:tcW w:w="4380" w:type="dxa"/>
            <w:vAlign w:val="bottom"/>
            <w:gridSpan w:val="3"/>
          </w:tcPr>
          <w:p>
            <w:pPr>
              <w:ind w:left="160"/>
              <w:spacing w:after="0"/>
              <w:rPr>
                <w:sz w:val="20"/>
                <w:szCs w:val="20"/>
                <w:color w:val="auto"/>
              </w:rPr>
            </w:pPr>
            <w:r>
              <w:rPr>
                <w:rFonts w:ascii="Arial" w:cs="Arial" w:eastAsia="Arial" w:hAnsi="Arial"/>
                <w:sz w:val="13"/>
                <w:szCs w:val="13"/>
                <w:color w:val="auto"/>
                <w:w w:val="91"/>
              </w:rPr>
              <w:t>IN WITNESS WHEREOF, the undersigned has hereunto set his or her hand this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auto"/>
                <w:w w:val="95"/>
              </w:rPr>
              <w:t>day of</w:t>
            </w:r>
          </w:p>
        </w:tc>
        <w:tc>
          <w:tcPr>
            <w:tcW w:w="2040" w:type="dxa"/>
            <w:vAlign w:val="bottom"/>
            <w:gridSpan w:val="2"/>
          </w:tcPr>
          <w:p>
            <w:pPr>
              <w:jc w:val="right"/>
              <w:ind w:right="1020"/>
              <w:spacing w:after="0"/>
              <w:rPr>
                <w:sz w:val="20"/>
                <w:szCs w:val="20"/>
                <w:color w:val="auto"/>
              </w:rPr>
            </w:pPr>
            <w:r>
              <w:rPr>
                <w:rFonts w:ascii="Arial" w:cs="Arial" w:eastAsia="Arial" w:hAnsi="Arial"/>
                <w:sz w:val="13"/>
                <w:szCs w:val="13"/>
                <w:color w:val="auto"/>
              </w:rPr>
              <w:t>, 2008.</w:t>
            </w: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2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10795</wp:posOffset>
            </wp:positionV>
            <wp:extent cx="283337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33370" cy="635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238442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84425" cy="635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238442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844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36" w:right="359" w:bottom="1440" w:gutter="0" w:footer="0" w:header="0"/>
        </w:sectPr>
      </w:pPr>
    </w:p>
    <w:bookmarkStart w:id="214" w:name="page215"/>
    <w:bookmarkEnd w:id="214"/>
    <w:p>
      <w:pPr>
        <w:jc w:val="center"/>
        <w:ind w:right="-47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a Delaware corporation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80" w:type="dxa"/>
            <w:vAlign w:val="bottom"/>
            <w:gridSpan w:val="11"/>
          </w:tcPr>
          <w:p>
            <w:pPr>
              <w:ind w:left="3380"/>
              <w:spacing w:after="0"/>
              <w:rPr>
                <w:sz w:val="20"/>
                <w:szCs w:val="20"/>
                <w:color w:val="auto"/>
              </w:rPr>
            </w:pPr>
            <w:r>
              <w:rPr>
                <w:rFonts w:ascii="Arial" w:cs="Arial" w:eastAsia="Arial" w:hAnsi="Arial"/>
                <w:sz w:val="13"/>
                <w:szCs w:val="13"/>
                <w:b w:val="1"/>
                <w:bCs w:val="1"/>
                <w:color w:val="auto"/>
              </w:rPr>
              <w:t>CERTIFICATE OF AMENDMENT OF BYLAWS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8"/>
        </w:trPr>
        <w:tc>
          <w:tcPr>
            <w:tcW w:w="4760" w:type="dxa"/>
            <w:vAlign w:val="bottom"/>
            <w:gridSpan w:val="6"/>
          </w:tcPr>
          <w:p>
            <w:pPr>
              <w:ind w:left="160"/>
              <w:spacing w:after="0"/>
              <w:rPr>
                <w:sz w:val="20"/>
                <w:szCs w:val="20"/>
                <w:color w:val="auto"/>
              </w:rPr>
            </w:pPr>
            <w:r>
              <w:rPr>
                <w:rFonts w:ascii="Arial" w:cs="Arial" w:eastAsia="Arial" w:hAnsi="Arial"/>
                <w:sz w:val="13"/>
                <w:szCs w:val="13"/>
                <w:color w:val="auto"/>
                <w:w w:val="91"/>
              </w:rPr>
              <w:t>The undersigned hereby certifies that he or she is the duly elected, qualified, and acting</w:t>
            </w:r>
          </w:p>
        </w:tc>
        <w:tc>
          <w:tcPr>
            <w:tcW w:w="48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40" w:type="dxa"/>
            <w:vAlign w:val="bottom"/>
            <w:gridSpan w:val="5"/>
          </w:tcPr>
          <w:p>
            <w:pPr>
              <w:spacing w:after="0"/>
              <w:rPr>
                <w:sz w:val="20"/>
                <w:szCs w:val="20"/>
                <w:color w:val="auto"/>
              </w:rPr>
            </w:pPr>
            <w:r>
              <w:rPr>
                <w:rFonts w:ascii="Arial" w:cs="Arial" w:eastAsia="Arial" w:hAnsi="Arial"/>
                <w:sz w:val="13"/>
                <w:szCs w:val="13"/>
                <w:color w:val="auto"/>
                <w:w w:val="92"/>
              </w:rPr>
              <w:t>of Fluidigm Corporation, a Delaware corporation, and that the foregoing bylaws,</w:t>
            </w:r>
          </w:p>
        </w:tc>
      </w:tr>
      <w:tr>
        <w:trPr>
          <w:trHeight w:val="137"/>
        </w:trPr>
        <w:tc>
          <w:tcPr>
            <w:tcW w:w="620" w:type="dxa"/>
            <w:vAlign w:val="bottom"/>
          </w:tcPr>
          <w:p>
            <w:pPr>
              <w:spacing w:after="0" w:line="138" w:lineRule="exact"/>
              <w:rPr>
                <w:sz w:val="20"/>
                <w:szCs w:val="20"/>
                <w:color w:val="auto"/>
              </w:rPr>
            </w:pPr>
            <w:r>
              <w:rPr>
                <w:rFonts w:ascii="Arial" w:cs="Arial" w:eastAsia="Arial" w:hAnsi="Arial"/>
                <w:sz w:val="13"/>
                <w:szCs w:val="13"/>
                <w:color w:val="auto"/>
                <w:w w:val="95"/>
              </w:rPr>
              <w:t>comprising</w:t>
            </w:r>
          </w:p>
        </w:tc>
        <w:tc>
          <w:tcPr>
            <w:tcW w:w="320" w:type="dxa"/>
            <w:vAlign w:val="bottom"/>
            <w:tcBorders>
              <w:bottom w:val="single" w:sz="8" w:color="auto"/>
            </w:tcBorders>
          </w:tcPr>
          <w:p>
            <w:pPr>
              <w:spacing w:after="0"/>
              <w:rPr>
                <w:sz w:val="11"/>
                <w:szCs w:val="11"/>
                <w:color w:val="auto"/>
              </w:rPr>
            </w:pPr>
          </w:p>
        </w:tc>
        <w:tc>
          <w:tcPr>
            <w:tcW w:w="3640" w:type="dxa"/>
            <w:vAlign w:val="bottom"/>
            <w:gridSpan w:val="3"/>
          </w:tcPr>
          <w:p>
            <w:pPr>
              <w:ind w:left="40"/>
              <w:spacing w:after="0" w:line="138" w:lineRule="exact"/>
              <w:rPr>
                <w:sz w:val="20"/>
                <w:szCs w:val="20"/>
                <w:color w:val="auto"/>
              </w:rPr>
            </w:pPr>
            <w:r>
              <w:rPr>
                <w:rFonts w:ascii="Arial" w:cs="Arial" w:eastAsia="Arial" w:hAnsi="Arial"/>
                <w:sz w:val="13"/>
                <w:szCs w:val="13"/>
                <w:color w:val="auto"/>
                <w:w w:val="89"/>
              </w:rPr>
              <w:t>pages, were amended and restated as the corporation’s bylaws (i) on</w:t>
            </w:r>
          </w:p>
        </w:tc>
        <w:tc>
          <w:tcPr>
            <w:tcW w:w="660" w:type="dxa"/>
            <w:vAlign w:val="bottom"/>
            <w:tcBorders>
              <w:bottom w:val="single" w:sz="8" w:color="auto"/>
            </w:tcBorders>
            <w:gridSpan w:val="3"/>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980" w:type="dxa"/>
            <w:vAlign w:val="bottom"/>
            <w:gridSpan w:val="3"/>
          </w:tcPr>
          <w:p>
            <w:pPr>
              <w:spacing w:after="0" w:line="138" w:lineRule="exact"/>
              <w:rPr>
                <w:sz w:val="20"/>
                <w:szCs w:val="20"/>
                <w:color w:val="auto"/>
              </w:rPr>
            </w:pPr>
            <w:r>
              <w:rPr>
                <w:rFonts w:ascii="Arial" w:cs="Arial" w:eastAsia="Arial" w:hAnsi="Arial"/>
                <w:sz w:val="13"/>
                <w:szCs w:val="13"/>
                <w:color w:val="auto"/>
                <w:w w:val="92"/>
              </w:rPr>
              <w:t>, 2008 by the corporation’s board of directors and (ii) on</w:t>
            </w: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Pr>
          <w:p>
            <w:pPr>
              <w:spacing w:after="0" w:line="138" w:lineRule="exact"/>
              <w:rPr>
                <w:sz w:val="20"/>
                <w:szCs w:val="20"/>
                <w:color w:val="auto"/>
              </w:rPr>
            </w:pPr>
            <w:r>
              <w:rPr>
                <w:rFonts w:ascii="Arial" w:cs="Arial" w:eastAsia="Arial" w:hAnsi="Arial"/>
                <w:sz w:val="13"/>
                <w:szCs w:val="13"/>
                <w:color w:val="auto"/>
                <w:w w:val="90"/>
              </w:rPr>
              <w:t>, 2008 by the stockholders of the</w:t>
            </w:r>
          </w:p>
        </w:tc>
      </w:tr>
      <w:tr>
        <w:trPr>
          <w:trHeight w:val="165"/>
        </w:trPr>
        <w:tc>
          <w:tcPr>
            <w:tcW w:w="940" w:type="dxa"/>
            <w:vAlign w:val="bottom"/>
            <w:gridSpan w:val="2"/>
          </w:tcPr>
          <w:p>
            <w:pPr>
              <w:spacing w:after="0"/>
              <w:rPr>
                <w:sz w:val="20"/>
                <w:szCs w:val="20"/>
                <w:color w:val="auto"/>
              </w:rPr>
            </w:pPr>
            <w:r>
              <w:rPr>
                <w:rFonts w:ascii="Arial" w:cs="Arial" w:eastAsia="Arial" w:hAnsi="Arial"/>
                <w:sz w:val="13"/>
                <w:szCs w:val="13"/>
                <w:color w:val="auto"/>
              </w:rPr>
              <w:t>corporation.</w:t>
            </w: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8"/>
        </w:trPr>
        <w:tc>
          <w:tcPr>
            <w:tcW w:w="5240" w:type="dxa"/>
            <w:vAlign w:val="bottom"/>
            <w:gridSpan w:val="8"/>
          </w:tcPr>
          <w:p>
            <w:pPr>
              <w:ind w:left="160"/>
              <w:spacing w:after="0"/>
              <w:rPr>
                <w:sz w:val="20"/>
                <w:szCs w:val="20"/>
                <w:color w:val="auto"/>
              </w:rPr>
            </w:pPr>
            <w:r>
              <w:rPr>
                <w:rFonts w:ascii="Arial" w:cs="Arial" w:eastAsia="Arial" w:hAnsi="Arial"/>
                <w:sz w:val="13"/>
                <w:szCs w:val="13"/>
                <w:color w:val="auto"/>
                <w:w w:val="99"/>
              </w:rPr>
              <w:t>IN WITNESS WHEREOF, the undersigned has hereunto set his or her hand this    day of</w:t>
            </w:r>
          </w:p>
        </w:tc>
        <w:tc>
          <w:tcPr>
            <w:tcW w:w="1500" w:type="dxa"/>
            <w:vAlign w:val="bottom"/>
            <w:gridSpan w:val="4"/>
          </w:tcPr>
          <w:p>
            <w:pPr>
              <w:jc w:val="right"/>
              <w:ind w:right="760"/>
              <w:spacing w:after="0"/>
              <w:rPr>
                <w:sz w:val="20"/>
                <w:szCs w:val="20"/>
                <w:color w:val="auto"/>
              </w:rPr>
            </w:pPr>
            <w:r>
              <w:rPr>
                <w:rFonts w:ascii="Arial" w:cs="Arial" w:eastAsia="Arial" w:hAnsi="Arial"/>
                <w:sz w:val="13"/>
                <w:szCs w:val="13"/>
                <w:color w:val="auto"/>
              </w:rPr>
              <w:t>, 2008.</w:t>
            </w: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10795</wp:posOffset>
            </wp:positionV>
            <wp:extent cx="283337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33370" cy="635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238442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84425" cy="635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238442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84425" cy="6350"/>
                    </a:xfrm>
                    <a:prstGeom prst="rect">
                      <a:avLst/>
                    </a:prstGeom>
                    <a:noFill/>
                  </pic:spPr>
                </pic:pic>
              </a:graphicData>
            </a:graphic>
          </wp:anchor>
        </w:drawing>
      </w:r>
    </w:p>
    <w:p>
      <w:pPr>
        <w:sectPr>
          <w:pgSz w:w="11900" w:h="16838" w:orient="portrait"/>
          <w:cols w:equalWidth="0" w:num="1">
            <w:col w:w="10980"/>
          </w:cols>
          <w:pgMar w:left="220" w:top="1110" w:right="6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3"/>
          <w:szCs w:val="13"/>
          <w:b w:val="1"/>
          <w:bCs w:val="1"/>
          <w:color w:val="auto"/>
        </w:rPr>
        <w:t>Exhibit 10.3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2008 EQUITY INCENTIVE PLAN</w:t>
      </w:r>
    </w:p>
    <w:p>
      <w:pPr>
        <w:spacing w:after="0" w:line="90" w:lineRule="exact"/>
        <w:rPr>
          <w:sz w:val="20"/>
          <w:szCs w:val="20"/>
          <w:color w:val="auto"/>
        </w:rPr>
      </w:pPr>
    </w:p>
    <w:p>
      <w:pPr>
        <w:ind w:left="300" w:hanging="138"/>
        <w:spacing w:after="0"/>
        <w:tabs>
          <w:tab w:leader="none" w:pos="300"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Purposes of the Plan</w:t>
      </w:r>
      <w:r>
        <w:rPr>
          <w:rFonts w:ascii="Arial" w:cs="Arial" w:eastAsia="Arial" w:hAnsi="Arial"/>
          <w:sz w:val="13"/>
          <w:szCs w:val="13"/>
          <w:color w:val="auto"/>
        </w:rPr>
        <w:t>. The purposes of this Plan are:</w:t>
      </w:r>
    </w:p>
    <w:p>
      <w:pPr>
        <w:spacing w:after="0" w:line="86" w:lineRule="exact"/>
        <w:rPr>
          <w:rFonts w:ascii="Arial" w:cs="Arial" w:eastAsia="Arial" w:hAnsi="Arial"/>
          <w:sz w:val="13"/>
          <w:szCs w:val="13"/>
          <w:color w:val="auto"/>
        </w:rPr>
      </w:pPr>
    </w:p>
    <w:p>
      <w:pPr>
        <w:ind w:left="900" w:hanging="449"/>
        <w:spacing w:after="0"/>
        <w:tabs>
          <w:tab w:leader="none" w:pos="900" w:val="left"/>
        </w:tabs>
        <w:numPr>
          <w:ilvl w:val="1"/>
          <w:numId w:val="128"/>
        </w:numPr>
        <w:rPr>
          <w:rFonts w:ascii="Arial" w:cs="Arial" w:eastAsia="Arial" w:hAnsi="Arial"/>
          <w:sz w:val="13"/>
          <w:szCs w:val="13"/>
          <w:b w:val="1"/>
          <w:bCs w:val="1"/>
          <w:color w:val="auto"/>
        </w:rPr>
      </w:pPr>
      <w:r>
        <w:rPr>
          <w:rFonts w:ascii="Arial" w:cs="Arial" w:eastAsia="Arial" w:hAnsi="Arial"/>
          <w:sz w:val="13"/>
          <w:szCs w:val="13"/>
          <w:color w:val="auto"/>
        </w:rPr>
        <w:t>to attract and retain the best available personnel for positions of substantial responsibility,</w:t>
      </w:r>
    </w:p>
    <w:p>
      <w:pPr>
        <w:spacing w:after="0" w:line="96" w:lineRule="exact"/>
        <w:rPr>
          <w:rFonts w:ascii="Arial" w:cs="Arial" w:eastAsia="Arial" w:hAnsi="Arial"/>
          <w:sz w:val="13"/>
          <w:szCs w:val="13"/>
          <w:b w:val="1"/>
          <w:bCs w:val="1"/>
          <w:color w:val="auto"/>
        </w:rPr>
      </w:pPr>
    </w:p>
    <w:p>
      <w:pPr>
        <w:ind w:left="900" w:hanging="449"/>
        <w:spacing w:after="0"/>
        <w:tabs>
          <w:tab w:leader="none" w:pos="900" w:val="left"/>
        </w:tabs>
        <w:numPr>
          <w:ilvl w:val="1"/>
          <w:numId w:val="128"/>
        </w:numPr>
        <w:rPr>
          <w:rFonts w:ascii="Arial" w:cs="Arial" w:eastAsia="Arial" w:hAnsi="Arial"/>
          <w:sz w:val="13"/>
          <w:szCs w:val="13"/>
          <w:b w:val="1"/>
          <w:bCs w:val="1"/>
          <w:color w:val="auto"/>
        </w:rPr>
      </w:pPr>
      <w:r>
        <w:rPr>
          <w:rFonts w:ascii="Arial" w:cs="Arial" w:eastAsia="Arial" w:hAnsi="Arial"/>
          <w:sz w:val="13"/>
          <w:szCs w:val="13"/>
          <w:color w:val="auto"/>
        </w:rPr>
        <w:t>to provide additional incentive to Employees, Directors and Consultants, and</w:t>
      </w:r>
    </w:p>
    <w:p>
      <w:pPr>
        <w:spacing w:after="0" w:line="96" w:lineRule="exact"/>
        <w:rPr>
          <w:rFonts w:ascii="Arial" w:cs="Arial" w:eastAsia="Arial" w:hAnsi="Arial"/>
          <w:sz w:val="13"/>
          <w:szCs w:val="13"/>
          <w:b w:val="1"/>
          <w:bCs w:val="1"/>
          <w:color w:val="auto"/>
        </w:rPr>
      </w:pPr>
    </w:p>
    <w:p>
      <w:pPr>
        <w:ind w:left="900" w:hanging="449"/>
        <w:spacing w:after="0"/>
        <w:tabs>
          <w:tab w:leader="none" w:pos="900" w:val="left"/>
        </w:tabs>
        <w:numPr>
          <w:ilvl w:val="1"/>
          <w:numId w:val="128"/>
        </w:numPr>
        <w:rPr>
          <w:rFonts w:ascii="Arial" w:cs="Arial" w:eastAsia="Arial" w:hAnsi="Arial"/>
          <w:sz w:val="13"/>
          <w:szCs w:val="13"/>
          <w:b w:val="1"/>
          <w:bCs w:val="1"/>
          <w:color w:val="auto"/>
        </w:rPr>
      </w:pPr>
      <w:r>
        <w:rPr>
          <w:rFonts w:ascii="Arial" w:cs="Arial" w:eastAsia="Arial" w:hAnsi="Arial"/>
          <w:sz w:val="13"/>
          <w:szCs w:val="13"/>
          <w:color w:val="auto"/>
        </w:rPr>
        <w:t>to promote the success of the Company’s business.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Plan permits the grant of Incentive Stock Options, Nonstatutory Stock Options, Restricted Stock, Restricted Stock Units, Stock Appreciation Rights, Performance Units and Performance Shares.</w:t>
      </w:r>
    </w:p>
    <w:p>
      <w:pPr>
        <w:spacing w:after="0" w:line="98" w:lineRule="exact"/>
        <w:rPr>
          <w:sz w:val="20"/>
          <w:szCs w:val="20"/>
          <w:color w:val="auto"/>
        </w:rPr>
      </w:pPr>
    </w:p>
    <w:p>
      <w:pPr>
        <w:ind w:left="300" w:hanging="138"/>
        <w:spacing w:after="0"/>
        <w:tabs>
          <w:tab w:leader="none" w:pos="30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As used herein, the following definitions will apply: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Administrator</w:t>
      </w:r>
      <w:r>
        <w:rPr>
          <w:rFonts w:ascii="Arial" w:cs="Arial" w:eastAsia="Arial" w:hAnsi="Arial"/>
          <w:sz w:val="13"/>
          <w:szCs w:val="13"/>
          <w:color w:val="auto"/>
        </w:rPr>
        <w:t>” means the Board or any of its Committees as will be administering the Plan, in accordance with Section 4 of the Plan.</w:t>
      </w:r>
    </w:p>
    <w:p>
      <w:pPr>
        <w:spacing w:after="0" w:line="86" w:lineRule="exact"/>
        <w:rPr>
          <w:rFonts w:ascii="Arial" w:cs="Arial" w:eastAsia="Arial" w:hAnsi="Arial"/>
          <w:sz w:val="13"/>
          <w:szCs w:val="13"/>
          <w:color w:val="auto"/>
        </w:rPr>
      </w:pPr>
    </w:p>
    <w:p>
      <w:pPr>
        <w:ind w:right="440" w:firstLine="326"/>
        <w:spacing w:after="0" w:line="320" w:lineRule="auto"/>
        <w:tabs>
          <w:tab w:leader="none" w:pos="513" w:val="left"/>
        </w:tabs>
        <w:numPr>
          <w:ilvl w:val="1"/>
          <w:numId w:val="12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Laws</w:t>
      </w:r>
      <w:r>
        <w:rPr>
          <w:rFonts w:ascii="Arial" w:cs="Arial" w:eastAsia="Arial" w:hAnsi="Arial"/>
          <w:sz w:val="12"/>
          <w:szCs w:val="1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25" w:lineRule="exact"/>
        <w:rPr>
          <w:rFonts w:ascii="Arial" w:cs="Arial" w:eastAsia="Arial" w:hAnsi="Arial"/>
          <w:sz w:val="12"/>
          <w:szCs w:val="12"/>
          <w:color w:val="auto"/>
        </w:rPr>
      </w:pPr>
    </w:p>
    <w:p>
      <w:pPr>
        <w:ind w:left="500" w:hanging="174"/>
        <w:spacing w:after="0"/>
        <w:tabs>
          <w:tab w:leader="none" w:pos="50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Award</w:t>
      </w:r>
      <w:r>
        <w:rPr>
          <w:rFonts w:ascii="Arial" w:cs="Arial" w:eastAsia="Arial" w:hAnsi="Arial"/>
          <w:sz w:val="13"/>
          <w:szCs w:val="13"/>
          <w:color w:val="auto"/>
        </w:rPr>
        <w:t>” means, individually or collectively, a grant under the Plan of Options, Stock Appreciation Rights, Restricted Stock, Restricted Stock Units, Performance Units or Performance Shares.</w:t>
      </w:r>
    </w:p>
    <w:p>
      <w:pPr>
        <w:spacing w:after="0" w:line="86" w:lineRule="exact"/>
        <w:rPr>
          <w:rFonts w:ascii="Arial" w:cs="Arial" w:eastAsia="Arial" w:hAnsi="Arial"/>
          <w:sz w:val="13"/>
          <w:szCs w:val="13"/>
          <w:color w:val="auto"/>
        </w:rPr>
      </w:pPr>
    </w:p>
    <w:p>
      <w:pPr>
        <w:ind w:right="420" w:firstLine="326"/>
        <w:spacing w:after="0" w:line="276" w:lineRule="auto"/>
        <w:tabs>
          <w:tab w:leader="none" w:pos="513" w:val="left"/>
        </w:tabs>
        <w:numPr>
          <w:ilvl w:val="1"/>
          <w:numId w:val="1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Award Agreement</w:t>
      </w:r>
      <w:r>
        <w:rPr>
          <w:rFonts w:ascii="Arial" w:cs="Arial" w:eastAsia="Arial" w:hAnsi="Arial"/>
          <w:sz w:val="13"/>
          <w:szCs w:val="13"/>
          <w:color w:val="auto"/>
        </w:rPr>
        <w:t>” means the written or electronic agreement setting forth the terms and provisions applicable to each Award granted under the Plan. The Award Agreement is subject to the terms and conditions of the Plan.</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occurrence of any of the following events:</w:t>
      </w:r>
    </w:p>
    <w:p>
      <w:pPr>
        <w:spacing w:after="0" w:line="86" w:lineRule="exact"/>
        <w:rPr>
          <w:rFonts w:ascii="Arial" w:cs="Arial" w:eastAsia="Arial" w:hAnsi="Arial"/>
          <w:sz w:val="13"/>
          <w:szCs w:val="13"/>
          <w:color w:val="auto"/>
        </w:rPr>
      </w:pPr>
    </w:p>
    <w:p>
      <w:pPr>
        <w:ind w:right="240" w:firstLine="490"/>
        <w:spacing w:after="0" w:line="264" w:lineRule="auto"/>
        <w:tabs>
          <w:tab w:leader="none" w:pos="640" w:val="left"/>
        </w:tabs>
        <w:numPr>
          <w:ilvl w:val="2"/>
          <w:numId w:val="129"/>
        </w:numPr>
        <w:rPr>
          <w:rFonts w:ascii="Arial" w:cs="Arial" w:eastAsia="Arial" w:hAnsi="Arial"/>
          <w:sz w:val="13"/>
          <w:szCs w:val="13"/>
          <w:color w:val="auto"/>
        </w:rPr>
      </w:pPr>
      <w:r>
        <w:rPr>
          <w:rFonts w:ascii="Arial" w:cs="Arial" w:eastAsia="Arial" w:hAnsi="Arial"/>
          <w:sz w:val="13"/>
          <w:szCs w:val="13"/>
          <w:color w:val="auto"/>
        </w:rPr>
        <w:t>A change in the ownership of the Company which occurs on the date that any one person, or more than one person acting as a group (“</w:t>
      </w:r>
      <w:r>
        <w:rPr>
          <w:rFonts w:ascii="Arial" w:cs="Arial" w:eastAsia="Arial" w:hAnsi="Arial"/>
          <w:sz w:val="13"/>
          <w:szCs w:val="13"/>
          <w:u w:val="single" w:color="auto"/>
          <w:color w:val="auto"/>
        </w:rPr>
        <w:t>Person</w:t>
      </w:r>
      <w:r>
        <w:rPr>
          <w:rFonts w:ascii="Arial" w:cs="Arial" w:eastAsia="Arial" w:hAnsi="Arial"/>
          <w:sz w:val="13"/>
          <w:szCs w:val="13"/>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color w:val="auto"/>
        </w:rPr>
        <w:t>than 50% of the total voting power of the stock of the Company will not be considered a Change in Control; or</w:t>
      </w:r>
    </w:p>
    <w:p>
      <w:pPr>
        <w:spacing w:after="0" w:line="86" w:lineRule="exact"/>
        <w:rPr>
          <w:sz w:val="20"/>
          <w:szCs w:val="20"/>
          <w:color w:val="auto"/>
        </w:rPr>
      </w:pPr>
    </w:p>
    <w:p>
      <w:pPr>
        <w:ind w:right="100" w:firstLine="490"/>
        <w:spacing w:after="0" w:line="264" w:lineRule="auto"/>
        <w:tabs>
          <w:tab w:leader="none" w:pos="677"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57" w:lineRule="exact"/>
        <w:rPr>
          <w:rFonts w:ascii="Arial" w:cs="Arial" w:eastAsia="Arial" w:hAnsi="Arial"/>
          <w:sz w:val="13"/>
          <w:szCs w:val="13"/>
          <w:color w:val="auto"/>
        </w:rPr>
      </w:pPr>
    </w:p>
    <w:p>
      <w:pPr>
        <w:ind w:firstLine="490"/>
        <w:spacing w:after="0" w:line="280" w:lineRule="auto"/>
        <w:tabs>
          <w:tab w:leader="none" w:pos="713"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49" w:lineRule="exact"/>
        <w:rPr>
          <w:sz w:val="20"/>
          <w:szCs w:val="20"/>
          <w:color w:val="auto"/>
        </w:rPr>
      </w:pPr>
    </w:p>
    <w:p>
      <w:pPr>
        <w:ind w:right="360" w:firstLine="491"/>
        <w:spacing w:after="0" w:line="276" w:lineRule="auto"/>
        <w:rPr>
          <w:sz w:val="20"/>
          <w:szCs w:val="20"/>
          <w:color w:val="auto"/>
        </w:rPr>
      </w:pPr>
      <w:r>
        <w:rPr>
          <w:rFonts w:ascii="Arial" w:cs="Arial" w:eastAsia="Arial" w:hAnsi="Arial"/>
          <w:sz w:val="13"/>
          <w:szCs w:val="13"/>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49" w:lineRule="exact"/>
        <w:rPr>
          <w:sz w:val="20"/>
          <w:szCs w:val="20"/>
          <w:color w:val="auto"/>
        </w:rPr>
      </w:pPr>
    </w:p>
    <w:p>
      <w:pPr>
        <w:ind w:left="520" w:hanging="194"/>
        <w:spacing w:after="0"/>
        <w:tabs>
          <w:tab w:leader="none" w:pos="5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 Any reference to a section of the Code herein will be a reference to any successor or amended section of the Code.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a committee of Directors or of other individuals satisfying Applicable Laws appointed by the Board in accordance with Section 4 hereof.</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common stock of the Company.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Fluidigm Corporation, a Delaware corporation, or any successor thereto.</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Consultant</w:t>
      </w:r>
      <w:r>
        <w:rPr>
          <w:rFonts w:ascii="Arial" w:cs="Arial" w:eastAsia="Arial" w:hAnsi="Arial"/>
          <w:sz w:val="13"/>
          <w:szCs w:val="13"/>
          <w:color w:val="auto"/>
        </w:rPr>
        <w:t>” means any person, including an advisor, engaged by the Company or a Parent or Subsidiary to render services to such entity.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w:t>
      </w:r>
      <w:r>
        <w:rPr>
          <w:rFonts w:ascii="Arial" w:cs="Arial" w:eastAsia="Arial" w:hAnsi="Arial"/>
          <w:sz w:val="13"/>
          <w:szCs w:val="13"/>
          <w:color w:val="auto"/>
        </w:rPr>
        <w:t>” means a member of the Board.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7" w:name="page218"/>
    <w:bookmarkEnd w:id="217"/>
    <w:p>
      <w:pPr>
        <w:ind w:left="1" w:right="220" w:firstLine="326"/>
        <w:spacing w:after="0" w:line="276" w:lineRule="auto"/>
        <w:tabs>
          <w:tab w:leader="none" w:pos="551" w:val="left"/>
        </w:tabs>
        <w:numPr>
          <w:ilvl w:val="1"/>
          <w:numId w:val="1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49" w:lineRule="exact"/>
        <w:rPr>
          <w:rFonts w:ascii="Arial" w:cs="Arial" w:eastAsia="Arial" w:hAnsi="Arial"/>
          <w:sz w:val="13"/>
          <w:szCs w:val="13"/>
          <w:color w:val="auto"/>
        </w:rPr>
      </w:pPr>
    </w:p>
    <w:p>
      <w:pPr>
        <w:ind w:left="1" w:right="180" w:firstLine="326"/>
        <w:spacing w:after="0" w:line="276" w:lineRule="auto"/>
        <w:tabs>
          <w:tab w:leader="none" w:pos="514" w:val="left"/>
        </w:tabs>
        <w:numPr>
          <w:ilvl w:val="1"/>
          <w:numId w:val="1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Employee</w:t>
      </w:r>
      <w:r>
        <w:rPr>
          <w:rFonts w:ascii="Arial" w:cs="Arial" w:eastAsia="Arial" w:hAnsi="Arial"/>
          <w:sz w:val="13"/>
          <w:szCs w:val="13"/>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49" w:lineRule="exact"/>
        <w:rPr>
          <w:rFonts w:ascii="Arial" w:cs="Arial" w:eastAsia="Arial" w:hAnsi="Arial"/>
          <w:sz w:val="13"/>
          <w:szCs w:val="13"/>
          <w:color w:val="auto"/>
        </w:rPr>
      </w:pPr>
    </w:p>
    <w:p>
      <w:pPr>
        <w:ind w:left="521" w:hanging="194"/>
        <w:spacing w:after="0"/>
        <w:tabs>
          <w:tab w:leader="none" w:pos="521" w:val="left"/>
        </w:tabs>
        <w:numPr>
          <w:ilvl w:val="1"/>
          <w:numId w:val="1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Securities Exchange Act of 1934, as amended.</w:t>
      </w:r>
    </w:p>
    <w:p>
      <w:pPr>
        <w:spacing w:after="0" w:line="86" w:lineRule="exact"/>
        <w:rPr>
          <w:rFonts w:ascii="Arial" w:cs="Arial" w:eastAsia="Arial" w:hAnsi="Arial"/>
          <w:sz w:val="13"/>
          <w:szCs w:val="13"/>
          <w:color w:val="auto"/>
        </w:rPr>
      </w:pPr>
    </w:p>
    <w:p>
      <w:pPr>
        <w:ind w:left="1" w:right="20" w:firstLine="326"/>
        <w:spacing w:after="0" w:line="305" w:lineRule="auto"/>
        <w:tabs>
          <w:tab w:leader="none" w:pos="514" w:val="left"/>
        </w:tabs>
        <w:numPr>
          <w:ilvl w:val="1"/>
          <w:numId w:val="13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Exchange Program</w:t>
      </w:r>
      <w:r>
        <w:rPr>
          <w:rFonts w:ascii="Arial" w:cs="Arial" w:eastAsia="Arial" w:hAnsi="Arial"/>
          <w:sz w:val="11"/>
          <w:szCs w:val="1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w:t>
      </w:r>
    </w:p>
    <w:p>
      <w:pPr>
        <w:ind w:left="221" w:hanging="221"/>
        <w:spacing w:after="0"/>
        <w:tabs>
          <w:tab w:leader="none" w:pos="22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exercise price of an outstanding Award is reduced. The Administrator will determine the terms and conditions of any Exchange Program in its sole discretion.</w:t>
      </w:r>
    </w:p>
    <w:p>
      <w:pPr>
        <w:spacing w:after="0" w:line="78" w:lineRule="exact"/>
        <w:rPr>
          <w:rFonts w:ascii="Arial" w:cs="Arial" w:eastAsia="Arial" w:hAnsi="Arial"/>
          <w:sz w:val="13"/>
          <w:szCs w:val="13"/>
          <w:color w:val="auto"/>
        </w:rPr>
      </w:pPr>
    </w:p>
    <w:p>
      <w:pPr>
        <w:ind w:left="521" w:hanging="194"/>
        <w:spacing w:after="0"/>
        <w:tabs>
          <w:tab w:leader="none" w:pos="521" w:val="left"/>
        </w:tabs>
        <w:numPr>
          <w:ilvl w:val="1"/>
          <w:numId w:val="1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as of any date, the value of Common Stock determined as follows:</w:t>
      </w:r>
    </w:p>
    <w:p>
      <w:pPr>
        <w:spacing w:after="0" w:line="86" w:lineRule="exact"/>
        <w:rPr>
          <w:rFonts w:ascii="Arial" w:cs="Arial" w:eastAsia="Arial" w:hAnsi="Arial"/>
          <w:sz w:val="13"/>
          <w:szCs w:val="13"/>
          <w:color w:val="auto"/>
        </w:rPr>
      </w:pPr>
    </w:p>
    <w:p>
      <w:pPr>
        <w:ind w:left="1" w:firstLine="490"/>
        <w:spacing w:after="0" w:line="264" w:lineRule="auto"/>
        <w:tabs>
          <w:tab w:leader="none" w:pos="649" w:val="left"/>
        </w:tabs>
        <w:numPr>
          <w:ilvl w:val="2"/>
          <w:numId w:val="133"/>
        </w:numPr>
        <w:rPr>
          <w:rFonts w:ascii="Arial" w:cs="Arial" w:eastAsia="Arial" w:hAnsi="Arial"/>
          <w:sz w:val="13"/>
          <w:szCs w:val="13"/>
          <w:color w:val="auto"/>
        </w:rPr>
      </w:pPr>
      <w:r>
        <w:rPr>
          <w:rFonts w:ascii="Arial" w:cs="Arial" w:eastAsia="Arial" w:hAnsi="Arial"/>
          <w:sz w:val="13"/>
          <w:szCs w:val="13"/>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w:t>
      </w:r>
    </w:p>
    <w:p>
      <w:pPr>
        <w:spacing w:after="0" w:line="57" w:lineRule="exact"/>
        <w:rPr>
          <w:rFonts w:ascii="Arial" w:cs="Arial" w:eastAsia="Arial" w:hAnsi="Arial"/>
          <w:sz w:val="13"/>
          <w:szCs w:val="13"/>
          <w:color w:val="auto"/>
        </w:rPr>
      </w:pPr>
    </w:p>
    <w:p>
      <w:pPr>
        <w:ind w:left="1" w:right="160" w:firstLine="490"/>
        <w:spacing w:after="0" w:line="276" w:lineRule="auto"/>
        <w:tabs>
          <w:tab w:leader="none" w:pos="686" w:val="left"/>
        </w:tabs>
        <w:numPr>
          <w:ilvl w:val="2"/>
          <w:numId w:val="133"/>
        </w:numPr>
        <w:rPr>
          <w:rFonts w:ascii="Arial" w:cs="Arial" w:eastAsia="Arial" w:hAnsi="Arial"/>
          <w:sz w:val="13"/>
          <w:szCs w:val="13"/>
          <w:color w:val="auto"/>
        </w:rPr>
      </w:pPr>
      <w:r>
        <w:rPr>
          <w:rFonts w:ascii="Arial" w:cs="Arial" w:eastAsia="Arial" w:hAnsi="Arial"/>
          <w:sz w:val="13"/>
          <w:szCs w:val="13"/>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w:t>
      </w:r>
    </w:p>
    <w:p>
      <w:pPr>
        <w:spacing w:after="0" w:line="49" w:lineRule="exact"/>
        <w:rPr>
          <w:rFonts w:ascii="Arial" w:cs="Arial" w:eastAsia="Arial" w:hAnsi="Arial"/>
          <w:sz w:val="13"/>
          <w:szCs w:val="13"/>
          <w:color w:val="auto"/>
        </w:rPr>
      </w:pPr>
    </w:p>
    <w:p>
      <w:pPr>
        <w:ind w:left="1" w:right="280" w:firstLine="490"/>
        <w:spacing w:after="0" w:line="276" w:lineRule="auto"/>
        <w:tabs>
          <w:tab w:leader="none" w:pos="722" w:val="left"/>
        </w:tabs>
        <w:numPr>
          <w:ilvl w:val="2"/>
          <w:numId w:val="133"/>
        </w:numPr>
        <w:rPr>
          <w:rFonts w:ascii="Arial" w:cs="Arial" w:eastAsia="Arial" w:hAnsi="Arial"/>
          <w:sz w:val="13"/>
          <w:szCs w:val="13"/>
          <w:color w:val="auto"/>
        </w:rPr>
      </w:pPr>
      <w:r>
        <w:rPr>
          <w:rFonts w:ascii="Arial" w:cs="Arial" w:eastAsia="Arial" w:hAnsi="Arial"/>
          <w:sz w:val="13"/>
          <w:szCs w:val="13"/>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49" w:lineRule="exact"/>
        <w:rPr>
          <w:rFonts w:ascii="Arial" w:cs="Arial" w:eastAsia="Arial" w:hAnsi="Arial"/>
          <w:sz w:val="13"/>
          <w:szCs w:val="13"/>
          <w:color w:val="auto"/>
        </w:rPr>
      </w:pPr>
    </w:p>
    <w:p>
      <w:pPr>
        <w:ind w:left="721" w:hanging="230"/>
        <w:spacing w:after="0"/>
        <w:tabs>
          <w:tab w:leader="none" w:pos="721" w:val="left"/>
        </w:tabs>
        <w:numPr>
          <w:ilvl w:val="2"/>
          <w:numId w:val="133"/>
        </w:numPr>
        <w:rPr>
          <w:rFonts w:ascii="Arial" w:cs="Arial" w:eastAsia="Arial" w:hAnsi="Arial"/>
          <w:sz w:val="13"/>
          <w:szCs w:val="13"/>
          <w:color w:val="auto"/>
        </w:rPr>
      </w:pPr>
      <w:r>
        <w:rPr>
          <w:rFonts w:ascii="Arial" w:cs="Arial" w:eastAsia="Arial" w:hAnsi="Arial"/>
          <w:sz w:val="13"/>
          <w:szCs w:val="13"/>
          <w:color w:val="auto"/>
        </w:rPr>
        <w:t>In the absence of an established market for the Common Stock, the Fair Market Value will be determined in good faith by the Administrator.</w:t>
      </w:r>
    </w:p>
    <w:p>
      <w:pPr>
        <w:spacing w:after="0" w:line="86" w:lineRule="exact"/>
        <w:rPr>
          <w:rFonts w:ascii="Arial" w:cs="Arial" w:eastAsia="Arial" w:hAnsi="Arial"/>
          <w:sz w:val="13"/>
          <w:szCs w:val="13"/>
          <w:color w:val="auto"/>
        </w:rPr>
      </w:pPr>
    </w:p>
    <w:p>
      <w:pPr>
        <w:ind w:left="481" w:hanging="154"/>
        <w:spacing w:after="0"/>
        <w:tabs>
          <w:tab w:leader="none" w:pos="481" w:val="left"/>
        </w:tabs>
        <w:numPr>
          <w:ilvl w:val="1"/>
          <w:numId w:val="1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Fiscal Year</w:t>
      </w:r>
      <w:r>
        <w:rPr>
          <w:rFonts w:ascii="Arial" w:cs="Arial" w:eastAsia="Arial" w:hAnsi="Arial"/>
          <w:sz w:val="13"/>
          <w:szCs w:val="13"/>
          <w:color w:val="auto"/>
        </w:rPr>
        <w:t>” means the fiscal year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18" w:name="page219"/>
    <w:bookmarkEnd w:id="218"/>
    <w:p>
      <w:pPr>
        <w:ind w:left="460" w:hanging="174"/>
        <w:spacing w:after="0"/>
        <w:tabs>
          <w:tab w:leader="none" w:pos="4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Incentive Stock Option</w:t>
      </w:r>
      <w:r>
        <w:rPr>
          <w:rFonts w:ascii="Arial" w:cs="Arial" w:eastAsia="Arial" w:hAnsi="Arial"/>
          <w:sz w:val="13"/>
          <w:szCs w:val="13"/>
          <w:color w:val="auto"/>
        </w:rPr>
        <w:t>” means an Option intended to qualify as an incentive stock option within the meaning of Section 422 of the Code and the regulations promulgated thereunder.</w:t>
      </w:r>
    </w:p>
    <w:p>
      <w:pPr>
        <w:spacing w:after="0" w:line="86" w:lineRule="exact"/>
        <w:rPr>
          <w:rFonts w:ascii="Arial" w:cs="Arial" w:eastAsia="Arial" w:hAnsi="Arial"/>
          <w:sz w:val="13"/>
          <w:szCs w:val="13"/>
          <w:color w:val="auto"/>
        </w:rPr>
      </w:pPr>
    </w:p>
    <w:p>
      <w:pPr>
        <w:ind w:left="440" w:hanging="154"/>
        <w:spacing w:after="0"/>
        <w:tabs>
          <w:tab w:leader="none" w:pos="4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Inside Director</w:t>
      </w:r>
      <w:r>
        <w:rPr>
          <w:rFonts w:ascii="Arial" w:cs="Arial" w:eastAsia="Arial" w:hAnsi="Arial"/>
          <w:sz w:val="13"/>
          <w:szCs w:val="13"/>
          <w:color w:val="auto"/>
        </w:rPr>
        <w:t>” means a Director who is an Employee.</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Nonstatutory Stock Option</w:t>
      </w:r>
      <w:r>
        <w:rPr>
          <w:rFonts w:ascii="Arial" w:cs="Arial" w:eastAsia="Arial" w:hAnsi="Arial"/>
          <w:sz w:val="13"/>
          <w:szCs w:val="13"/>
          <w:color w:val="auto"/>
        </w:rPr>
        <w:t>” means an Option that by its terms does not qualify or is not intended to qualify as an Incentive Stock Option.</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a person who is an officer of the Company within the meaning of Section 16 of the Exchange Act and the rules and regulations promulgated thereunder.</w:t>
      </w:r>
    </w:p>
    <w:p>
      <w:pPr>
        <w:spacing w:after="0" w:line="86" w:lineRule="exact"/>
        <w:rPr>
          <w:rFonts w:ascii="Arial" w:cs="Arial" w:eastAsia="Arial" w:hAnsi="Arial"/>
          <w:sz w:val="13"/>
          <w:szCs w:val="13"/>
          <w:color w:val="auto"/>
        </w:rPr>
      </w:pPr>
    </w:p>
    <w:p>
      <w:pPr>
        <w:ind w:left="500" w:hanging="214"/>
        <w:spacing w:after="0"/>
        <w:tabs>
          <w:tab w:leader="none" w:pos="50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means a stock option granted pursuant to the Plan.</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Outside Director</w:t>
      </w:r>
      <w:r>
        <w:rPr>
          <w:rFonts w:ascii="Arial" w:cs="Arial" w:eastAsia="Arial" w:hAnsi="Arial"/>
          <w:sz w:val="13"/>
          <w:szCs w:val="13"/>
          <w:color w:val="auto"/>
        </w:rPr>
        <w:t>” means a Director who is not an Employee.</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a “parent corporation,” whether now or hereafter existing, as defined in Section 424(e) of the Code.</w:t>
      </w:r>
    </w:p>
    <w:p>
      <w:pPr>
        <w:spacing w:after="0" w:line="86" w:lineRule="exact"/>
        <w:rPr>
          <w:rFonts w:ascii="Arial" w:cs="Arial" w:eastAsia="Arial" w:hAnsi="Arial"/>
          <w:sz w:val="13"/>
          <w:szCs w:val="13"/>
          <w:color w:val="auto"/>
        </w:rPr>
      </w:pPr>
    </w:p>
    <w:p>
      <w:pPr>
        <w:ind w:left="460" w:hanging="174"/>
        <w:spacing w:after="0"/>
        <w:tabs>
          <w:tab w:leader="none" w:pos="4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the holder of an outstanding Award.</w:t>
      </w:r>
    </w:p>
    <w:p>
      <w:pPr>
        <w:spacing w:after="0" w:line="86" w:lineRule="exact"/>
        <w:rPr>
          <w:sz w:val="20"/>
          <w:szCs w:val="20"/>
          <w:color w:val="auto"/>
        </w:rPr>
      </w:pPr>
    </w:p>
    <w:p>
      <w:pPr>
        <w:ind w:left="-40" w:right="280" w:firstLine="326"/>
        <w:spacing w:after="0" w:line="276" w:lineRule="auto"/>
        <w:tabs>
          <w:tab w:leader="none" w:pos="524"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 Share</w:t>
      </w:r>
      <w:r>
        <w:rPr>
          <w:rFonts w:ascii="Arial" w:cs="Arial" w:eastAsia="Arial" w:hAnsi="Arial"/>
          <w:sz w:val="13"/>
          <w:szCs w:val="13"/>
          <w:color w:val="auto"/>
        </w:rPr>
        <w:t>” means an Award denominated in Shares which may be earned in whole or in part upon attainment of performance goals or other vesting criteria as the Administrator may determine pursuant to Section 10.</w:t>
      </w:r>
    </w:p>
    <w:p>
      <w:pPr>
        <w:spacing w:after="0" w:line="49" w:lineRule="exact"/>
        <w:rPr>
          <w:rFonts w:ascii="Arial" w:cs="Arial" w:eastAsia="Arial" w:hAnsi="Arial"/>
          <w:sz w:val="13"/>
          <w:szCs w:val="13"/>
          <w:color w:val="auto"/>
        </w:rPr>
      </w:pPr>
    </w:p>
    <w:p>
      <w:pPr>
        <w:ind w:left="-40" w:firstLine="326"/>
        <w:spacing w:after="0" w:line="276" w:lineRule="auto"/>
        <w:tabs>
          <w:tab w:leader="none" w:pos="53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 Unit</w:t>
      </w:r>
      <w:r>
        <w:rPr>
          <w:rFonts w:ascii="Arial" w:cs="Arial" w:eastAsia="Arial" w:hAnsi="Arial"/>
          <w:sz w:val="13"/>
          <w:szCs w:val="13"/>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49" w:lineRule="exact"/>
        <w:rPr>
          <w:rFonts w:ascii="Arial" w:cs="Arial" w:eastAsia="Arial" w:hAnsi="Arial"/>
          <w:sz w:val="13"/>
          <w:szCs w:val="13"/>
          <w:color w:val="auto"/>
        </w:rPr>
      </w:pPr>
    </w:p>
    <w:p>
      <w:pPr>
        <w:ind w:left="-40" w:right="500" w:firstLine="326"/>
        <w:spacing w:after="0" w:line="276" w:lineRule="auto"/>
        <w:tabs>
          <w:tab w:leader="none" w:pos="524"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Period of Restriction</w:t>
      </w:r>
      <w:r>
        <w:rPr>
          <w:rFonts w:ascii="Arial" w:cs="Arial" w:eastAsia="Arial" w:hAnsi="Arial"/>
          <w:sz w:val="13"/>
          <w:szCs w:val="13"/>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49" w:lineRule="exact"/>
        <w:rPr>
          <w:rFonts w:ascii="Arial" w:cs="Arial" w:eastAsia="Arial" w:hAnsi="Arial"/>
          <w:sz w:val="13"/>
          <w:szCs w:val="13"/>
          <w:color w:val="auto"/>
        </w:rPr>
      </w:pPr>
    </w:p>
    <w:p>
      <w:pPr>
        <w:ind w:left="540" w:hanging="254"/>
        <w:spacing w:after="0"/>
        <w:tabs>
          <w:tab w:leader="none" w:pos="5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this 2008 Equity Incentive Plan.</w:t>
      </w:r>
    </w:p>
    <w:p>
      <w:pPr>
        <w:spacing w:after="0" w:line="86" w:lineRule="exact"/>
        <w:rPr>
          <w:rFonts w:ascii="Arial" w:cs="Arial" w:eastAsia="Arial" w:hAnsi="Arial"/>
          <w:sz w:val="13"/>
          <w:szCs w:val="13"/>
          <w:color w:val="auto"/>
        </w:rPr>
      </w:pPr>
    </w:p>
    <w:p>
      <w:pPr>
        <w:ind w:left="-40" w:right="140" w:firstLine="326"/>
        <w:spacing w:after="0" w:line="276" w:lineRule="auto"/>
        <w:tabs>
          <w:tab w:leader="none" w:pos="524"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Date</w:t>
      </w:r>
      <w:r>
        <w:rPr>
          <w:rFonts w:ascii="Arial" w:cs="Arial" w:eastAsia="Arial" w:hAnsi="Arial"/>
          <w:sz w:val="13"/>
          <w:szCs w:val="13"/>
          <w:color w:val="auto"/>
        </w:rPr>
        <w:t>” means the effective date of the first registration statement that is filed by the Company and declared effective pursuant to Section 12(g) of the Exchange Act, with respect to any class of the Company’s securities.</w:t>
      </w:r>
    </w:p>
    <w:p>
      <w:pPr>
        <w:spacing w:after="0" w:line="49" w:lineRule="exact"/>
        <w:rPr>
          <w:rFonts w:ascii="Arial" w:cs="Arial" w:eastAsia="Arial" w:hAnsi="Arial"/>
          <w:sz w:val="13"/>
          <w:szCs w:val="13"/>
          <w:color w:val="auto"/>
        </w:rPr>
      </w:pPr>
    </w:p>
    <w:p>
      <w:pPr>
        <w:ind w:left="500" w:hanging="214"/>
        <w:spacing w:after="0"/>
        <w:tabs>
          <w:tab w:leader="none" w:pos="50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w:t>
      </w:r>
      <w:r>
        <w:rPr>
          <w:rFonts w:ascii="Arial" w:cs="Arial" w:eastAsia="Arial" w:hAnsi="Arial"/>
          <w:sz w:val="13"/>
          <w:szCs w:val="13"/>
          <w:color w:val="auto"/>
        </w:rPr>
        <w:t>” means Shares issued pursuant to a Restricted Stock award under Section 7 of the Plan, or issued pursuant to the early exercise of an Option.</w:t>
      </w:r>
    </w:p>
    <w:p>
      <w:pPr>
        <w:spacing w:after="0" w:line="86" w:lineRule="exact"/>
        <w:rPr>
          <w:rFonts w:ascii="Arial" w:cs="Arial" w:eastAsia="Arial" w:hAnsi="Arial"/>
          <w:sz w:val="13"/>
          <w:szCs w:val="13"/>
          <w:color w:val="auto"/>
        </w:rPr>
      </w:pPr>
    </w:p>
    <w:p>
      <w:pPr>
        <w:ind w:left="-40" w:firstLine="326"/>
        <w:spacing w:after="0" w:line="276" w:lineRule="auto"/>
        <w:tabs>
          <w:tab w:leader="none" w:pos="53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 Unit</w:t>
      </w:r>
      <w:r>
        <w:rPr>
          <w:rFonts w:ascii="Arial" w:cs="Arial" w:eastAsia="Arial" w:hAnsi="Arial"/>
          <w:sz w:val="13"/>
          <w:szCs w:val="13"/>
          <w:color w:val="auto"/>
        </w:rPr>
        <w:t>” means a bookkeeping entry representing an amount equal to the Fair Market Value of one Share, granted pursuant to Section 8. Each Restricted Stock Unit represents an unfunded and unsecured obligation of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1" w:right="239" w:bottom="1440" w:gutter="0" w:footer="0" w:header="0"/>
        </w:sectPr>
      </w:pPr>
    </w:p>
    <w:bookmarkStart w:id="219" w:name="page220"/>
    <w:bookmarkEnd w:id="219"/>
    <w:p>
      <w:pPr>
        <w:ind w:left="560" w:hanging="254"/>
        <w:spacing w:after="0"/>
        <w:tabs>
          <w:tab w:leader="none" w:pos="56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Rule 16b-3</w:t>
      </w:r>
      <w:r>
        <w:rPr>
          <w:rFonts w:ascii="Arial" w:cs="Arial" w:eastAsia="Arial" w:hAnsi="Arial"/>
          <w:sz w:val="13"/>
          <w:szCs w:val="13"/>
          <w:color w:val="auto"/>
        </w:rPr>
        <w:t>” means Rule 16b-3 of the Exchange Act or any successor to Rule 16b-3, as in effect when discretion is being exercised with respect to the Plan.</w:t>
      </w:r>
    </w:p>
    <w:p>
      <w:pPr>
        <w:spacing w:after="0" w:line="86" w:lineRule="exact"/>
        <w:rPr>
          <w:rFonts w:ascii="Arial" w:cs="Arial" w:eastAsia="Arial" w:hAnsi="Arial"/>
          <w:sz w:val="13"/>
          <w:szCs w:val="13"/>
          <w:color w:val="auto"/>
        </w:rPr>
      </w:pPr>
    </w:p>
    <w:p>
      <w:pPr>
        <w:ind w:left="500" w:hanging="194"/>
        <w:spacing w:after="0"/>
        <w:tabs>
          <w:tab w:leader="none" w:pos="50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Section 16(b)</w:t>
      </w:r>
      <w:r>
        <w:rPr>
          <w:rFonts w:ascii="Arial" w:cs="Arial" w:eastAsia="Arial" w:hAnsi="Arial"/>
          <w:sz w:val="13"/>
          <w:szCs w:val="13"/>
          <w:color w:val="auto"/>
        </w:rPr>
        <w:t>” means Section 16(b) of the Exchange Act.</w:t>
      </w:r>
    </w:p>
    <w:p>
      <w:pPr>
        <w:spacing w:after="0" w:line="86" w:lineRule="exact"/>
        <w:rPr>
          <w:rFonts w:ascii="Arial" w:cs="Arial" w:eastAsia="Arial" w:hAnsi="Arial"/>
          <w:sz w:val="13"/>
          <w:szCs w:val="13"/>
          <w:color w:val="auto"/>
        </w:rPr>
      </w:pPr>
    </w:p>
    <w:p>
      <w:pPr>
        <w:ind w:left="500" w:hanging="194"/>
        <w:spacing w:after="0"/>
        <w:tabs>
          <w:tab w:leader="none" w:pos="50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Service Provider</w:t>
      </w:r>
      <w:r>
        <w:rPr>
          <w:rFonts w:ascii="Arial" w:cs="Arial" w:eastAsia="Arial" w:hAnsi="Arial"/>
          <w:sz w:val="13"/>
          <w:szCs w:val="13"/>
          <w:color w:val="auto"/>
        </w:rPr>
        <w:t>” means an Employee, Director or Consultant.</w:t>
      </w:r>
    </w:p>
    <w:p>
      <w:pPr>
        <w:spacing w:after="0" w:line="86" w:lineRule="exact"/>
        <w:rPr>
          <w:rFonts w:ascii="Arial" w:cs="Arial" w:eastAsia="Arial" w:hAnsi="Arial"/>
          <w:sz w:val="13"/>
          <w:szCs w:val="13"/>
          <w:color w:val="auto"/>
        </w:rPr>
      </w:pPr>
    </w:p>
    <w:p>
      <w:pPr>
        <w:ind w:left="560" w:hanging="254"/>
        <w:spacing w:after="0"/>
        <w:tabs>
          <w:tab w:leader="none" w:pos="56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 means a share of the Common Stock, as adjusted in accordance with Section 13 of the Plan.</w:t>
      </w:r>
    </w:p>
    <w:p>
      <w:pPr>
        <w:spacing w:after="0" w:line="86" w:lineRule="exact"/>
        <w:rPr>
          <w:rFonts w:ascii="Arial" w:cs="Arial" w:eastAsia="Arial" w:hAnsi="Arial"/>
          <w:sz w:val="13"/>
          <w:szCs w:val="13"/>
          <w:color w:val="auto"/>
        </w:rPr>
      </w:pPr>
    </w:p>
    <w:p>
      <w:pPr>
        <w:ind w:left="500" w:hanging="194"/>
        <w:spacing w:after="0"/>
        <w:tabs>
          <w:tab w:leader="none" w:pos="50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Stock Appreciation Right</w:t>
      </w:r>
      <w:r>
        <w:rPr>
          <w:rFonts w:ascii="Arial" w:cs="Arial" w:eastAsia="Arial" w:hAnsi="Arial"/>
          <w:sz w:val="13"/>
          <w:szCs w:val="13"/>
          <w:color w:val="auto"/>
        </w:rPr>
        <w:t>” means an Award, granted alone or in connection with an Option, that pursuant to Section 9 is designated as a Stock Appreciation Right.</w:t>
      </w:r>
    </w:p>
    <w:p>
      <w:pPr>
        <w:spacing w:after="0" w:line="86" w:lineRule="exact"/>
        <w:rPr>
          <w:rFonts w:ascii="Arial" w:cs="Arial" w:eastAsia="Arial" w:hAnsi="Arial"/>
          <w:sz w:val="13"/>
          <w:szCs w:val="13"/>
          <w:color w:val="auto"/>
        </w:rPr>
      </w:pPr>
    </w:p>
    <w:p>
      <w:pPr>
        <w:ind w:left="640" w:hanging="334"/>
        <w:spacing w:after="0"/>
        <w:tabs>
          <w:tab w:leader="none" w:pos="64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 “subsidiary corporation”, whether now or hereafter existing, as defined in Section 424(f) of the Code.</w:t>
      </w:r>
    </w:p>
    <w:p>
      <w:pPr>
        <w:spacing w:after="0" w:line="86" w:lineRule="exact"/>
        <w:rPr>
          <w:rFonts w:ascii="Arial" w:cs="Arial" w:eastAsia="Arial" w:hAnsi="Arial"/>
          <w:sz w:val="13"/>
          <w:szCs w:val="13"/>
          <w:color w:val="auto"/>
        </w:rPr>
      </w:pPr>
    </w:p>
    <w:p>
      <w:pPr>
        <w:ind w:left="280" w:hanging="138"/>
        <w:spacing w:after="0"/>
        <w:tabs>
          <w:tab w:leader="none" w:pos="280"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firstLine="326"/>
        <w:spacing w:after="0" w:line="258" w:lineRule="auto"/>
        <w:tabs>
          <w:tab w:leader="none" w:pos="486" w:val="left"/>
        </w:tabs>
        <w:numPr>
          <w:ilvl w:val="1"/>
          <w:numId w:val="137"/>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 Subject to the provisions of Section 13 of the Plan, the maximum aggregate number of Shares that may be issued under the Plan is Two Million (2,000,000) Shares, plus (i) any Shares that, as of the Registration Date, have been reserved but not issued pursuant to any awards granted under the Fluidigm Corporation 1999 Stock Option Plan (the “</w:t>
      </w:r>
      <w:r>
        <w:rPr>
          <w:rFonts w:ascii="Arial" w:cs="Arial" w:eastAsia="Arial" w:hAnsi="Arial"/>
          <w:sz w:val="13"/>
          <w:szCs w:val="13"/>
          <w:u w:val="single" w:color="auto"/>
          <w:color w:val="auto"/>
        </w:rPr>
        <w:t>Existing Plan</w:t>
      </w:r>
      <w:r>
        <w:rPr>
          <w:rFonts w:ascii="Arial" w:cs="Arial" w:eastAsia="Arial" w:hAnsi="Arial"/>
          <w:sz w:val="13"/>
          <w:szCs w:val="13"/>
          <w:color w:val="auto"/>
        </w:rPr>
        <w:t>”) and are not subject to any awards granted thereunder, and (ii) any Shares subject to stock options or similar awards granted under the Existing Plan that expire or otherwise terminate without having been exercised in full and Shares issued pursuant to awards granted under the Existing Plan that are forfeited to or repurchased by the Company, with the maximum number of Shares to be added to the Plan pursuant to clauses (i) and (ii) equal to Three Million (3,000,000) Shares. The Shares may be authorized, but unissued, or reacquired Common Stock.</w:t>
      </w:r>
    </w:p>
    <w:p>
      <w:pPr>
        <w:spacing w:after="0" w:line="61" w:lineRule="exact"/>
        <w:rPr>
          <w:rFonts w:ascii="Arial" w:cs="Arial" w:eastAsia="Arial" w:hAnsi="Arial"/>
          <w:sz w:val="13"/>
          <w:szCs w:val="13"/>
          <w:color w:val="auto"/>
        </w:rPr>
      </w:pPr>
    </w:p>
    <w:p>
      <w:pPr>
        <w:ind w:left="-20" w:right="40" w:firstLine="326"/>
        <w:spacing w:after="0" w:line="264" w:lineRule="auto"/>
        <w:tabs>
          <w:tab w:leader="none" w:pos="493" w:val="left"/>
        </w:tabs>
        <w:numPr>
          <w:ilvl w:val="1"/>
          <w:numId w:val="137"/>
        </w:numPr>
        <w:rPr>
          <w:rFonts w:ascii="Arial" w:cs="Arial" w:eastAsia="Arial" w:hAnsi="Arial"/>
          <w:sz w:val="13"/>
          <w:szCs w:val="13"/>
          <w:color w:val="auto"/>
        </w:rPr>
      </w:pPr>
      <w:r>
        <w:rPr>
          <w:rFonts w:ascii="Arial" w:cs="Arial" w:eastAsia="Arial" w:hAnsi="Arial"/>
          <w:sz w:val="13"/>
          <w:szCs w:val="13"/>
          <w:u w:val="single" w:color="auto"/>
          <w:color w:val="auto"/>
        </w:rPr>
        <w:t>Automatic Share Reserve Increase</w:t>
      </w:r>
      <w:r>
        <w:rPr>
          <w:rFonts w:ascii="Arial" w:cs="Arial" w:eastAsia="Arial" w:hAnsi="Arial"/>
          <w:sz w:val="13"/>
          <w:szCs w:val="13"/>
          <w:color w:val="auto"/>
        </w:rPr>
        <w:t>. The number of Shares available for issuance under the Plan will be increased on the first day of each Fiscal Year beginning with the 2009 Fiscal Year, in an amount equal to the least of (i) One Million Two Hundred Thousand (1,200,000) Shares, (ii) 4% of the outstanding Shares on the last day of the immediately preceding Fiscal Year or (iii) such number of Shares determined by the Board.</w:t>
      </w:r>
    </w:p>
    <w:p>
      <w:pPr>
        <w:spacing w:after="0" w:line="57" w:lineRule="exact"/>
        <w:rPr>
          <w:rFonts w:ascii="Arial" w:cs="Arial" w:eastAsia="Arial" w:hAnsi="Arial"/>
          <w:sz w:val="13"/>
          <w:szCs w:val="13"/>
          <w:color w:val="auto"/>
        </w:rPr>
      </w:pPr>
    </w:p>
    <w:p>
      <w:pPr>
        <w:ind w:left="-20" w:firstLine="326"/>
        <w:spacing w:after="0" w:line="282" w:lineRule="auto"/>
        <w:tabs>
          <w:tab w:leader="none" w:pos="486" w:val="left"/>
        </w:tabs>
        <w:numPr>
          <w:ilvl w:val="1"/>
          <w:numId w:val="137"/>
        </w:numPr>
        <w:rPr>
          <w:rFonts w:ascii="Arial" w:cs="Arial" w:eastAsia="Arial" w:hAnsi="Arial"/>
          <w:sz w:val="12"/>
          <w:szCs w:val="12"/>
          <w:color w:val="auto"/>
        </w:rPr>
      </w:pPr>
      <w:r>
        <w:rPr>
          <w:rFonts w:ascii="Arial" w:cs="Arial" w:eastAsia="Arial" w:hAnsi="Arial"/>
          <w:sz w:val="12"/>
          <w:szCs w:val="12"/>
          <w:u w:val="single" w:color="auto"/>
          <w:color w:val="auto"/>
        </w:rPr>
        <w:t>Lapsed Awards</w:t>
      </w:r>
      <w:r>
        <w:rPr>
          <w:rFonts w:ascii="Arial" w:cs="Arial" w:eastAsia="Arial" w:hAnsi="Arial"/>
          <w:sz w:val="12"/>
          <w:szCs w:val="12"/>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220" w:name="page221"/>
    <w:bookmarkEnd w:id="220"/>
    <w:p>
      <w:pPr>
        <w:spacing w:after="0" w:line="258" w:lineRule="auto"/>
        <w:rPr>
          <w:sz w:val="20"/>
          <w:szCs w:val="20"/>
          <w:color w:val="auto"/>
        </w:rPr>
      </w:pPr>
      <w:r>
        <w:rPr>
          <w:rFonts w:ascii="Arial" w:cs="Arial" w:eastAsia="Arial" w:hAnsi="Arial"/>
          <w:sz w:val="13"/>
          <w:szCs w:val="13"/>
          <w:color w:val="auto"/>
        </w:rPr>
        <w:t>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61" w:lineRule="exact"/>
        <w:rPr>
          <w:sz w:val="20"/>
          <w:szCs w:val="20"/>
          <w:color w:val="auto"/>
        </w:rPr>
      </w:pPr>
    </w:p>
    <w:p>
      <w:pPr>
        <w:ind w:left="520" w:hanging="194"/>
        <w:spacing w:after="0"/>
        <w:tabs>
          <w:tab w:leader="none" w:pos="520" w:val="left"/>
        </w:tabs>
        <w:numPr>
          <w:ilvl w:val="1"/>
          <w:numId w:val="138"/>
        </w:numPr>
        <w:rPr>
          <w:rFonts w:ascii="Arial" w:cs="Arial" w:eastAsia="Arial" w:hAnsi="Arial"/>
          <w:sz w:val="13"/>
          <w:szCs w:val="13"/>
          <w:color w:val="auto"/>
        </w:rPr>
      </w:pPr>
      <w:r>
        <w:rPr>
          <w:rFonts w:ascii="Arial" w:cs="Arial" w:eastAsia="Arial" w:hAnsi="Arial"/>
          <w:sz w:val="13"/>
          <w:szCs w:val="13"/>
          <w:u w:val="single" w:color="auto"/>
          <w:color w:val="auto"/>
        </w:rPr>
        <w:t>Share Reserve</w:t>
      </w:r>
      <w:r>
        <w:rPr>
          <w:rFonts w:ascii="Arial" w:cs="Arial" w:eastAsia="Arial" w:hAnsi="Arial"/>
          <w:sz w:val="13"/>
          <w:szCs w:val="13"/>
          <w:color w:val="auto"/>
        </w:rPr>
        <w:t>. The Company, during the term of this Plan, will at all times reserve and keep available such number of Shares as will be sufficient to satisfy the requirements of the Plan.</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Administration of the Plan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39"/>
        </w:numPr>
        <w:rPr>
          <w:rFonts w:ascii="Arial" w:cs="Arial" w:eastAsia="Arial" w:hAnsi="Arial"/>
          <w:sz w:val="13"/>
          <w:szCs w:val="13"/>
          <w:color w:val="auto"/>
        </w:rPr>
      </w:pPr>
      <w:r>
        <w:rPr>
          <w:rFonts w:ascii="Arial" w:cs="Arial" w:eastAsia="Arial" w:hAnsi="Arial"/>
          <w:sz w:val="13"/>
          <w:szCs w:val="13"/>
          <w:u w:val="single" w:color="auto"/>
          <w:color w:val="auto"/>
        </w:rPr>
        <w:t>Procedure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2"/>
          <w:numId w:val="139"/>
        </w:numPr>
        <w:rPr>
          <w:rFonts w:ascii="Arial" w:cs="Arial" w:eastAsia="Arial" w:hAnsi="Arial"/>
          <w:sz w:val="13"/>
          <w:szCs w:val="13"/>
          <w:color w:val="auto"/>
        </w:rPr>
      </w:pPr>
      <w:r>
        <w:rPr>
          <w:rFonts w:ascii="Arial" w:cs="Arial" w:eastAsia="Arial" w:hAnsi="Arial"/>
          <w:sz w:val="13"/>
          <w:szCs w:val="13"/>
          <w:u w:val="single" w:color="auto"/>
          <w:color w:val="auto"/>
        </w:rPr>
        <w:t>Multiple Administrative Bodies</w:t>
      </w:r>
      <w:r>
        <w:rPr>
          <w:rFonts w:ascii="Arial" w:cs="Arial" w:eastAsia="Arial" w:hAnsi="Arial"/>
          <w:sz w:val="13"/>
          <w:szCs w:val="13"/>
          <w:color w:val="auto"/>
        </w:rPr>
        <w:t>. Different Committees with respect to different groups of Service Providers may administer the Plan.</w:t>
      </w:r>
    </w:p>
    <w:p>
      <w:pPr>
        <w:spacing w:after="0" w:line="86" w:lineRule="exact"/>
        <w:rPr>
          <w:rFonts w:ascii="Arial" w:cs="Arial" w:eastAsia="Arial" w:hAnsi="Arial"/>
          <w:sz w:val="13"/>
          <w:szCs w:val="13"/>
          <w:color w:val="auto"/>
        </w:rPr>
      </w:pPr>
    </w:p>
    <w:p>
      <w:pPr>
        <w:ind w:right="120" w:firstLine="490"/>
        <w:spacing w:after="0" w:line="276" w:lineRule="auto"/>
        <w:tabs>
          <w:tab w:leader="none" w:pos="684" w:val="left"/>
        </w:tabs>
        <w:numPr>
          <w:ilvl w:val="2"/>
          <w:numId w:val="139"/>
        </w:numPr>
        <w:rPr>
          <w:rFonts w:ascii="Arial" w:cs="Arial" w:eastAsia="Arial" w:hAnsi="Arial"/>
          <w:sz w:val="13"/>
          <w:szCs w:val="13"/>
          <w:color w:val="auto"/>
        </w:rPr>
      </w:pPr>
      <w:r>
        <w:rPr>
          <w:rFonts w:ascii="Arial" w:cs="Arial" w:eastAsia="Arial" w:hAnsi="Arial"/>
          <w:sz w:val="13"/>
          <w:szCs w:val="13"/>
          <w:u w:val="single" w:color="auto"/>
          <w:color w:val="auto"/>
        </w:rPr>
        <w:t>Section 162(m)</w:t>
      </w:r>
      <w:r>
        <w:rPr>
          <w:rFonts w:ascii="Arial" w:cs="Arial" w:eastAsia="Arial" w:hAnsi="Arial"/>
          <w:sz w:val="13"/>
          <w:szCs w:val="13"/>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49" w:lineRule="exact"/>
        <w:rPr>
          <w:rFonts w:ascii="Arial" w:cs="Arial" w:eastAsia="Arial" w:hAnsi="Arial"/>
          <w:sz w:val="13"/>
          <w:szCs w:val="13"/>
          <w:color w:val="auto"/>
        </w:rPr>
      </w:pPr>
    </w:p>
    <w:p>
      <w:pPr>
        <w:ind w:right="280" w:firstLine="490"/>
        <w:spacing w:after="0" w:line="276" w:lineRule="auto"/>
        <w:tabs>
          <w:tab w:leader="none" w:pos="720" w:val="left"/>
        </w:tabs>
        <w:numPr>
          <w:ilvl w:val="2"/>
          <w:numId w:val="139"/>
        </w:numPr>
        <w:rPr>
          <w:rFonts w:ascii="Arial" w:cs="Arial" w:eastAsia="Arial" w:hAnsi="Arial"/>
          <w:sz w:val="13"/>
          <w:szCs w:val="13"/>
          <w:color w:val="auto"/>
        </w:rPr>
      </w:pPr>
      <w:r>
        <w:rPr>
          <w:rFonts w:ascii="Arial" w:cs="Arial" w:eastAsia="Arial" w:hAnsi="Arial"/>
          <w:sz w:val="13"/>
          <w:szCs w:val="13"/>
          <w:u w:val="single" w:color="auto"/>
          <w:color w:val="auto"/>
        </w:rPr>
        <w:t>Rule 16b-3</w:t>
      </w:r>
      <w:r>
        <w:rPr>
          <w:rFonts w:ascii="Arial" w:cs="Arial" w:eastAsia="Arial" w:hAnsi="Arial"/>
          <w:sz w:val="13"/>
          <w:szCs w:val="13"/>
          <w:color w:val="auto"/>
        </w:rPr>
        <w:t>. To the extent desirable to qualify transactions hereunder as exempt under Rule 16b-3, the transactions contemplated hereunder will be structured to satisfy the requirements for exemption under Rule 16b-3.</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2"/>
          <w:numId w:val="139"/>
        </w:numPr>
        <w:rPr>
          <w:rFonts w:ascii="Arial" w:cs="Arial" w:eastAsia="Arial" w:hAnsi="Arial"/>
          <w:sz w:val="13"/>
          <w:szCs w:val="13"/>
          <w:color w:val="auto"/>
        </w:rPr>
      </w:pPr>
      <w:r>
        <w:rPr>
          <w:rFonts w:ascii="Arial" w:cs="Arial" w:eastAsia="Arial" w:hAnsi="Arial"/>
          <w:sz w:val="13"/>
          <w:szCs w:val="13"/>
          <w:u w:val="single" w:color="auto"/>
          <w:color w:val="auto"/>
        </w:rPr>
        <w:t>Other Administration</w:t>
      </w:r>
      <w:r>
        <w:rPr>
          <w:rFonts w:ascii="Arial" w:cs="Arial" w:eastAsia="Arial" w:hAnsi="Arial"/>
          <w:sz w:val="13"/>
          <w:szCs w:val="13"/>
          <w:color w:val="auto"/>
        </w:rPr>
        <w:t>. Other than as provided above, the Plan will be administered by (A) the Board or (B) a Committee, which committee will be constituted to satisfy Applicable Laws.</w:t>
      </w:r>
    </w:p>
    <w:p>
      <w:pPr>
        <w:spacing w:after="0" w:line="86" w:lineRule="exact"/>
        <w:rPr>
          <w:rFonts w:ascii="Arial" w:cs="Arial" w:eastAsia="Arial" w:hAnsi="Arial"/>
          <w:sz w:val="13"/>
          <w:szCs w:val="13"/>
          <w:color w:val="auto"/>
        </w:rPr>
      </w:pPr>
    </w:p>
    <w:p>
      <w:pPr>
        <w:ind w:right="260" w:firstLine="326"/>
        <w:spacing w:after="0" w:line="276" w:lineRule="auto"/>
        <w:tabs>
          <w:tab w:leader="none" w:pos="513" w:val="left"/>
        </w:tabs>
        <w:numPr>
          <w:ilvl w:val="1"/>
          <w:numId w:val="139"/>
        </w:numPr>
        <w:rPr>
          <w:rFonts w:ascii="Arial" w:cs="Arial" w:eastAsia="Arial" w:hAnsi="Arial"/>
          <w:sz w:val="13"/>
          <w:szCs w:val="13"/>
          <w:color w:val="auto"/>
        </w:rPr>
      </w:pPr>
      <w:r>
        <w:rPr>
          <w:rFonts w:ascii="Arial" w:cs="Arial" w:eastAsia="Arial" w:hAnsi="Arial"/>
          <w:sz w:val="13"/>
          <w:szCs w:val="13"/>
          <w:u w:val="single" w:color="auto"/>
          <w:color w:val="auto"/>
        </w:rPr>
        <w:t>Powers of the Administrator</w:t>
      </w:r>
      <w:r>
        <w:rPr>
          <w:rFonts w:ascii="Arial" w:cs="Arial" w:eastAsia="Arial" w:hAnsi="Arial"/>
          <w:sz w:val="13"/>
          <w:szCs w:val="13"/>
          <w:color w:val="auto"/>
        </w:rPr>
        <w:t>. Subject to the provisions of the Plan, and in the case of a Committee, subject to the specific duties delegated by the Board to such Committee, the Administrator will have the authority, in its discretion:</w:t>
      </w:r>
    </w:p>
    <w:p>
      <w:pPr>
        <w:spacing w:after="0" w:line="49" w:lineRule="exact"/>
        <w:rPr>
          <w:rFonts w:ascii="Arial" w:cs="Arial" w:eastAsia="Arial" w:hAnsi="Arial"/>
          <w:sz w:val="13"/>
          <w:szCs w:val="13"/>
          <w:color w:val="auto"/>
        </w:rPr>
      </w:pPr>
    </w:p>
    <w:p>
      <w:pPr>
        <w:ind w:left="640" w:hanging="150"/>
        <w:spacing w:after="0"/>
        <w:tabs>
          <w:tab w:leader="none" w:pos="640" w:val="left"/>
        </w:tabs>
        <w:numPr>
          <w:ilvl w:val="2"/>
          <w:numId w:val="139"/>
        </w:numPr>
        <w:rPr>
          <w:rFonts w:ascii="Arial" w:cs="Arial" w:eastAsia="Arial" w:hAnsi="Arial"/>
          <w:sz w:val="13"/>
          <w:szCs w:val="13"/>
          <w:color w:val="auto"/>
        </w:rPr>
      </w:pPr>
      <w:r>
        <w:rPr>
          <w:rFonts w:ascii="Arial" w:cs="Arial" w:eastAsia="Arial" w:hAnsi="Arial"/>
          <w:sz w:val="13"/>
          <w:szCs w:val="13"/>
          <w:color w:val="auto"/>
        </w:rPr>
        <w:t>to determine the Fair Market Value;</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139"/>
        </w:numPr>
        <w:rPr>
          <w:rFonts w:ascii="Arial" w:cs="Arial" w:eastAsia="Arial" w:hAnsi="Arial"/>
          <w:sz w:val="13"/>
          <w:szCs w:val="13"/>
          <w:color w:val="auto"/>
        </w:rPr>
      </w:pPr>
      <w:r>
        <w:rPr>
          <w:rFonts w:ascii="Arial" w:cs="Arial" w:eastAsia="Arial" w:hAnsi="Arial"/>
          <w:sz w:val="13"/>
          <w:szCs w:val="13"/>
          <w:color w:val="auto"/>
        </w:rPr>
        <w:t>to select the Service Providers to whom Awards may be granted hereunder;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2"/>
          <w:numId w:val="139"/>
        </w:numPr>
        <w:rPr>
          <w:rFonts w:ascii="Arial" w:cs="Arial" w:eastAsia="Arial" w:hAnsi="Arial"/>
          <w:sz w:val="13"/>
          <w:szCs w:val="13"/>
          <w:color w:val="auto"/>
        </w:rPr>
      </w:pPr>
      <w:r>
        <w:rPr>
          <w:rFonts w:ascii="Arial" w:cs="Arial" w:eastAsia="Arial" w:hAnsi="Arial"/>
          <w:sz w:val="13"/>
          <w:szCs w:val="13"/>
          <w:color w:val="auto"/>
        </w:rPr>
        <w:t>to determine the number of Shares to be covered by each Award granted hereunder;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2"/>
          <w:numId w:val="139"/>
        </w:numPr>
        <w:rPr>
          <w:rFonts w:ascii="Arial" w:cs="Arial" w:eastAsia="Arial" w:hAnsi="Arial"/>
          <w:sz w:val="13"/>
          <w:szCs w:val="13"/>
          <w:color w:val="auto"/>
        </w:rPr>
      </w:pPr>
      <w:r>
        <w:rPr>
          <w:rFonts w:ascii="Arial" w:cs="Arial" w:eastAsia="Arial" w:hAnsi="Arial"/>
          <w:sz w:val="13"/>
          <w:szCs w:val="13"/>
          <w:color w:val="auto"/>
        </w:rPr>
        <w:t>to approve forms of Award Agreements for use under the Plan;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21" w:name="page222"/>
    <w:bookmarkEnd w:id="221"/>
    <w:p>
      <w:pPr>
        <w:ind w:left="-140" w:right="20" w:firstLine="490"/>
        <w:spacing w:after="0" w:line="264" w:lineRule="auto"/>
        <w:tabs>
          <w:tab w:leader="none" w:pos="537"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57" w:lineRule="exact"/>
        <w:rPr>
          <w:rFonts w:ascii="Arial" w:cs="Arial" w:eastAsia="Arial" w:hAnsi="Arial"/>
          <w:sz w:val="13"/>
          <w:szCs w:val="13"/>
          <w:color w:val="auto"/>
        </w:rPr>
      </w:pPr>
    </w:p>
    <w:p>
      <w:pPr>
        <w:ind w:left="580" w:hanging="230"/>
        <w:spacing w:after="0"/>
        <w:tabs>
          <w:tab w:leader="none" w:pos="58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determine the terms and conditions of any, and to institute any Exchange Program;</w:t>
      </w:r>
    </w:p>
    <w:p>
      <w:pPr>
        <w:spacing w:after="0" w:line="86" w:lineRule="exact"/>
        <w:rPr>
          <w:rFonts w:ascii="Arial" w:cs="Arial" w:eastAsia="Arial" w:hAnsi="Arial"/>
          <w:sz w:val="13"/>
          <w:szCs w:val="13"/>
          <w:color w:val="auto"/>
        </w:rPr>
      </w:pPr>
    </w:p>
    <w:p>
      <w:pPr>
        <w:ind w:left="600" w:hanging="250"/>
        <w:spacing w:after="0"/>
        <w:tabs>
          <w:tab w:leader="none" w:pos="60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construe and interpret the terms of the Plan and Awards granted pursuant to the Plan;</w:t>
      </w:r>
    </w:p>
    <w:p>
      <w:pPr>
        <w:spacing w:after="0" w:line="86" w:lineRule="exact"/>
        <w:rPr>
          <w:rFonts w:ascii="Arial" w:cs="Arial" w:eastAsia="Arial" w:hAnsi="Arial"/>
          <w:sz w:val="13"/>
          <w:szCs w:val="13"/>
          <w:color w:val="auto"/>
        </w:rPr>
      </w:pPr>
    </w:p>
    <w:p>
      <w:pPr>
        <w:ind w:left="640" w:hanging="290"/>
        <w:spacing w:after="0"/>
        <w:tabs>
          <w:tab w:leader="none" w:pos="640" w:val="left"/>
        </w:tabs>
        <w:numPr>
          <w:ilvl w:val="2"/>
          <w:numId w:val="140"/>
        </w:numPr>
        <w:rPr>
          <w:rFonts w:ascii="Arial" w:cs="Arial" w:eastAsia="Arial" w:hAnsi="Arial"/>
          <w:sz w:val="12"/>
          <w:szCs w:val="12"/>
          <w:color w:val="auto"/>
        </w:rPr>
      </w:pPr>
      <w:r>
        <w:rPr>
          <w:rFonts w:ascii="Arial" w:cs="Arial" w:eastAsia="Arial" w:hAnsi="Arial"/>
          <w:sz w:val="12"/>
          <w:szCs w:val="12"/>
          <w:color w:val="auto"/>
        </w:rPr>
        <w:t>to prescribe, amend and rescind rules and regulations relating to the Plan, including rules and regulations relating to sub-plans established for the purpose of satisfying applicable foreign laws;</w:t>
      </w:r>
    </w:p>
    <w:p>
      <w:pPr>
        <w:spacing w:after="0" w:line="97" w:lineRule="exact"/>
        <w:rPr>
          <w:rFonts w:ascii="Arial" w:cs="Arial" w:eastAsia="Arial" w:hAnsi="Arial"/>
          <w:sz w:val="12"/>
          <w:szCs w:val="12"/>
          <w:color w:val="auto"/>
        </w:rPr>
      </w:pPr>
    </w:p>
    <w:p>
      <w:pPr>
        <w:ind w:left="-140" w:firstLine="490"/>
        <w:spacing w:after="0" w:line="276" w:lineRule="auto"/>
        <w:tabs>
          <w:tab w:leader="none" w:pos="573"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49" w:lineRule="exact"/>
        <w:rPr>
          <w:rFonts w:ascii="Arial" w:cs="Arial" w:eastAsia="Arial" w:hAnsi="Arial"/>
          <w:sz w:val="13"/>
          <w:szCs w:val="13"/>
          <w:color w:val="auto"/>
        </w:rPr>
      </w:pPr>
    </w:p>
    <w:p>
      <w:pPr>
        <w:ind w:left="540" w:hanging="190"/>
        <w:spacing w:after="0"/>
        <w:tabs>
          <w:tab w:leader="none" w:pos="54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allow Participants to satisfy withholding tax obligations in such manner as prescribed in Section 14 of the Plan;</w:t>
      </w:r>
    </w:p>
    <w:p>
      <w:pPr>
        <w:spacing w:after="0" w:line="86" w:lineRule="exact"/>
        <w:rPr>
          <w:rFonts w:ascii="Arial" w:cs="Arial" w:eastAsia="Arial" w:hAnsi="Arial"/>
          <w:sz w:val="13"/>
          <w:szCs w:val="13"/>
          <w:color w:val="auto"/>
        </w:rPr>
      </w:pPr>
    </w:p>
    <w:p>
      <w:pPr>
        <w:ind w:left="580" w:hanging="230"/>
        <w:spacing w:after="0"/>
        <w:tabs>
          <w:tab w:leader="none" w:pos="58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authorize any person to execute on behalf of the Company any instrument required to effect the grant of an Award previously granted by the Administrator;</w:t>
      </w:r>
    </w:p>
    <w:p>
      <w:pPr>
        <w:spacing w:after="0" w:line="86" w:lineRule="exact"/>
        <w:rPr>
          <w:rFonts w:ascii="Arial" w:cs="Arial" w:eastAsia="Arial" w:hAnsi="Arial"/>
          <w:sz w:val="13"/>
          <w:szCs w:val="13"/>
          <w:color w:val="auto"/>
        </w:rPr>
      </w:pPr>
    </w:p>
    <w:p>
      <w:pPr>
        <w:ind w:left="600" w:hanging="250"/>
        <w:spacing w:after="0"/>
        <w:tabs>
          <w:tab w:leader="none" w:pos="60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allow a Participant to defer the receipt of the payment of cash or the delivery of Shares that would otherwise be due to such Participant under an Award; and</w:t>
      </w:r>
    </w:p>
    <w:p>
      <w:pPr>
        <w:spacing w:after="0" w:line="86" w:lineRule="exact"/>
        <w:rPr>
          <w:rFonts w:ascii="Arial" w:cs="Arial" w:eastAsia="Arial" w:hAnsi="Arial"/>
          <w:sz w:val="13"/>
          <w:szCs w:val="13"/>
          <w:color w:val="auto"/>
        </w:rPr>
      </w:pPr>
    </w:p>
    <w:p>
      <w:pPr>
        <w:ind w:left="640" w:hanging="290"/>
        <w:spacing w:after="0"/>
        <w:tabs>
          <w:tab w:leader="none" w:pos="640" w:val="left"/>
        </w:tabs>
        <w:numPr>
          <w:ilvl w:val="2"/>
          <w:numId w:val="140"/>
        </w:numPr>
        <w:rPr>
          <w:rFonts w:ascii="Arial" w:cs="Arial" w:eastAsia="Arial" w:hAnsi="Arial"/>
          <w:sz w:val="13"/>
          <w:szCs w:val="13"/>
          <w:color w:val="auto"/>
        </w:rPr>
      </w:pPr>
      <w:r>
        <w:rPr>
          <w:rFonts w:ascii="Arial" w:cs="Arial" w:eastAsia="Arial" w:hAnsi="Arial"/>
          <w:sz w:val="13"/>
          <w:szCs w:val="13"/>
          <w:color w:val="auto"/>
        </w:rPr>
        <w:t>to make all other determinations deemed necessary or advisable for administering the Plan.</w:t>
      </w:r>
    </w:p>
    <w:p>
      <w:pPr>
        <w:spacing w:after="0" w:line="86" w:lineRule="exact"/>
        <w:rPr>
          <w:rFonts w:ascii="Arial" w:cs="Arial" w:eastAsia="Arial" w:hAnsi="Arial"/>
          <w:sz w:val="13"/>
          <w:szCs w:val="13"/>
          <w:color w:val="auto"/>
        </w:rPr>
      </w:pPr>
    </w:p>
    <w:p>
      <w:pPr>
        <w:ind w:left="360" w:hanging="174"/>
        <w:spacing w:after="0"/>
        <w:tabs>
          <w:tab w:leader="none" w:pos="360" w:val="left"/>
        </w:tabs>
        <w:numPr>
          <w:ilvl w:val="1"/>
          <w:numId w:val="141"/>
        </w:numPr>
        <w:rPr>
          <w:rFonts w:ascii="Arial" w:cs="Arial" w:eastAsia="Arial" w:hAnsi="Arial"/>
          <w:sz w:val="13"/>
          <w:szCs w:val="13"/>
          <w:color w:val="auto"/>
        </w:rPr>
      </w:pPr>
      <w:r>
        <w:rPr>
          <w:rFonts w:ascii="Arial" w:cs="Arial" w:eastAsia="Arial" w:hAnsi="Arial"/>
          <w:sz w:val="13"/>
          <w:szCs w:val="13"/>
          <w:u w:val="single" w:color="auto"/>
          <w:color w:val="auto"/>
        </w:rPr>
        <w:t>Effect of Administrator’s Decision</w:t>
      </w:r>
      <w:r>
        <w:rPr>
          <w:rFonts w:ascii="Arial" w:cs="Arial" w:eastAsia="Arial" w:hAnsi="Arial"/>
          <w:sz w:val="13"/>
          <w:szCs w:val="13"/>
          <w:color w:val="auto"/>
        </w:rPr>
        <w:t>. The Administrator’s decisions, determinations and interpretations will be final and binding on all Participants and any other holders of Awards.</w:t>
      </w:r>
    </w:p>
    <w:p>
      <w:pPr>
        <w:spacing w:after="0" w:line="86" w:lineRule="exact"/>
        <w:rPr>
          <w:rFonts w:ascii="Arial" w:cs="Arial" w:eastAsia="Arial" w:hAnsi="Arial"/>
          <w:sz w:val="13"/>
          <w:szCs w:val="13"/>
          <w:color w:val="auto"/>
        </w:rPr>
      </w:pPr>
    </w:p>
    <w:p>
      <w:pPr>
        <w:ind w:left="-140" w:right="180" w:firstLine="162"/>
        <w:spacing w:after="0" w:line="276" w:lineRule="auto"/>
        <w:tabs>
          <w:tab w:leader="none" w:pos="155"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49" w:lineRule="exact"/>
        <w:rPr>
          <w:rFonts w:ascii="Arial" w:cs="Arial" w:eastAsia="Arial" w:hAnsi="Arial"/>
          <w:sz w:val="13"/>
          <w:szCs w:val="13"/>
          <w:color w:val="auto"/>
        </w:rPr>
      </w:pPr>
    </w:p>
    <w:p>
      <w:pPr>
        <w:ind w:left="160" w:hanging="138"/>
        <w:spacing w:after="0"/>
        <w:tabs>
          <w:tab w:leader="none" w:pos="160"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Stock Options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40" w:right="160" w:firstLine="326"/>
        <w:spacing w:after="0" w:line="276" w:lineRule="auto"/>
        <w:tabs>
          <w:tab w:leader="none" w:pos="366" w:val="left"/>
        </w:tabs>
        <w:numPr>
          <w:ilvl w:val="1"/>
          <w:numId w:val="142"/>
        </w:numPr>
        <w:rPr>
          <w:rFonts w:ascii="Arial" w:cs="Arial" w:eastAsia="Arial" w:hAnsi="Arial"/>
          <w:sz w:val="13"/>
          <w:szCs w:val="13"/>
          <w:color w:val="auto"/>
        </w:rPr>
      </w:pPr>
      <w:r>
        <w:rPr>
          <w:rFonts w:ascii="Arial" w:cs="Arial" w:eastAsia="Arial" w:hAnsi="Arial"/>
          <w:sz w:val="13"/>
          <w:szCs w:val="13"/>
          <w:u w:val="single" w:color="auto"/>
          <w:color w:val="auto"/>
        </w:rPr>
        <w:t>Limitations</w:t>
      </w:r>
      <w:r>
        <w:rPr>
          <w:rFonts w:ascii="Arial" w:cs="Arial" w:eastAsia="Arial" w:hAnsi="Arial"/>
          <w:sz w:val="13"/>
          <w:szCs w:val="13"/>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107315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360" w:top="721" w:right="339" w:bottom="1440" w:gutter="0" w:footer="0" w:header="0"/>
        </w:sectPr>
      </w:pPr>
    </w:p>
    <w:bookmarkStart w:id="222" w:name="page223"/>
    <w:bookmarkEnd w:id="222"/>
    <w:p>
      <w:pPr>
        <w:ind w:right="20"/>
        <w:spacing w:after="0" w:line="320" w:lineRule="auto"/>
        <w:rPr>
          <w:sz w:val="20"/>
          <w:szCs w:val="20"/>
          <w:color w:val="auto"/>
        </w:rPr>
      </w:pPr>
      <w:r>
        <w:rPr>
          <w:rFonts w:ascii="Arial" w:cs="Arial" w:eastAsia="Arial" w:hAnsi="Arial"/>
          <w:sz w:val="12"/>
          <w:szCs w:val="12"/>
          <w:color w:val="auto"/>
        </w:rPr>
        <w:t>(under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25" w:lineRule="exact"/>
        <w:rPr>
          <w:sz w:val="20"/>
          <w:szCs w:val="20"/>
          <w:color w:val="auto"/>
        </w:rPr>
      </w:pPr>
    </w:p>
    <w:p>
      <w:pPr>
        <w:ind w:right="80" w:firstLine="326"/>
        <w:spacing w:after="0" w:line="260" w:lineRule="auto"/>
        <w:tabs>
          <w:tab w:leader="none" w:pos="513"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Term of Option</w:t>
      </w:r>
      <w:r>
        <w:rPr>
          <w:rFonts w:ascii="Arial" w:cs="Arial" w:eastAsia="Arial" w:hAnsi="Arial"/>
          <w:sz w:val="13"/>
          <w:szCs w:val="13"/>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Option Exercise Price and Consideration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per share exercise price for the Shares to be issued pursuant to exercise of an Option will be determined by the Administrator, subject to the following:</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2"/>
          <w:numId w:val="143"/>
        </w:numPr>
        <w:rPr>
          <w:rFonts w:ascii="Arial" w:cs="Arial" w:eastAsia="Arial" w:hAnsi="Arial"/>
          <w:sz w:val="13"/>
          <w:szCs w:val="13"/>
          <w:color w:val="auto"/>
        </w:rPr>
      </w:pPr>
      <w:r>
        <w:rPr>
          <w:rFonts w:ascii="Arial" w:cs="Arial" w:eastAsia="Arial" w:hAnsi="Arial"/>
          <w:sz w:val="13"/>
          <w:szCs w:val="13"/>
          <w:color w:val="auto"/>
        </w:rPr>
        <w:t>In the case of an Incentive Stock Option</w:t>
      </w:r>
    </w:p>
    <w:p>
      <w:pPr>
        <w:spacing w:after="0" w:line="86" w:lineRule="exact"/>
        <w:rPr>
          <w:rFonts w:ascii="Arial" w:cs="Arial" w:eastAsia="Arial" w:hAnsi="Arial"/>
          <w:sz w:val="13"/>
          <w:szCs w:val="13"/>
          <w:color w:val="auto"/>
        </w:rPr>
      </w:pPr>
    </w:p>
    <w:p>
      <w:pPr>
        <w:ind w:right="60" w:firstLine="817"/>
        <w:spacing w:after="0" w:line="276" w:lineRule="auto"/>
        <w:tabs>
          <w:tab w:leader="none" w:pos="953" w:val="left"/>
        </w:tabs>
        <w:numPr>
          <w:ilvl w:val="3"/>
          <w:numId w:val="143"/>
        </w:numPr>
        <w:rPr>
          <w:rFonts w:ascii="Arial" w:cs="Arial" w:eastAsia="Arial" w:hAnsi="Arial"/>
          <w:sz w:val="13"/>
          <w:szCs w:val="13"/>
          <w:color w:val="auto"/>
        </w:rPr>
      </w:pPr>
      <w:r>
        <w:rPr>
          <w:rFonts w:ascii="Arial" w:cs="Arial" w:eastAsia="Arial" w:hAnsi="Arial"/>
          <w:sz w:val="13"/>
          <w:szCs w:val="13"/>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49" w:lineRule="exact"/>
        <w:rPr>
          <w:rFonts w:ascii="Arial" w:cs="Arial" w:eastAsia="Arial" w:hAnsi="Arial"/>
          <w:sz w:val="13"/>
          <w:szCs w:val="13"/>
          <w:color w:val="auto"/>
        </w:rPr>
      </w:pPr>
    </w:p>
    <w:p>
      <w:pPr>
        <w:ind w:firstLine="817"/>
        <w:spacing w:after="0" w:line="276" w:lineRule="auto"/>
        <w:tabs>
          <w:tab w:leader="none" w:pos="961" w:val="left"/>
        </w:tabs>
        <w:numPr>
          <w:ilvl w:val="3"/>
          <w:numId w:val="143"/>
        </w:numPr>
        <w:rPr>
          <w:rFonts w:ascii="Arial" w:cs="Arial" w:eastAsia="Arial" w:hAnsi="Arial"/>
          <w:sz w:val="13"/>
          <w:szCs w:val="13"/>
          <w:color w:val="auto"/>
        </w:rPr>
      </w:pPr>
      <w:r>
        <w:rPr>
          <w:rFonts w:ascii="Arial" w:cs="Arial" w:eastAsia="Arial" w:hAnsi="Arial"/>
          <w:sz w:val="13"/>
          <w:szCs w:val="13"/>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2"/>
          <w:numId w:val="143"/>
        </w:numPr>
        <w:rPr>
          <w:rFonts w:ascii="Arial" w:cs="Arial" w:eastAsia="Arial" w:hAnsi="Arial"/>
          <w:sz w:val="13"/>
          <w:szCs w:val="13"/>
          <w:color w:val="auto"/>
        </w:rPr>
      </w:pPr>
      <w:r>
        <w:rPr>
          <w:rFonts w:ascii="Arial" w:cs="Arial" w:eastAsia="Arial" w:hAnsi="Arial"/>
          <w:sz w:val="13"/>
          <w:szCs w:val="13"/>
          <w:color w:val="auto"/>
        </w:rPr>
        <w:t>In the case of a Nonstatutory Stock Option, the per Share exercise price will be no less than one hundred percent (100%) of the Fair Market Value per Share on the date of grant.</w:t>
      </w:r>
    </w:p>
    <w:p>
      <w:pPr>
        <w:spacing w:after="0" w:line="86" w:lineRule="exact"/>
        <w:rPr>
          <w:rFonts w:ascii="Arial" w:cs="Arial" w:eastAsia="Arial" w:hAnsi="Arial"/>
          <w:sz w:val="13"/>
          <w:szCs w:val="13"/>
          <w:color w:val="auto"/>
        </w:rPr>
      </w:pPr>
    </w:p>
    <w:p>
      <w:pPr>
        <w:ind w:right="260" w:firstLine="654"/>
        <w:spacing w:after="0" w:line="276" w:lineRule="auto"/>
        <w:tabs>
          <w:tab w:leader="none" w:pos="84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49" w:lineRule="exact"/>
        <w:rPr>
          <w:rFonts w:ascii="Arial" w:cs="Arial" w:eastAsia="Arial" w:hAnsi="Arial"/>
          <w:sz w:val="13"/>
          <w:szCs w:val="13"/>
          <w:color w:val="auto"/>
        </w:rPr>
      </w:pPr>
    </w:p>
    <w:p>
      <w:pPr>
        <w:ind w:firstLine="490"/>
        <w:spacing w:after="0" w:line="276" w:lineRule="auto"/>
        <w:tabs>
          <w:tab w:leader="none" w:pos="684"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Waiting Period and Exercise Dates</w:t>
      </w:r>
      <w:r>
        <w:rPr>
          <w:rFonts w:ascii="Arial" w:cs="Arial" w:eastAsia="Arial" w:hAnsi="Arial"/>
          <w:sz w:val="13"/>
          <w:szCs w:val="13"/>
          <w:color w:val="auto"/>
        </w:rPr>
        <w:t>. At the time an Option is granted, the Administrator will fix the period within which the Option may be exercised and will determine any conditions that must be satisfied before the Option may be exercised.</w:t>
      </w:r>
    </w:p>
    <w:p>
      <w:pPr>
        <w:spacing w:after="0" w:line="49" w:lineRule="exact"/>
        <w:rPr>
          <w:rFonts w:ascii="Arial" w:cs="Arial" w:eastAsia="Arial" w:hAnsi="Arial"/>
          <w:sz w:val="13"/>
          <w:szCs w:val="13"/>
          <w:color w:val="auto"/>
        </w:rPr>
      </w:pPr>
    </w:p>
    <w:p>
      <w:pPr>
        <w:ind w:right="240" w:firstLine="490"/>
        <w:spacing w:after="0" w:line="276" w:lineRule="auto"/>
        <w:tabs>
          <w:tab w:leader="none" w:pos="720"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Form of Consideration</w:t>
      </w:r>
      <w:r>
        <w:rPr>
          <w:rFonts w:ascii="Arial" w:cs="Arial" w:eastAsia="Arial" w:hAnsi="Arial"/>
          <w:sz w:val="13"/>
          <w:szCs w:val="13"/>
          <w:color w:val="auto"/>
        </w:rPr>
        <w:t>. The Administrator will determine the acceptable form of consideration for exercising an Option, including the method of payment. In the case of an Incentive Stock Option, the Administrator will determine the acceptable form of</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3" w:name="page224"/>
    <w:bookmarkEnd w:id="223"/>
    <w:p>
      <w:pPr>
        <w:ind w:left="1"/>
        <w:spacing w:after="0" w:line="289" w:lineRule="auto"/>
        <w:rPr>
          <w:sz w:val="20"/>
          <w:szCs w:val="20"/>
          <w:color w:val="auto"/>
        </w:rPr>
      </w:pPr>
      <w:r>
        <w:rPr>
          <w:rFonts w:ascii="Arial" w:cs="Arial" w:eastAsia="Arial" w:hAnsi="Arial"/>
          <w:sz w:val="12"/>
          <w:szCs w:val="12"/>
          <w:color w:val="auto"/>
        </w:rPr>
        <w:t>consideration at the time of grant. Such consideration may consist entirely of: (1) cash; (2) check; (3) promissory note, (4) other Shares, provided that such Shares have a Fair Market Value on the date of surrender equal to the aggregate exercise price of the Shares as to which such Option will be exercised and provided that accepting such Shares, in the sole discretion of the Administrator, will not result in any adverse accounting consequences to the Company; (5) consideration received by the Company under a broker-assisted (or other) cashless exercise program implemented by the Company in connection with the Plan; (6) any combination of the foregoing methods of payment; or (7) such other consideration and method of payment for the issuance of Shares to the extent permitted by Applicable Laws.</w:t>
      </w:r>
    </w:p>
    <w:p>
      <w:pPr>
        <w:spacing w:after="0" w:line="43" w:lineRule="exact"/>
        <w:rPr>
          <w:sz w:val="20"/>
          <w:szCs w:val="20"/>
          <w:color w:val="auto"/>
        </w:rPr>
      </w:pPr>
    </w:p>
    <w:p>
      <w:pPr>
        <w:ind w:left="521" w:hanging="194"/>
        <w:spacing w:after="0"/>
        <w:tabs>
          <w:tab w:leader="none" w:pos="521"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Exercise of Option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360" w:firstLine="490"/>
        <w:spacing w:after="0" w:line="276" w:lineRule="auto"/>
        <w:tabs>
          <w:tab w:leader="none" w:pos="649" w:val="left"/>
        </w:tabs>
        <w:numPr>
          <w:ilvl w:val="1"/>
          <w:numId w:val="144"/>
        </w:numPr>
        <w:rPr>
          <w:rFonts w:ascii="Arial" w:cs="Arial" w:eastAsia="Arial" w:hAnsi="Arial"/>
          <w:sz w:val="13"/>
          <w:szCs w:val="13"/>
          <w:color w:val="auto"/>
        </w:rPr>
      </w:pPr>
      <w:r>
        <w:rPr>
          <w:rFonts w:ascii="Arial" w:cs="Arial" w:eastAsia="Arial" w:hAnsi="Arial"/>
          <w:sz w:val="13"/>
          <w:szCs w:val="13"/>
          <w:u w:val="single" w:color="auto"/>
          <w:color w:val="auto"/>
        </w:rPr>
        <w:t>Procedure for Exercise; Rights as a Stockholder</w:t>
      </w:r>
      <w:r>
        <w:rPr>
          <w:rFonts w:ascii="Arial" w:cs="Arial" w:eastAsia="Arial" w:hAnsi="Arial"/>
          <w:sz w:val="13"/>
          <w:szCs w:val="13"/>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49" w:lineRule="exact"/>
        <w:rPr>
          <w:sz w:val="20"/>
          <w:szCs w:val="20"/>
          <w:color w:val="auto"/>
        </w:rPr>
      </w:pPr>
    </w:p>
    <w:p>
      <w:pPr>
        <w:ind w:left="641"/>
        <w:spacing w:after="0"/>
        <w:rPr>
          <w:sz w:val="20"/>
          <w:szCs w:val="20"/>
          <w:color w:val="auto"/>
        </w:rPr>
      </w:pPr>
      <w:r>
        <w:rPr>
          <w:rFonts w:ascii="Arial" w:cs="Arial" w:eastAsia="Arial" w:hAnsi="Arial"/>
          <w:sz w:val="11"/>
          <w:szCs w:val="11"/>
          <w:color w:val="auto"/>
        </w:rPr>
        <w:t>An Option will be deemed exercised when the Company receives: (i) notice of exercise (in such form as the Administrator may specify from time to time) from the person entitled to exercise the Option, and</w:t>
      </w:r>
    </w:p>
    <w:p>
      <w:pPr>
        <w:spacing w:after="0" w:line="38" w:lineRule="exact"/>
        <w:rPr>
          <w:sz w:val="20"/>
          <w:szCs w:val="20"/>
          <w:color w:val="auto"/>
        </w:rPr>
      </w:pPr>
    </w:p>
    <w:p>
      <w:pPr>
        <w:ind w:left="1" w:hanging="1"/>
        <w:spacing w:after="0" w:line="281" w:lineRule="auto"/>
        <w:tabs>
          <w:tab w:leader="none" w:pos="194" w:val="left"/>
        </w:tabs>
        <w:numPr>
          <w:ilvl w:val="0"/>
          <w:numId w:val="145"/>
        </w:numPr>
        <w:rPr>
          <w:rFonts w:ascii="Arial" w:cs="Arial" w:eastAsia="Arial" w:hAnsi="Arial"/>
          <w:sz w:val="12"/>
          <w:szCs w:val="12"/>
          <w:color w:val="auto"/>
        </w:rPr>
      </w:pPr>
      <w:r>
        <w:rPr>
          <w:rFonts w:ascii="Arial" w:cs="Arial" w:eastAsia="Arial" w:hAnsi="Arial"/>
          <w:sz w:val="12"/>
          <w:szCs w:val="12"/>
          <w:color w:val="auto"/>
        </w:rPr>
        <w:t>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50" w:lineRule="exact"/>
        <w:rPr>
          <w:sz w:val="20"/>
          <w:szCs w:val="20"/>
          <w:color w:val="auto"/>
        </w:rPr>
      </w:pPr>
    </w:p>
    <w:p>
      <w:pPr>
        <w:ind w:left="1" w:right="340" w:firstLine="491"/>
        <w:spacing w:after="0" w:line="276" w:lineRule="auto"/>
        <w:rPr>
          <w:sz w:val="20"/>
          <w:szCs w:val="20"/>
          <w:color w:val="auto"/>
        </w:rPr>
      </w:pPr>
      <w:r>
        <w:rPr>
          <w:rFonts w:ascii="Arial" w:cs="Arial" w:eastAsia="Arial" w:hAnsi="Arial"/>
          <w:sz w:val="13"/>
          <w:szCs w:val="13"/>
          <w:color w:val="auto"/>
        </w:rPr>
        <w:t>Exercising an Option in any manner will decrease the number of Shares thereafter available, both for purposes of the Plan and for sale under the Option, by the number of Shares as to which the Option is exercised.</w:t>
      </w:r>
    </w:p>
    <w:p>
      <w:pPr>
        <w:spacing w:after="0" w:line="49" w:lineRule="exact"/>
        <w:rPr>
          <w:sz w:val="20"/>
          <w:szCs w:val="20"/>
          <w:color w:val="auto"/>
        </w:rPr>
      </w:pPr>
    </w:p>
    <w:p>
      <w:pPr>
        <w:ind w:left="1" w:right="20" w:firstLine="490"/>
        <w:spacing w:after="0" w:line="285" w:lineRule="auto"/>
        <w:tabs>
          <w:tab w:leader="none" w:pos="685"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Termination of Relationship as a Service Provider</w:t>
      </w:r>
      <w:r>
        <w:rPr>
          <w:rFonts w:ascii="Arial" w:cs="Arial" w:eastAsia="Arial" w:hAnsi="Arial"/>
          <w:sz w:val="12"/>
          <w:szCs w:val="12"/>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24" w:name="page225"/>
    <w:bookmarkEnd w:id="224"/>
    <w:p>
      <w:pPr>
        <w:ind w:left="-40" w:right="40" w:firstLine="490"/>
        <w:spacing w:after="0" w:line="258" w:lineRule="auto"/>
        <w:tabs>
          <w:tab w:leader="none" w:pos="680" w:val="left"/>
        </w:tabs>
        <w:numPr>
          <w:ilvl w:val="2"/>
          <w:numId w:val="147"/>
        </w:numPr>
        <w:rPr>
          <w:rFonts w:ascii="Arial" w:cs="Arial" w:eastAsia="Arial" w:hAnsi="Arial"/>
          <w:sz w:val="13"/>
          <w:szCs w:val="13"/>
          <w:color w:val="auto"/>
        </w:rPr>
      </w:pPr>
      <w:r>
        <w:rPr>
          <w:rFonts w:ascii="Arial" w:cs="Arial" w:eastAsia="Arial" w:hAnsi="Arial"/>
          <w:sz w:val="13"/>
          <w:szCs w:val="13"/>
          <w:u w:val="single" w:color="auto"/>
          <w:color w:val="auto"/>
        </w:rPr>
        <w:t>Disability of Participant</w:t>
      </w:r>
      <w:r>
        <w:rPr>
          <w:rFonts w:ascii="Arial" w:cs="Arial" w:eastAsia="Arial" w:hAnsi="Arial"/>
          <w:sz w:val="13"/>
          <w:szCs w:val="13"/>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61" w:lineRule="exact"/>
        <w:rPr>
          <w:rFonts w:ascii="Arial" w:cs="Arial" w:eastAsia="Arial" w:hAnsi="Arial"/>
          <w:sz w:val="13"/>
          <w:szCs w:val="13"/>
          <w:color w:val="auto"/>
        </w:rPr>
      </w:pPr>
    </w:p>
    <w:p>
      <w:pPr>
        <w:ind w:left="-40" w:firstLine="490"/>
        <w:spacing w:after="0" w:line="281" w:lineRule="auto"/>
        <w:tabs>
          <w:tab w:leader="none" w:pos="673" w:val="left"/>
        </w:tabs>
        <w:numPr>
          <w:ilvl w:val="2"/>
          <w:numId w:val="147"/>
        </w:numPr>
        <w:rPr>
          <w:rFonts w:ascii="Arial" w:cs="Arial" w:eastAsia="Arial" w:hAnsi="Arial"/>
          <w:sz w:val="12"/>
          <w:szCs w:val="12"/>
          <w:color w:val="auto"/>
        </w:rPr>
      </w:pPr>
      <w:r>
        <w:rPr>
          <w:rFonts w:ascii="Arial" w:cs="Arial" w:eastAsia="Arial" w:hAnsi="Arial"/>
          <w:sz w:val="12"/>
          <w:szCs w:val="12"/>
          <w:u w:val="single" w:color="auto"/>
          <w:color w:val="auto"/>
        </w:rPr>
        <w:t>Death of Participant</w:t>
      </w:r>
      <w:r>
        <w:rPr>
          <w:rFonts w:ascii="Arial" w:cs="Arial" w:eastAsia="Arial" w:hAnsi="Arial"/>
          <w:sz w:val="12"/>
          <w:szCs w:val="12"/>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48" w:lineRule="exact"/>
        <w:rPr>
          <w:rFonts w:ascii="Arial" w:cs="Arial" w:eastAsia="Arial" w:hAnsi="Arial"/>
          <w:sz w:val="12"/>
          <w:szCs w:val="12"/>
          <w:color w:val="auto"/>
        </w:rPr>
      </w:pPr>
    </w:p>
    <w:p>
      <w:pPr>
        <w:ind w:left="260" w:hanging="138"/>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Restricted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right="140" w:firstLine="326"/>
        <w:spacing w:after="0" w:line="276" w:lineRule="auto"/>
        <w:tabs>
          <w:tab w:leader="none" w:pos="466" w:val="left"/>
        </w:tabs>
        <w:numPr>
          <w:ilvl w:val="1"/>
          <w:numId w:val="148"/>
        </w:numPr>
        <w:rPr>
          <w:rFonts w:ascii="Arial" w:cs="Arial" w:eastAsia="Arial" w:hAnsi="Arial"/>
          <w:sz w:val="13"/>
          <w:szCs w:val="13"/>
          <w:color w:val="auto"/>
        </w:rPr>
      </w:pPr>
      <w:r>
        <w:rPr>
          <w:rFonts w:ascii="Arial" w:cs="Arial" w:eastAsia="Arial" w:hAnsi="Arial"/>
          <w:sz w:val="13"/>
          <w:szCs w:val="13"/>
          <w:u w:val="single" w:color="auto"/>
          <w:color w:val="auto"/>
        </w:rPr>
        <w:t>Grant of Restricted Stock</w:t>
      </w:r>
      <w:r>
        <w:rPr>
          <w:rFonts w:ascii="Arial" w:cs="Arial" w:eastAsia="Arial" w:hAnsi="Arial"/>
          <w:sz w:val="13"/>
          <w:szCs w:val="13"/>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49" w:lineRule="exact"/>
        <w:rPr>
          <w:rFonts w:ascii="Arial" w:cs="Arial" w:eastAsia="Arial" w:hAnsi="Arial"/>
          <w:sz w:val="13"/>
          <w:szCs w:val="13"/>
          <w:color w:val="auto"/>
        </w:rPr>
      </w:pPr>
    </w:p>
    <w:p>
      <w:pPr>
        <w:jc w:val="both"/>
        <w:ind w:left="-40" w:right="240" w:firstLine="326"/>
        <w:spacing w:after="0" w:line="264" w:lineRule="auto"/>
        <w:tabs>
          <w:tab w:leader="none" w:pos="473" w:val="left"/>
        </w:tabs>
        <w:numPr>
          <w:ilvl w:val="1"/>
          <w:numId w:val="148"/>
        </w:numPr>
        <w:rPr>
          <w:rFonts w:ascii="Arial" w:cs="Arial" w:eastAsia="Arial" w:hAnsi="Arial"/>
          <w:sz w:val="13"/>
          <w:szCs w:val="13"/>
          <w:color w:val="auto"/>
        </w:rPr>
      </w:pPr>
      <w:r>
        <w:rPr>
          <w:rFonts w:ascii="Arial" w:cs="Arial" w:eastAsia="Arial" w:hAnsi="Arial"/>
          <w:sz w:val="13"/>
          <w:szCs w:val="13"/>
          <w:u w:val="single" w:color="auto"/>
          <w:color w:val="auto"/>
        </w:rPr>
        <w:t>Restricted Stock Agreement</w:t>
      </w:r>
      <w:r>
        <w:rPr>
          <w:rFonts w:ascii="Arial" w:cs="Arial" w:eastAsia="Arial" w:hAnsi="Arial"/>
          <w:sz w:val="13"/>
          <w:szCs w:val="13"/>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57" w:lineRule="exact"/>
        <w:rPr>
          <w:rFonts w:ascii="Arial" w:cs="Arial" w:eastAsia="Arial" w:hAnsi="Arial"/>
          <w:sz w:val="13"/>
          <w:szCs w:val="13"/>
          <w:color w:val="auto"/>
        </w:rPr>
      </w:pPr>
    </w:p>
    <w:p>
      <w:pPr>
        <w:ind w:left="-40" w:right="40" w:firstLine="326"/>
        <w:spacing w:after="0" w:line="276" w:lineRule="auto"/>
        <w:tabs>
          <w:tab w:leader="none" w:pos="466" w:val="left"/>
        </w:tabs>
        <w:numPr>
          <w:ilvl w:val="1"/>
          <w:numId w:val="148"/>
        </w:numPr>
        <w:rPr>
          <w:rFonts w:ascii="Arial" w:cs="Arial" w:eastAsia="Arial" w:hAnsi="Arial"/>
          <w:sz w:val="13"/>
          <w:szCs w:val="13"/>
          <w:color w:val="auto"/>
        </w:rPr>
      </w:pPr>
      <w:r>
        <w:rPr>
          <w:rFonts w:ascii="Arial" w:cs="Arial" w:eastAsia="Arial" w:hAnsi="Arial"/>
          <w:sz w:val="13"/>
          <w:szCs w:val="13"/>
          <w:u w:val="single" w:color="auto"/>
          <w:color w:val="auto"/>
        </w:rPr>
        <w:t>Transferability</w:t>
      </w:r>
      <w:r>
        <w:rPr>
          <w:rFonts w:ascii="Arial" w:cs="Arial" w:eastAsia="Arial" w:hAnsi="Arial"/>
          <w:sz w:val="13"/>
          <w:szCs w:val="13"/>
          <w:color w:val="auto"/>
        </w:rPr>
        <w:t>. Except as provided in this Section 7, Shares of Restricted Stock may not be sold, transferred, pledged, assigned, or otherwise alienated or hypothecated until the end of the applicable Period of Restriction.</w:t>
      </w:r>
    </w:p>
    <w:p>
      <w:pPr>
        <w:spacing w:after="0" w:line="49" w:lineRule="exact"/>
        <w:rPr>
          <w:rFonts w:ascii="Arial" w:cs="Arial" w:eastAsia="Arial" w:hAnsi="Arial"/>
          <w:sz w:val="13"/>
          <w:szCs w:val="13"/>
          <w:color w:val="auto"/>
        </w:rPr>
      </w:pPr>
    </w:p>
    <w:p>
      <w:pPr>
        <w:ind w:left="480" w:hanging="194"/>
        <w:spacing w:after="0"/>
        <w:tabs>
          <w:tab w:leader="none" w:pos="480" w:val="left"/>
        </w:tabs>
        <w:numPr>
          <w:ilvl w:val="1"/>
          <w:numId w:val="148"/>
        </w:numPr>
        <w:rPr>
          <w:rFonts w:ascii="Arial" w:cs="Arial" w:eastAsia="Arial" w:hAnsi="Arial"/>
          <w:sz w:val="13"/>
          <w:szCs w:val="13"/>
          <w:color w:val="auto"/>
        </w:rPr>
      </w:pPr>
      <w:r>
        <w:rPr>
          <w:rFonts w:ascii="Arial" w:cs="Arial" w:eastAsia="Arial" w:hAnsi="Arial"/>
          <w:sz w:val="13"/>
          <w:szCs w:val="13"/>
          <w:u w:val="single" w:color="auto"/>
          <w:color w:val="auto"/>
        </w:rPr>
        <w:t>Other Restrictions</w:t>
      </w:r>
      <w:r>
        <w:rPr>
          <w:rFonts w:ascii="Arial" w:cs="Arial" w:eastAsia="Arial" w:hAnsi="Arial"/>
          <w:sz w:val="13"/>
          <w:szCs w:val="13"/>
          <w:color w:val="auto"/>
        </w:rPr>
        <w:t>. The Administrator, in its sole discretion, may impose such other restrictions on Shares of Restricted Stock as it may deem advisable or appropriate.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1" w:right="259" w:bottom="1440" w:gutter="0" w:footer="0" w:header="0"/>
        </w:sectPr>
      </w:pPr>
    </w:p>
    <w:bookmarkStart w:id="225" w:name="page226"/>
    <w:bookmarkEnd w:id="225"/>
    <w:p>
      <w:pPr>
        <w:ind w:left="-20" w:right="120" w:firstLine="326"/>
        <w:spacing w:after="0" w:line="264" w:lineRule="auto"/>
        <w:tabs>
          <w:tab w:leader="none" w:pos="486"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Removal of Restrictions</w:t>
      </w:r>
      <w:r>
        <w:rPr>
          <w:rFonts w:ascii="Arial" w:cs="Arial" w:eastAsia="Arial" w:hAnsi="Arial"/>
          <w:sz w:val="13"/>
          <w:szCs w:val="13"/>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57" w:lineRule="exact"/>
        <w:rPr>
          <w:rFonts w:ascii="Arial" w:cs="Arial" w:eastAsia="Arial" w:hAnsi="Arial"/>
          <w:sz w:val="13"/>
          <w:szCs w:val="13"/>
          <w:color w:val="auto"/>
        </w:rPr>
      </w:pPr>
    </w:p>
    <w:p>
      <w:pPr>
        <w:ind w:left="-20" w:right="160" w:firstLine="326"/>
        <w:spacing w:after="0" w:line="276" w:lineRule="auto"/>
        <w:tabs>
          <w:tab w:leader="none" w:pos="471"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Voting Rights</w:t>
      </w:r>
      <w:r>
        <w:rPr>
          <w:rFonts w:ascii="Arial" w:cs="Arial" w:eastAsia="Arial" w:hAnsi="Arial"/>
          <w:sz w:val="13"/>
          <w:szCs w:val="13"/>
          <w:color w:val="auto"/>
        </w:rPr>
        <w:t>. During the Period of Restriction, Service Providers holding Shares of Restricted Stock granted hereunder may exercise full voting rights with respect to those Shares, unless the Administrator determines otherwise.</w:t>
      </w:r>
    </w:p>
    <w:p>
      <w:pPr>
        <w:spacing w:after="0" w:line="49" w:lineRule="exact"/>
        <w:rPr>
          <w:rFonts w:ascii="Arial" w:cs="Arial" w:eastAsia="Arial" w:hAnsi="Arial"/>
          <w:sz w:val="13"/>
          <w:szCs w:val="13"/>
          <w:color w:val="auto"/>
        </w:rPr>
      </w:pPr>
    </w:p>
    <w:p>
      <w:pPr>
        <w:ind w:left="-20" w:right="100" w:firstLine="326"/>
        <w:spacing w:after="0" w:line="264" w:lineRule="auto"/>
        <w:tabs>
          <w:tab w:leader="none" w:pos="493"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Dividends and Other Distributions</w:t>
      </w:r>
      <w:r>
        <w:rPr>
          <w:rFonts w:ascii="Arial" w:cs="Arial" w:eastAsia="Arial" w:hAnsi="Arial"/>
          <w:sz w:val="13"/>
          <w:szCs w:val="13"/>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57" w:lineRule="exact"/>
        <w:rPr>
          <w:rFonts w:ascii="Arial" w:cs="Arial" w:eastAsia="Arial" w:hAnsi="Arial"/>
          <w:sz w:val="13"/>
          <w:szCs w:val="13"/>
          <w:color w:val="auto"/>
        </w:rPr>
      </w:pPr>
    </w:p>
    <w:p>
      <w:pPr>
        <w:ind w:left="-20" w:right="120" w:firstLine="326"/>
        <w:spacing w:after="0" w:line="276" w:lineRule="auto"/>
        <w:tabs>
          <w:tab w:leader="none" w:pos="493"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Return of Restricted Stock to Company</w:t>
      </w:r>
      <w:r>
        <w:rPr>
          <w:rFonts w:ascii="Arial" w:cs="Arial" w:eastAsia="Arial" w:hAnsi="Arial"/>
          <w:sz w:val="13"/>
          <w:szCs w:val="13"/>
          <w:color w:val="auto"/>
        </w:rPr>
        <w:t>. On the date set forth in the Award Agreement, the Restricted Stock for which restrictions have not lapsed will revert to the Company and again will become available for grant under the Plan.</w:t>
      </w:r>
    </w:p>
    <w:p>
      <w:pPr>
        <w:spacing w:after="0" w:line="49" w:lineRule="exact"/>
        <w:rPr>
          <w:rFonts w:ascii="Arial" w:cs="Arial" w:eastAsia="Arial" w:hAnsi="Arial"/>
          <w:sz w:val="13"/>
          <w:szCs w:val="13"/>
          <w:color w:val="auto"/>
        </w:rPr>
      </w:pPr>
    </w:p>
    <w:p>
      <w:pPr>
        <w:ind w:left="280" w:hanging="138"/>
        <w:spacing w:after="0"/>
        <w:tabs>
          <w:tab w:leader="none" w:pos="280"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Restricted Stock Units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right="60" w:firstLine="326"/>
        <w:spacing w:after="0" w:line="276" w:lineRule="auto"/>
        <w:tabs>
          <w:tab w:leader="none" w:pos="486"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Grant</w:t>
      </w:r>
      <w:r>
        <w:rPr>
          <w:rFonts w:ascii="Arial" w:cs="Arial" w:eastAsia="Arial" w:hAnsi="Arial"/>
          <w:sz w:val="13"/>
          <w:szCs w:val="13"/>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49" w:lineRule="exact"/>
        <w:rPr>
          <w:rFonts w:ascii="Arial" w:cs="Arial" w:eastAsia="Arial" w:hAnsi="Arial"/>
          <w:sz w:val="13"/>
          <w:szCs w:val="13"/>
          <w:color w:val="auto"/>
        </w:rPr>
      </w:pPr>
    </w:p>
    <w:p>
      <w:pPr>
        <w:ind w:left="-20" w:firstLine="326"/>
        <w:spacing w:after="0" w:line="264" w:lineRule="auto"/>
        <w:tabs>
          <w:tab w:leader="none" w:pos="493"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Vesting Criteria and Other Terms</w:t>
      </w:r>
      <w:r>
        <w:rPr>
          <w:rFonts w:ascii="Arial" w:cs="Arial" w:eastAsia="Arial" w:hAnsi="Arial"/>
          <w:sz w:val="13"/>
          <w:szCs w:val="13"/>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57" w:lineRule="exact"/>
        <w:rPr>
          <w:rFonts w:ascii="Arial" w:cs="Arial" w:eastAsia="Arial" w:hAnsi="Arial"/>
          <w:sz w:val="13"/>
          <w:szCs w:val="13"/>
          <w:color w:val="auto"/>
        </w:rPr>
      </w:pPr>
    </w:p>
    <w:p>
      <w:pPr>
        <w:ind w:left="-20" w:right="40" w:firstLine="326"/>
        <w:spacing w:after="0" w:line="276" w:lineRule="auto"/>
        <w:tabs>
          <w:tab w:leader="none" w:pos="486"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Earning Restricted Stock Units</w:t>
      </w:r>
      <w:r>
        <w:rPr>
          <w:rFonts w:ascii="Arial" w:cs="Arial" w:eastAsia="Arial" w:hAnsi="Arial"/>
          <w:sz w:val="13"/>
          <w:szCs w:val="13"/>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49" w:lineRule="exact"/>
        <w:rPr>
          <w:rFonts w:ascii="Arial" w:cs="Arial" w:eastAsia="Arial" w:hAnsi="Arial"/>
          <w:sz w:val="13"/>
          <w:szCs w:val="13"/>
          <w:color w:val="auto"/>
        </w:rPr>
      </w:pPr>
    </w:p>
    <w:p>
      <w:pPr>
        <w:ind w:left="-20" w:right="360" w:firstLine="326"/>
        <w:spacing w:after="0" w:line="276" w:lineRule="auto"/>
        <w:tabs>
          <w:tab w:leader="none" w:pos="493"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Form and Timing of Payment</w:t>
      </w:r>
      <w:r>
        <w:rPr>
          <w:rFonts w:ascii="Arial" w:cs="Arial" w:eastAsia="Arial" w:hAnsi="Arial"/>
          <w:sz w:val="13"/>
          <w:szCs w:val="13"/>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26" w:name="page227"/>
    <w:bookmarkEnd w:id="226"/>
    <w:p>
      <w:pPr>
        <w:ind w:left="460" w:hanging="174"/>
        <w:spacing w:after="0"/>
        <w:tabs>
          <w:tab w:leader="none" w:pos="460" w:val="left"/>
        </w:tabs>
        <w:numPr>
          <w:ilvl w:val="1"/>
          <w:numId w:val="151"/>
        </w:numPr>
        <w:rPr>
          <w:rFonts w:ascii="Arial" w:cs="Arial" w:eastAsia="Arial" w:hAnsi="Arial"/>
          <w:sz w:val="13"/>
          <w:szCs w:val="13"/>
          <w:color w:val="auto"/>
        </w:rPr>
      </w:pPr>
      <w:r>
        <w:rPr>
          <w:rFonts w:ascii="Arial" w:cs="Arial" w:eastAsia="Arial" w:hAnsi="Arial"/>
          <w:sz w:val="13"/>
          <w:szCs w:val="13"/>
          <w:u w:val="single" w:color="auto"/>
          <w:color w:val="auto"/>
        </w:rPr>
        <w:t>Cancellation</w:t>
      </w:r>
      <w:r>
        <w:rPr>
          <w:rFonts w:ascii="Arial" w:cs="Arial" w:eastAsia="Arial" w:hAnsi="Arial"/>
          <w:sz w:val="13"/>
          <w:szCs w:val="13"/>
          <w:color w:val="auto"/>
        </w:rPr>
        <w:t>. On the date set forth in the Award Agreement, all unearned Restricted Stock Units will be forfeited to the Company.</w:t>
      </w:r>
    </w:p>
    <w:p>
      <w:pPr>
        <w:spacing w:after="0" w:line="86" w:lineRule="exact"/>
        <w:rPr>
          <w:rFonts w:ascii="Arial" w:cs="Arial" w:eastAsia="Arial" w:hAnsi="Arial"/>
          <w:sz w:val="13"/>
          <w:szCs w:val="13"/>
          <w:color w:val="auto"/>
        </w:rPr>
      </w:pPr>
    </w:p>
    <w:p>
      <w:pPr>
        <w:ind w:left="260" w:hanging="138"/>
        <w:spacing w:after="0"/>
        <w:tabs>
          <w:tab w:leader="none" w:pos="260"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Stock Appreciation Rights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firstLine="326"/>
        <w:spacing w:after="0" w:line="276" w:lineRule="auto"/>
        <w:tabs>
          <w:tab w:leader="none" w:pos="466" w:val="left"/>
        </w:tabs>
        <w:numPr>
          <w:ilvl w:val="1"/>
          <w:numId w:val="152"/>
        </w:numPr>
        <w:rPr>
          <w:rFonts w:ascii="Arial" w:cs="Arial" w:eastAsia="Arial" w:hAnsi="Arial"/>
          <w:sz w:val="13"/>
          <w:szCs w:val="13"/>
          <w:color w:val="auto"/>
        </w:rPr>
      </w:pPr>
      <w:r>
        <w:rPr>
          <w:rFonts w:ascii="Arial" w:cs="Arial" w:eastAsia="Arial" w:hAnsi="Arial"/>
          <w:sz w:val="13"/>
          <w:szCs w:val="13"/>
          <w:u w:val="single" w:color="auto"/>
          <w:color w:val="auto"/>
        </w:rPr>
        <w:t>Grant of Stock Appreciation Rights</w:t>
      </w:r>
      <w:r>
        <w:rPr>
          <w:rFonts w:ascii="Arial" w:cs="Arial" w:eastAsia="Arial" w:hAnsi="Arial"/>
          <w:sz w:val="13"/>
          <w:szCs w:val="13"/>
          <w:color w:val="auto"/>
        </w:rPr>
        <w:t>. Subject to the terms and conditions of the Plan, a Stock Appreciation Right may be granted to Service Providers at any time and from time to time as will be determined by the Administrator, in its sole discretion.</w:t>
      </w:r>
    </w:p>
    <w:p>
      <w:pPr>
        <w:spacing w:after="0" w:line="49" w:lineRule="exact"/>
        <w:rPr>
          <w:rFonts w:ascii="Arial" w:cs="Arial" w:eastAsia="Arial" w:hAnsi="Arial"/>
          <w:sz w:val="13"/>
          <w:szCs w:val="13"/>
          <w:color w:val="auto"/>
        </w:rPr>
      </w:pPr>
    </w:p>
    <w:p>
      <w:pPr>
        <w:ind w:left="480" w:hanging="194"/>
        <w:spacing w:after="0"/>
        <w:tabs>
          <w:tab w:leader="none" w:pos="480" w:val="left"/>
        </w:tabs>
        <w:numPr>
          <w:ilvl w:val="1"/>
          <w:numId w:val="152"/>
        </w:numPr>
        <w:rPr>
          <w:rFonts w:ascii="Arial" w:cs="Arial" w:eastAsia="Arial" w:hAnsi="Arial"/>
          <w:sz w:val="13"/>
          <w:szCs w:val="13"/>
          <w:color w:val="auto"/>
        </w:rPr>
      </w:pPr>
      <w:r>
        <w:rPr>
          <w:rFonts w:ascii="Arial" w:cs="Arial" w:eastAsia="Arial" w:hAnsi="Arial"/>
          <w:sz w:val="13"/>
          <w:szCs w:val="13"/>
          <w:u w:val="single" w:color="auto"/>
          <w:color w:val="auto"/>
        </w:rPr>
        <w:t>Number of Shares</w:t>
      </w:r>
      <w:r>
        <w:rPr>
          <w:rFonts w:ascii="Arial" w:cs="Arial" w:eastAsia="Arial" w:hAnsi="Arial"/>
          <w:sz w:val="13"/>
          <w:szCs w:val="13"/>
          <w:color w:val="auto"/>
        </w:rPr>
        <w:t>. The Administrator will have complete discretion to determine the number of Stock Appreciation Rights granted to any Service Provider.</w:t>
      </w:r>
    </w:p>
    <w:p>
      <w:pPr>
        <w:spacing w:after="0" w:line="86" w:lineRule="exact"/>
        <w:rPr>
          <w:rFonts w:ascii="Arial" w:cs="Arial" w:eastAsia="Arial" w:hAnsi="Arial"/>
          <w:sz w:val="13"/>
          <w:szCs w:val="13"/>
          <w:color w:val="auto"/>
        </w:rPr>
      </w:pPr>
    </w:p>
    <w:p>
      <w:pPr>
        <w:ind w:left="-40" w:firstLine="326"/>
        <w:spacing w:after="0" w:line="264" w:lineRule="auto"/>
        <w:tabs>
          <w:tab w:leader="none" w:pos="466" w:val="left"/>
        </w:tabs>
        <w:numPr>
          <w:ilvl w:val="1"/>
          <w:numId w:val="152"/>
        </w:numPr>
        <w:rPr>
          <w:rFonts w:ascii="Arial" w:cs="Arial" w:eastAsia="Arial" w:hAnsi="Arial"/>
          <w:sz w:val="13"/>
          <w:szCs w:val="13"/>
          <w:color w:val="auto"/>
        </w:rPr>
      </w:pPr>
      <w:r>
        <w:rPr>
          <w:rFonts w:ascii="Arial" w:cs="Arial" w:eastAsia="Arial" w:hAnsi="Arial"/>
          <w:sz w:val="13"/>
          <w:szCs w:val="13"/>
          <w:u w:val="single" w:color="auto"/>
          <w:color w:val="auto"/>
        </w:rPr>
        <w:t>Exercise Price and Other Terms</w:t>
      </w:r>
      <w:r>
        <w:rPr>
          <w:rFonts w:ascii="Arial" w:cs="Arial" w:eastAsia="Arial" w:hAnsi="Arial"/>
          <w:sz w:val="13"/>
          <w:szCs w:val="13"/>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w:t>
      </w:r>
    </w:p>
    <w:p>
      <w:pPr>
        <w:spacing w:after="0" w:line="57" w:lineRule="exact"/>
        <w:rPr>
          <w:rFonts w:ascii="Arial" w:cs="Arial" w:eastAsia="Arial" w:hAnsi="Arial"/>
          <w:sz w:val="13"/>
          <w:szCs w:val="13"/>
          <w:color w:val="auto"/>
        </w:rPr>
      </w:pPr>
    </w:p>
    <w:p>
      <w:pPr>
        <w:ind w:left="-40" w:right="440" w:firstLine="326"/>
        <w:spacing w:after="0" w:line="276" w:lineRule="auto"/>
        <w:tabs>
          <w:tab w:leader="none" w:pos="473" w:val="left"/>
        </w:tabs>
        <w:numPr>
          <w:ilvl w:val="1"/>
          <w:numId w:val="152"/>
        </w:numPr>
        <w:rPr>
          <w:rFonts w:ascii="Arial" w:cs="Arial" w:eastAsia="Arial" w:hAnsi="Arial"/>
          <w:sz w:val="13"/>
          <w:szCs w:val="13"/>
          <w:color w:val="auto"/>
        </w:rPr>
      </w:pPr>
      <w:r>
        <w:rPr>
          <w:rFonts w:ascii="Arial" w:cs="Arial" w:eastAsia="Arial" w:hAnsi="Arial"/>
          <w:sz w:val="13"/>
          <w:szCs w:val="13"/>
          <w:u w:val="single" w:color="auto"/>
          <w:color w:val="auto"/>
        </w:rPr>
        <w:t>Stock Appreciation Right Agreement</w:t>
      </w:r>
      <w:r>
        <w:rPr>
          <w:rFonts w:ascii="Arial" w:cs="Arial" w:eastAsia="Arial" w:hAnsi="Arial"/>
          <w:sz w:val="13"/>
          <w:szCs w:val="13"/>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49" w:lineRule="exact"/>
        <w:rPr>
          <w:rFonts w:ascii="Arial" w:cs="Arial" w:eastAsia="Arial" w:hAnsi="Arial"/>
          <w:sz w:val="13"/>
          <w:szCs w:val="13"/>
          <w:color w:val="auto"/>
        </w:rPr>
      </w:pPr>
    </w:p>
    <w:p>
      <w:pPr>
        <w:ind w:left="-40" w:right="440" w:firstLine="326"/>
        <w:spacing w:after="0" w:line="276" w:lineRule="auto"/>
        <w:tabs>
          <w:tab w:leader="none" w:pos="466" w:val="left"/>
        </w:tabs>
        <w:numPr>
          <w:ilvl w:val="1"/>
          <w:numId w:val="152"/>
        </w:numPr>
        <w:rPr>
          <w:rFonts w:ascii="Arial" w:cs="Arial" w:eastAsia="Arial" w:hAnsi="Arial"/>
          <w:sz w:val="13"/>
          <w:szCs w:val="13"/>
          <w:color w:val="auto"/>
        </w:rPr>
      </w:pPr>
      <w:r>
        <w:rPr>
          <w:rFonts w:ascii="Arial" w:cs="Arial" w:eastAsia="Arial" w:hAnsi="Arial"/>
          <w:sz w:val="13"/>
          <w:szCs w:val="13"/>
          <w:u w:val="single" w:color="auto"/>
          <w:color w:val="auto"/>
        </w:rPr>
        <w:t>Expiration of Stock Appreciation Rights</w:t>
      </w:r>
      <w:r>
        <w:rPr>
          <w:rFonts w:ascii="Arial" w:cs="Arial" w:eastAsia="Arial" w:hAnsi="Arial"/>
          <w:sz w:val="13"/>
          <w:szCs w:val="13"/>
          <w:color w:val="auto"/>
        </w:rPr>
        <w:t>. A Stock Appreciation Right granted under the Plan will expire upon the date determined by the Administrator, in its sole discretion, and set forth in the Award Agreement. Notwithstanding the foregoing, the rules of Section 6(d) of the Plan also will apply to Stock Appreciation Rights.</w:t>
      </w:r>
    </w:p>
    <w:p>
      <w:pPr>
        <w:spacing w:after="0" w:line="49" w:lineRule="exact"/>
        <w:rPr>
          <w:rFonts w:ascii="Arial" w:cs="Arial" w:eastAsia="Arial" w:hAnsi="Arial"/>
          <w:sz w:val="13"/>
          <w:szCs w:val="13"/>
          <w:color w:val="auto"/>
        </w:rPr>
      </w:pPr>
    </w:p>
    <w:p>
      <w:pPr>
        <w:ind w:left="440" w:hanging="154"/>
        <w:spacing w:after="0"/>
        <w:tabs>
          <w:tab w:leader="none" w:pos="440" w:val="left"/>
        </w:tabs>
        <w:numPr>
          <w:ilvl w:val="1"/>
          <w:numId w:val="152"/>
        </w:numPr>
        <w:rPr>
          <w:rFonts w:ascii="Arial" w:cs="Arial" w:eastAsia="Arial" w:hAnsi="Arial"/>
          <w:sz w:val="12"/>
          <w:szCs w:val="12"/>
          <w:color w:val="auto"/>
        </w:rPr>
      </w:pPr>
      <w:r>
        <w:rPr>
          <w:rFonts w:ascii="Arial" w:cs="Arial" w:eastAsia="Arial" w:hAnsi="Arial"/>
          <w:sz w:val="12"/>
          <w:szCs w:val="12"/>
          <w:u w:val="single" w:color="auto"/>
          <w:color w:val="auto"/>
        </w:rPr>
        <w:t>Payment of Stock Appreciation Right Amount</w:t>
      </w:r>
      <w:r>
        <w:rPr>
          <w:rFonts w:ascii="Arial" w:cs="Arial" w:eastAsia="Arial" w:hAnsi="Arial"/>
          <w:sz w:val="12"/>
          <w:szCs w:val="12"/>
          <w:color w:val="auto"/>
        </w:rPr>
        <w:t>. Upon exercise of a Stock Appreciation Right, a Participant will be entitled to receive payment from the Company in an amount determined by multiplying:</w:t>
      </w:r>
    </w:p>
    <w:p>
      <w:pPr>
        <w:spacing w:after="0" w:line="97" w:lineRule="exact"/>
        <w:rPr>
          <w:rFonts w:ascii="Arial" w:cs="Arial" w:eastAsia="Arial" w:hAnsi="Arial"/>
          <w:sz w:val="12"/>
          <w:szCs w:val="12"/>
          <w:color w:val="auto"/>
        </w:rPr>
      </w:pPr>
    </w:p>
    <w:p>
      <w:pPr>
        <w:ind w:left="600" w:hanging="150"/>
        <w:spacing w:after="0"/>
        <w:tabs>
          <w:tab w:leader="none" w:pos="600" w:val="left"/>
        </w:tabs>
        <w:numPr>
          <w:ilvl w:val="2"/>
          <w:numId w:val="152"/>
        </w:numPr>
        <w:rPr>
          <w:rFonts w:ascii="Arial" w:cs="Arial" w:eastAsia="Arial" w:hAnsi="Arial"/>
          <w:sz w:val="13"/>
          <w:szCs w:val="13"/>
          <w:color w:val="auto"/>
        </w:rPr>
      </w:pPr>
      <w:r>
        <w:rPr>
          <w:rFonts w:ascii="Arial" w:cs="Arial" w:eastAsia="Arial" w:hAnsi="Arial"/>
          <w:sz w:val="13"/>
          <w:szCs w:val="13"/>
          <w:color w:val="auto"/>
        </w:rPr>
        <w:t>The difference between the Fair Market Value of a Share on the date of exercise over the exercise price; times</w:t>
      </w:r>
    </w:p>
    <w:p>
      <w:pPr>
        <w:spacing w:after="0" w:line="86" w:lineRule="exact"/>
        <w:rPr>
          <w:rFonts w:ascii="Arial" w:cs="Arial" w:eastAsia="Arial" w:hAnsi="Arial"/>
          <w:sz w:val="13"/>
          <w:szCs w:val="13"/>
          <w:color w:val="auto"/>
        </w:rPr>
      </w:pPr>
    </w:p>
    <w:p>
      <w:pPr>
        <w:ind w:left="640" w:hanging="190"/>
        <w:spacing w:after="0"/>
        <w:tabs>
          <w:tab w:leader="none" w:pos="640" w:val="left"/>
        </w:tabs>
        <w:numPr>
          <w:ilvl w:val="2"/>
          <w:numId w:val="152"/>
        </w:numPr>
        <w:rPr>
          <w:rFonts w:ascii="Arial" w:cs="Arial" w:eastAsia="Arial" w:hAnsi="Arial"/>
          <w:sz w:val="13"/>
          <w:szCs w:val="13"/>
          <w:color w:val="auto"/>
        </w:rPr>
      </w:pPr>
      <w:r>
        <w:rPr>
          <w:rFonts w:ascii="Arial" w:cs="Arial" w:eastAsia="Arial" w:hAnsi="Arial"/>
          <w:sz w:val="13"/>
          <w:szCs w:val="13"/>
          <w:color w:val="auto"/>
        </w:rPr>
        <w:t>The number of Shares with respect to which the Stock Appreciation Right is exercised.</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At the discretion of the Administrator, the payment upon Stock Appreciation Right exercise may be in cash, in Shares of equivalent value, or in some combination thereof.</w:t>
      </w:r>
    </w:p>
    <w:p>
      <w:pPr>
        <w:spacing w:after="0" w:line="86" w:lineRule="exact"/>
        <w:rPr>
          <w:sz w:val="20"/>
          <w:szCs w:val="20"/>
          <w:color w:val="auto"/>
        </w:rPr>
      </w:pPr>
    </w:p>
    <w:p>
      <w:pPr>
        <w:ind w:left="320" w:hanging="198"/>
        <w:spacing w:after="0"/>
        <w:tabs>
          <w:tab w:leader="none" w:pos="32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Performance Units and Performance Shares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right="120" w:firstLine="326"/>
        <w:spacing w:after="0" w:line="276" w:lineRule="auto"/>
        <w:tabs>
          <w:tab w:leader="none" w:pos="466" w:val="left"/>
        </w:tabs>
        <w:numPr>
          <w:ilvl w:val="1"/>
          <w:numId w:val="153"/>
        </w:numPr>
        <w:rPr>
          <w:rFonts w:ascii="Arial" w:cs="Arial" w:eastAsia="Arial" w:hAnsi="Arial"/>
          <w:sz w:val="13"/>
          <w:szCs w:val="13"/>
          <w:color w:val="auto"/>
        </w:rPr>
      </w:pPr>
      <w:r>
        <w:rPr>
          <w:rFonts w:ascii="Arial" w:cs="Arial" w:eastAsia="Arial" w:hAnsi="Arial"/>
          <w:sz w:val="13"/>
          <w:szCs w:val="13"/>
          <w:u w:val="single" w:color="auto"/>
          <w:color w:val="auto"/>
        </w:rPr>
        <w:t>Grant of Performance Units/Shares</w:t>
      </w:r>
      <w:r>
        <w:rPr>
          <w:rFonts w:ascii="Arial" w:cs="Arial" w:eastAsia="Arial" w:hAnsi="Arial"/>
          <w:sz w:val="13"/>
          <w:szCs w:val="13"/>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227" w:name="page228"/>
    <w:bookmarkEnd w:id="227"/>
    <w:p>
      <w:pPr>
        <w:ind w:right="140" w:firstLine="326"/>
        <w:spacing w:after="0" w:line="276" w:lineRule="auto"/>
        <w:tabs>
          <w:tab w:leader="none" w:pos="513"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Value of Performance Units/Shares</w:t>
      </w:r>
      <w:r>
        <w:rPr>
          <w:rFonts w:ascii="Arial" w:cs="Arial" w:eastAsia="Arial" w:hAnsi="Arial"/>
          <w:sz w:val="13"/>
          <w:szCs w:val="13"/>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49" w:lineRule="exact"/>
        <w:rPr>
          <w:rFonts w:ascii="Arial" w:cs="Arial" w:eastAsia="Arial" w:hAnsi="Arial"/>
          <w:sz w:val="13"/>
          <w:szCs w:val="13"/>
          <w:color w:val="auto"/>
        </w:rPr>
      </w:pPr>
    </w:p>
    <w:p>
      <w:pPr>
        <w:ind w:firstLine="326"/>
        <w:spacing w:after="0" w:line="258" w:lineRule="auto"/>
        <w:tabs>
          <w:tab w:leader="none" w:pos="506"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Performance Objectives and Other Terms</w:t>
      </w:r>
      <w:r>
        <w:rPr>
          <w:rFonts w:ascii="Arial" w:cs="Arial" w:eastAsia="Arial" w:hAnsi="Arial"/>
          <w:sz w:val="13"/>
          <w:szCs w:val="13"/>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61" w:lineRule="exact"/>
        <w:rPr>
          <w:rFonts w:ascii="Arial" w:cs="Arial" w:eastAsia="Arial" w:hAnsi="Arial"/>
          <w:sz w:val="13"/>
          <w:szCs w:val="13"/>
          <w:color w:val="auto"/>
        </w:rPr>
      </w:pPr>
    </w:p>
    <w:p>
      <w:pPr>
        <w:ind w:right="20" w:firstLine="326"/>
        <w:spacing w:after="0" w:line="296" w:lineRule="auto"/>
        <w:tabs>
          <w:tab w:leader="none" w:pos="513" w:val="left"/>
        </w:tabs>
        <w:numPr>
          <w:ilvl w:val="1"/>
          <w:numId w:val="154"/>
        </w:numPr>
        <w:rPr>
          <w:rFonts w:ascii="Arial" w:cs="Arial" w:eastAsia="Arial" w:hAnsi="Arial"/>
          <w:sz w:val="12"/>
          <w:szCs w:val="12"/>
          <w:color w:val="auto"/>
        </w:rPr>
      </w:pPr>
      <w:r>
        <w:rPr>
          <w:rFonts w:ascii="Arial" w:cs="Arial" w:eastAsia="Arial" w:hAnsi="Arial"/>
          <w:sz w:val="12"/>
          <w:szCs w:val="12"/>
          <w:u w:val="single" w:color="auto"/>
          <w:color w:val="auto"/>
        </w:rPr>
        <w:t>Earning of Performance Units/Shares</w:t>
      </w:r>
      <w:r>
        <w:rPr>
          <w:rFonts w:ascii="Arial" w:cs="Arial" w:eastAsia="Arial" w:hAnsi="Arial"/>
          <w:sz w:val="12"/>
          <w:szCs w:val="12"/>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39" w:lineRule="exact"/>
        <w:rPr>
          <w:rFonts w:ascii="Arial" w:cs="Arial" w:eastAsia="Arial" w:hAnsi="Arial"/>
          <w:sz w:val="12"/>
          <w:szCs w:val="12"/>
          <w:color w:val="auto"/>
        </w:rPr>
      </w:pPr>
    </w:p>
    <w:p>
      <w:pPr>
        <w:ind w:right="180" w:firstLine="326"/>
        <w:spacing w:after="0" w:line="264" w:lineRule="auto"/>
        <w:tabs>
          <w:tab w:leader="none" w:pos="506"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Form and Timing of Payment of Performance Units/Shares</w:t>
      </w:r>
      <w:r>
        <w:rPr>
          <w:rFonts w:ascii="Arial" w:cs="Arial" w:eastAsia="Arial" w:hAnsi="Arial"/>
          <w:sz w:val="13"/>
          <w:szCs w:val="13"/>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57" w:lineRule="exact"/>
        <w:rPr>
          <w:rFonts w:ascii="Arial" w:cs="Arial" w:eastAsia="Arial" w:hAnsi="Arial"/>
          <w:sz w:val="13"/>
          <w:szCs w:val="13"/>
          <w:color w:val="auto"/>
        </w:rPr>
      </w:pPr>
    </w:p>
    <w:p>
      <w:pPr>
        <w:ind w:right="160" w:firstLine="326"/>
        <w:spacing w:after="0" w:line="276" w:lineRule="auto"/>
        <w:tabs>
          <w:tab w:leader="none" w:pos="491"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Cancellation of Performance Units/Shares</w:t>
      </w:r>
      <w:r>
        <w:rPr>
          <w:rFonts w:ascii="Arial" w:cs="Arial" w:eastAsia="Arial" w:hAnsi="Arial"/>
          <w:sz w:val="13"/>
          <w:szCs w:val="13"/>
          <w:color w:val="auto"/>
        </w:rPr>
        <w:t>. On the date set forth in the Award Agreement, all unearned or unvested Performance Units/Shares will be forfeited to the Company, and again will be available for grant under the Plan.</w:t>
      </w:r>
    </w:p>
    <w:p>
      <w:pPr>
        <w:spacing w:after="0" w:line="49" w:lineRule="exact"/>
        <w:rPr>
          <w:rFonts w:ascii="Arial" w:cs="Arial" w:eastAsia="Arial" w:hAnsi="Arial"/>
          <w:sz w:val="13"/>
          <w:szCs w:val="13"/>
          <w:color w:val="auto"/>
        </w:rPr>
      </w:pPr>
    </w:p>
    <w:p>
      <w:pPr>
        <w:ind w:right="20" w:firstLine="162"/>
        <w:spacing w:after="0" w:line="258" w:lineRule="auto"/>
        <w:tabs>
          <w:tab w:leader="none" w:pos="355"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Leaves of Absence/Transfer Between Locations</w:t>
      </w:r>
      <w:r>
        <w:rPr>
          <w:rFonts w:ascii="Arial" w:cs="Arial" w:eastAsia="Arial" w:hAnsi="Arial"/>
          <w:sz w:val="13"/>
          <w:szCs w:val="13"/>
          <w:color w:val="auto"/>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ninety (90) days, unless reemployment upon expiration of such leave is guaranteed by statute or contract. If reemployment upon expiration of a leave of absence approved by the Company is not so guaranteed, then three (3) months following the ninety-first (91</w:t>
      </w:r>
      <w:r>
        <w:rPr>
          <w:rFonts w:ascii="Arial" w:cs="Arial" w:eastAsia="Arial" w:hAnsi="Arial"/>
          <w:sz w:val="11"/>
          <w:szCs w:val="11"/>
          <w:color w:val="auto"/>
        </w:rPr>
        <w:t>st</w:t>
      </w:r>
      <w:r>
        <w:rPr>
          <w:rFonts w:ascii="Arial" w:cs="Arial" w:eastAsia="Arial" w:hAnsi="Arial"/>
          <w:sz w:val="13"/>
          <w:szCs w:val="13"/>
          <w:color w:val="auto"/>
        </w:rPr>
        <w:t>) day of such leave any Incentive Stock Option held by the Participant will cease to be treated as an Incentive Stock Option and will be treated for tax purposes as a Nonstatutory Stock 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8" w:name="page229"/>
    <w:bookmarkEnd w:id="228"/>
    <w:p>
      <w:pPr>
        <w:ind w:right="80" w:firstLine="162"/>
        <w:spacing w:after="0" w:line="264" w:lineRule="auto"/>
        <w:tabs>
          <w:tab w:leader="none" w:pos="360"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Transferability of Awards</w:t>
      </w:r>
      <w:r>
        <w:rPr>
          <w:rFonts w:ascii="Arial" w:cs="Arial" w:eastAsia="Arial" w:hAnsi="Arial"/>
          <w:sz w:val="13"/>
          <w:szCs w:val="13"/>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Adjustments; Dissolution or Liquidation; Merger or Change in Control</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326"/>
        <w:spacing w:after="0" w:line="289" w:lineRule="auto"/>
        <w:tabs>
          <w:tab w:leader="none" w:pos="506" w:val="left"/>
        </w:tabs>
        <w:numPr>
          <w:ilvl w:val="1"/>
          <w:numId w:val="156"/>
        </w:numPr>
        <w:rPr>
          <w:rFonts w:ascii="Arial" w:cs="Arial" w:eastAsia="Arial" w:hAnsi="Arial"/>
          <w:sz w:val="12"/>
          <w:szCs w:val="12"/>
          <w:color w:val="auto"/>
        </w:rPr>
      </w:pPr>
      <w:r>
        <w:rPr>
          <w:rFonts w:ascii="Arial" w:cs="Arial" w:eastAsia="Arial" w:hAnsi="Arial"/>
          <w:sz w:val="12"/>
          <w:szCs w:val="12"/>
          <w:u w:val="single" w:color="auto"/>
          <w:color w:val="auto"/>
        </w:rPr>
        <w:t>Adjustments</w:t>
      </w:r>
      <w:r>
        <w:rPr>
          <w:rFonts w:ascii="Arial" w:cs="Arial" w:eastAsia="Arial" w:hAnsi="Arial"/>
          <w:sz w:val="12"/>
          <w:szCs w:val="12"/>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43" w:lineRule="exact"/>
        <w:rPr>
          <w:rFonts w:ascii="Arial" w:cs="Arial" w:eastAsia="Arial" w:hAnsi="Arial"/>
          <w:sz w:val="12"/>
          <w:szCs w:val="12"/>
          <w:color w:val="auto"/>
        </w:rPr>
      </w:pPr>
    </w:p>
    <w:p>
      <w:pPr>
        <w:ind w:right="400" w:firstLine="326"/>
        <w:spacing w:after="0" w:line="276" w:lineRule="auto"/>
        <w:tabs>
          <w:tab w:leader="none" w:pos="513" w:val="left"/>
        </w:tabs>
        <w:numPr>
          <w:ilvl w:val="1"/>
          <w:numId w:val="156"/>
        </w:numPr>
        <w:rPr>
          <w:rFonts w:ascii="Arial" w:cs="Arial" w:eastAsia="Arial" w:hAnsi="Arial"/>
          <w:sz w:val="13"/>
          <w:szCs w:val="13"/>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49" w:lineRule="exact"/>
        <w:rPr>
          <w:rFonts w:ascii="Arial" w:cs="Arial" w:eastAsia="Arial" w:hAnsi="Arial"/>
          <w:sz w:val="13"/>
          <w:szCs w:val="13"/>
          <w:color w:val="auto"/>
        </w:rPr>
      </w:pPr>
    </w:p>
    <w:p>
      <w:pPr>
        <w:ind w:right="260" w:firstLine="326"/>
        <w:spacing w:after="0" w:line="320" w:lineRule="auto"/>
        <w:tabs>
          <w:tab w:leader="none" w:pos="506" w:val="left"/>
        </w:tabs>
        <w:numPr>
          <w:ilvl w:val="1"/>
          <w:numId w:val="156"/>
        </w:numPr>
        <w:rPr>
          <w:rFonts w:ascii="Arial" w:cs="Arial" w:eastAsia="Arial" w:hAnsi="Arial"/>
          <w:sz w:val="12"/>
          <w:szCs w:val="12"/>
          <w:color w:val="auto"/>
        </w:rPr>
      </w:pPr>
      <w:r>
        <w:rPr>
          <w:rFonts w:ascii="Arial" w:cs="Arial" w:eastAsia="Arial" w:hAnsi="Arial"/>
          <w:sz w:val="12"/>
          <w:szCs w:val="12"/>
          <w:u w:val="single" w:color="auto"/>
          <w:color w:val="auto"/>
        </w:rPr>
        <w:t>Change in Control</w:t>
      </w:r>
      <w:r>
        <w:rPr>
          <w:rFonts w:ascii="Arial" w:cs="Arial" w:eastAsia="Arial" w:hAnsi="Arial"/>
          <w:sz w:val="12"/>
          <w:szCs w:val="12"/>
          <w:color w:val="auto"/>
        </w:rPr>
        <w:t>. In the event of a merger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25" w:lineRule="exact"/>
        <w:rPr>
          <w:sz w:val="20"/>
          <w:szCs w:val="20"/>
          <w:color w:val="auto"/>
        </w:rPr>
      </w:pPr>
    </w:p>
    <w:p>
      <w:pPr>
        <w:ind w:right="80" w:firstLine="328"/>
        <w:spacing w:after="0" w:line="285" w:lineRule="auto"/>
        <w:rPr>
          <w:sz w:val="20"/>
          <w:szCs w:val="20"/>
          <w:color w:val="auto"/>
        </w:rPr>
      </w:pPr>
      <w:r>
        <w:rPr>
          <w:rFonts w:ascii="Arial" w:cs="Arial" w:eastAsia="Arial" w:hAnsi="Arial"/>
          <w:sz w:val="12"/>
          <w:szCs w:val="12"/>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4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9" w:name="page230"/>
    <w:bookmarkEnd w:id="229"/>
    <w:p>
      <w:pPr>
        <w:ind w:right="120"/>
        <w:spacing w:after="0" w:line="260" w:lineRule="auto"/>
        <w:rPr>
          <w:sz w:val="20"/>
          <w:szCs w:val="20"/>
          <w:color w:val="auto"/>
        </w:rPr>
      </w:pPr>
      <w:r>
        <w:rPr>
          <w:rFonts w:ascii="Arial" w:cs="Arial" w:eastAsia="Arial" w:hAnsi="Arial"/>
          <w:sz w:val="13"/>
          <w:szCs w:val="13"/>
          <w:color w:val="auto"/>
        </w:rPr>
        <w:t>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60"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57" w:lineRule="exact"/>
        <w:rPr>
          <w:sz w:val="20"/>
          <w:szCs w:val="20"/>
          <w:color w:val="auto"/>
        </w:rPr>
      </w:pPr>
    </w:p>
    <w:p>
      <w:pPr>
        <w:ind w:left="360" w:hanging="198"/>
        <w:spacing w:after="0"/>
        <w:tabs>
          <w:tab w:leader="none" w:pos="360"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right="20" w:firstLine="326"/>
        <w:spacing w:after="0" w:line="371" w:lineRule="auto"/>
        <w:tabs>
          <w:tab w:leader="none" w:pos="506" w:val="left"/>
        </w:tabs>
        <w:numPr>
          <w:ilvl w:val="1"/>
          <w:numId w:val="157"/>
        </w:numPr>
        <w:rPr>
          <w:rFonts w:ascii="Arial" w:cs="Arial" w:eastAsia="Arial" w:hAnsi="Arial"/>
          <w:sz w:val="11"/>
          <w:szCs w:val="11"/>
          <w:color w:val="auto"/>
        </w:rPr>
      </w:pPr>
      <w:r>
        <w:rPr>
          <w:rFonts w:ascii="Arial" w:cs="Arial" w:eastAsia="Arial" w:hAnsi="Arial"/>
          <w:sz w:val="11"/>
          <w:szCs w:val="11"/>
          <w:u w:val="single" w:color="auto"/>
          <w:color w:val="auto"/>
        </w:rPr>
        <w:t>Withholding Requirements</w:t>
      </w:r>
      <w:r>
        <w:rPr>
          <w:rFonts w:ascii="Arial" w:cs="Arial" w:eastAsia="Arial" w:hAnsi="Arial"/>
          <w:sz w:val="11"/>
          <w:szCs w:val="11"/>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 w:lineRule="exact"/>
        <w:rPr>
          <w:rFonts w:ascii="Arial" w:cs="Arial" w:eastAsia="Arial" w:hAnsi="Arial"/>
          <w:sz w:val="11"/>
          <w:szCs w:val="11"/>
          <w:color w:val="auto"/>
        </w:rPr>
      </w:pPr>
    </w:p>
    <w:p>
      <w:pPr>
        <w:ind w:firstLine="326"/>
        <w:spacing w:after="0" w:line="260" w:lineRule="auto"/>
        <w:tabs>
          <w:tab w:leader="none" w:pos="513" w:val="left"/>
        </w:tabs>
        <w:numPr>
          <w:ilvl w:val="1"/>
          <w:numId w:val="157"/>
        </w:numPr>
        <w:rPr>
          <w:rFonts w:ascii="Arial" w:cs="Arial" w:eastAsia="Arial" w:hAnsi="Arial"/>
          <w:sz w:val="13"/>
          <w:szCs w:val="13"/>
          <w:color w:val="auto"/>
        </w:rPr>
      </w:pPr>
      <w:r>
        <w:rPr>
          <w:rFonts w:ascii="Arial" w:cs="Arial" w:eastAsia="Arial" w:hAnsi="Arial"/>
          <w:sz w:val="13"/>
          <w:szCs w:val="13"/>
          <w:u w:val="single" w:color="auto"/>
          <w:color w:val="auto"/>
        </w:rPr>
        <w:t>Withholding Arrangements</w:t>
      </w:r>
      <w:r>
        <w:rPr>
          <w:rFonts w:ascii="Arial" w:cs="Arial" w:eastAsia="Arial" w:hAnsi="Arial"/>
          <w:sz w:val="13"/>
          <w:szCs w:val="13"/>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59" w:lineRule="exact"/>
        <w:rPr>
          <w:rFonts w:ascii="Arial" w:cs="Arial" w:eastAsia="Arial" w:hAnsi="Arial"/>
          <w:sz w:val="13"/>
          <w:szCs w:val="13"/>
          <w:color w:val="auto"/>
        </w:rPr>
      </w:pPr>
    </w:p>
    <w:p>
      <w:pPr>
        <w:ind w:firstLine="162"/>
        <w:spacing w:after="0" w:line="320" w:lineRule="auto"/>
        <w:tabs>
          <w:tab w:leader="none" w:pos="360"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No Effect on Employment or Service</w:t>
      </w:r>
      <w:r>
        <w:rPr>
          <w:rFonts w:ascii="Arial" w:cs="Arial" w:eastAsia="Arial" w:hAnsi="Arial"/>
          <w:sz w:val="12"/>
          <w:szCs w:val="12"/>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25" w:lineRule="exact"/>
        <w:rPr>
          <w:rFonts w:ascii="Arial" w:cs="Arial" w:eastAsia="Arial" w:hAnsi="Arial"/>
          <w:sz w:val="12"/>
          <w:szCs w:val="12"/>
          <w:color w:val="auto"/>
        </w:rPr>
      </w:pPr>
    </w:p>
    <w:p>
      <w:pPr>
        <w:ind w:right="520" w:firstLine="162"/>
        <w:spacing w:after="0" w:line="276" w:lineRule="auto"/>
        <w:tabs>
          <w:tab w:leader="none" w:pos="360"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Date of Grant</w:t>
      </w:r>
      <w:r>
        <w:rPr>
          <w:rFonts w:ascii="Arial" w:cs="Arial" w:eastAsia="Arial" w:hAnsi="Arial"/>
          <w:sz w:val="13"/>
          <w:szCs w:val="13"/>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0" w:name="page231"/>
    <w:bookmarkEnd w:id="230"/>
    <w:p>
      <w:pPr>
        <w:ind w:right="280" w:firstLine="162"/>
        <w:spacing w:after="0" w:line="276" w:lineRule="auto"/>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Term of Plan</w:t>
      </w:r>
      <w:r>
        <w:rPr>
          <w:rFonts w:ascii="Arial" w:cs="Arial" w:eastAsia="Arial" w:hAnsi="Arial"/>
          <w:sz w:val="13"/>
          <w:szCs w:val="13"/>
          <w:color w:val="auto"/>
        </w:rPr>
        <w:t>. Subject to Section 21 of the Plan, the Plan will become effective upon its adoption by the Board. It will continue in effect for a term of ten (10) years from the date adopted by the Board, unless terminated earlier under Section 18 of the Plan.</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 of the Plan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58"/>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w:t>
      </w:r>
      <w:r>
        <w:rPr>
          <w:rFonts w:ascii="Arial" w:cs="Arial" w:eastAsia="Arial" w:hAnsi="Arial"/>
          <w:sz w:val="13"/>
          <w:szCs w:val="13"/>
          <w:color w:val="auto"/>
        </w:rPr>
        <w:t>. The Board may at any time amend, alter, suspend or terminate the Plan.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158"/>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Company will obtain stockholder approval of any Plan amendment to the extent necessary and desirable to comply with Applicable Laws.</w:t>
      </w:r>
    </w:p>
    <w:p>
      <w:pPr>
        <w:spacing w:after="0" w:line="86" w:lineRule="exact"/>
        <w:rPr>
          <w:rFonts w:ascii="Arial" w:cs="Arial" w:eastAsia="Arial" w:hAnsi="Arial"/>
          <w:sz w:val="13"/>
          <w:szCs w:val="13"/>
          <w:color w:val="auto"/>
        </w:rPr>
      </w:pPr>
    </w:p>
    <w:p>
      <w:pPr>
        <w:jc w:val="both"/>
        <w:ind w:right="160" w:firstLine="326"/>
        <w:spacing w:after="0" w:line="264" w:lineRule="auto"/>
        <w:tabs>
          <w:tab w:leader="none" w:pos="506" w:val="left"/>
        </w:tabs>
        <w:numPr>
          <w:ilvl w:val="1"/>
          <w:numId w:val="158"/>
        </w:numPr>
        <w:rPr>
          <w:rFonts w:ascii="Arial" w:cs="Arial" w:eastAsia="Arial" w:hAnsi="Arial"/>
          <w:sz w:val="13"/>
          <w:szCs w:val="13"/>
          <w:color w:val="auto"/>
        </w:rPr>
      </w:pPr>
      <w:r>
        <w:rPr>
          <w:rFonts w:ascii="Arial" w:cs="Arial" w:eastAsia="Arial" w:hAnsi="Arial"/>
          <w:sz w:val="13"/>
          <w:szCs w:val="13"/>
          <w:u w:val="single" w:color="auto"/>
          <w:color w:val="auto"/>
        </w:rPr>
        <w:t>Effect of Amendment or Termination</w:t>
      </w:r>
      <w:r>
        <w:rPr>
          <w:rFonts w:ascii="Arial" w:cs="Arial" w:eastAsia="Arial" w:hAnsi="Arial"/>
          <w:sz w:val="13"/>
          <w:szCs w:val="13"/>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Conditions Upon Issuance of Shares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40" w:firstLine="326"/>
        <w:spacing w:after="0" w:line="276" w:lineRule="auto"/>
        <w:tabs>
          <w:tab w:leader="none" w:pos="506" w:val="left"/>
        </w:tabs>
        <w:numPr>
          <w:ilvl w:val="1"/>
          <w:numId w:val="158"/>
        </w:numPr>
        <w:rPr>
          <w:rFonts w:ascii="Arial" w:cs="Arial" w:eastAsia="Arial" w:hAnsi="Arial"/>
          <w:sz w:val="13"/>
          <w:szCs w:val="13"/>
          <w:color w:val="auto"/>
        </w:rPr>
      </w:pPr>
      <w:r>
        <w:rPr>
          <w:rFonts w:ascii="Arial" w:cs="Arial" w:eastAsia="Arial" w:hAnsi="Arial"/>
          <w:sz w:val="13"/>
          <w:szCs w:val="13"/>
          <w:u w:val="single" w:color="auto"/>
          <w:color w:val="auto"/>
        </w:rPr>
        <w:t>Legal Compliance</w:t>
      </w:r>
      <w:r>
        <w:rPr>
          <w:rFonts w:ascii="Arial" w:cs="Arial" w:eastAsia="Arial" w:hAnsi="Arial"/>
          <w:sz w:val="13"/>
          <w:szCs w:val="13"/>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49" w:lineRule="exact"/>
        <w:rPr>
          <w:rFonts w:ascii="Arial" w:cs="Arial" w:eastAsia="Arial" w:hAnsi="Arial"/>
          <w:sz w:val="13"/>
          <w:szCs w:val="13"/>
          <w:color w:val="auto"/>
        </w:rPr>
      </w:pPr>
    </w:p>
    <w:p>
      <w:pPr>
        <w:ind w:firstLine="326"/>
        <w:spacing w:after="0" w:line="320" w:lineRule="auto"/>
        <w:tabs>
          <w:tab w:leader="none" w:pos="513" w:val="left"/>
        </w:tabs>
        <w:numPr>
          <w:ilvl w:val="1"/>
          <w:numId w:val="158"/>
        </w:numPr>
        <w:rPr>
          <w:rFonts w:ascii="Arial" w:cs="Arial" w:eastAsia="Arial" w:hAnsi="Arial"/>
          <w:sz w:val="12"/>
          <w:szCs w:val="12"/>
          <w:color w:val="auto"/>
        </w:rPr>
      </w:pPr>
      <w:r>
        <w:rPr>
          <w:rFonts w:ascii="Arial" w:cs="Arial" w:eastAsia="Arial" w:hAnsi="Arial"/>
          <w:sz w:val="12"/>
          <w:szCs w:val="12"/>
          <w:u w:val="single" w:color="auto"/>
          <w:color w:val="auto"/>
        </w:rPr>
        <w:t>Investment Representations</w:t>
      </w:r>
      <w:r>
        <w:rPr>
          <w:rFonts w:ascii="Arial" w:cs="Arial" w:eastAsia="Arial" w:hAnsi="Arial"/>
          <w:sz w:val="12"/>
          <w:szCs w:val="1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5" w:lineRule="exact"/>
        <w:rPr>
          <w:rFonts w:ascii="Arial" w:cs="Arial" w:eastAsia="Arial" w:hAnsi="Arial"/>
          <w:sz w:val="12"/>
          <w:szCs w:val="12"/>
          <w:color w:val="auto"/>
        </w:rPr>
      </w:pPr>
    </w:p>
    <w:p>
      <w:pPr>
        <w:ind w:right="180" w:firstLine="162"/>
        <w:spacing w:after="0" w:line="320" w:lineRule="auto"/>
        <w:tabs>
          <w:tab w:leader="none" w:pos="360" w:val="left"/>
        </w:tabs>
        <w:numPr>
          <w:ilvl w:val="0"/>
          <w:numId w:val="158"/>
        </w:numPr>
        <w:rPr>
          <w:rFonts w:ascii="Arial" w:cs="Arial" w:eastAsia="Arial" w:hAnsi="Arial"/>
          <w:sz w:val="12"/>
          <w:szCs w:val="12"/>
          <w:color w:val="auto"/>
        </w:rPr>
      </w:pPr>
      <w:r>
        <w:rPr>
          <w:rFonts w:ascii="Arial" w:cs="Arial" w:eastAsia="Arial" w:hAnsi="Arial"/>
          <w:sz w:val="12"/>
          <w:szCs w:val="12"/>
          <w:u w:val="single" w:color="auto"/>
          <w:color w:val="auto"/>
        </w:rPr>
        <w:t>Inability to Obtain Authority</w:t>
      </w:r>
      <w:r>
        <w:rPr>
          <w:rFonts w:ascii="Arial" w:cs="Arial" w:eastAsia="Arial" w:hAnsi="Arial"/>
          <w:sz w:val="12"/>
          <w:szCs w:val="12"/>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25" w:lineRule="exact"/>
        <w:rPr>
          <w:rFonts w:ascii="Arial" w:cs="Arial" w:eastAsia="Arial" w:hAnsi="Arial"/>
          <w:sz w:val="12"/>
          <w:szCs w:val="12"/>
          <w:color w:val="auto"/>
        </w:rPr>
      </w:pPr>
    </w:p>
    <w:p>
      <w:pPr>
        <w:ind w:right="320" w:firstLine="162"/>
        <w:spacing w:after="0" w:line="276" w:lineRule="auto"/>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0"/>
          </w:cols>
          <w:pgMar w:left="220" w:top="720"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3"/>
          <w:szCs w:val="13"/>
          <w:b w:val="1"/>
          <w:bCs w:val="1"/>
          <w:color w:val="auto"/>
        </w:rPr>
        <w:t>Exhibit 10.3A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2008 EQUITY INCENTIVE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GRANT OF STOCK OPTION</w:t>
      </w:r>
    </w:p>
    <w:p>
      <w:pPr>
        <w:spacing w:after="0" w:line="90"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Unless otherwise defined herein, the terms defined in the Fluidigm Corporation 2008 Equity Incentive Plan (the “Plan”) will have the same defined meanings in this Notice of Grant of Stock Option (the “Notice of Grant”) and Terms and Conditions of Stock Option Grant,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(together, the “Agreement”).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29146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291465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914650" cy="635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312420</wp:posOffset>
            </wp:positionV>
            <wp:extent cx="291465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Participant has been granted an Option to purchase Common Stock of the Company, subject to the terms and conditions of the Plan and this Agreement, as follows: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10795</wp:posOffset>
            </wp:positionV>
            <wp:extent cx="291465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02" w:lineRule="exact"/>
        <w:rPr>
          <w:sz w:val="20"/>
          <w:szCs w:val="20"/>
          <w:color w:val="auto"/>
        </w:rPr>
      </w:pPr>
    </w:p>
    <w:tbl>
      <w:tblPr>
        <w:tblLayout w:type="fixed"/>
        <w:tblInd w:w="240" w:type="dxa"/>
        <w:tblCellMar>
          <w:top w:w="0" w:type="dxa"/>
          <w:left w:w="0" w:type="dxa"/>
          <w:bottom w:w="0" w:type="dxa"/>
          <w:right w:w="0" w:type="dxa"/>
        </w:tblCellMar>
      </w:tblPr>
      <w:tr>
        <w:trPr>
          <w:trHeight w:val="165"/>
        </w:trPr>
        <w:tc>
          <w:tcPr>
            <w:tcW w:w="2280" w:type="dxa"/>
            <w:vAlign w:val="bottom"/>
          </w:tcPr>
          <w:p>
            <w:pPr>
              <w:spacing w:after="0"/>
              <w:rPr>
                <w:sz w:val="20"/>
                <w:szCs w:val="20"/>
                <w:color w:val="auto"/>
              </w:rPr>
            </w:pPr>
            <w:r>
              <w:rPr>
                <w:rFonts w:ascii="Arial" w:cs="Arial" w:eastAsia="Arial" w:hAnsi="Arial"/>
                <w:sz w:val="13"/>
                <w:szCs w:val="13"/>
                <w:color w:val="auto"/>
              </w:rPr>
              <w:t>Date of Grant</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r>
      <w:tr>
        <w:trPr>
          <w:trHeight w:val="452"/>
        </w:trPr>
        <w:tc>
          <w:tcPr>
            <w:tcW w:w="2280" w:type="dxa"/>
            <w:vAlign w:val="bottom"/>
          </w:tcPr>
          <w:p>
            <w:pPr>
              <w:spacing w:after="0"/>
              <w:rPr>
                <w:sz w:val="20"/>
                <w:szCs w:val="20"/>
                <w:color w:val="auto"/>
              </w:rPr>
            </w:pPr>
            <w:r>
              <w:rPr>
                <w:rFonts w:ascii="Arial" w:cs="Arial" w:eastAsia="Arial" w:hAnsi="Arial"/>
                <w:sz w:val="13"/>
                <w:szCs w:val="13"/>
                <w:color w:val="auto"/>
              </w:rPr>
              <w:t>Vesting Commencement Date</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452"/>
        </w:trPr>
        <w:tc>
          <w:tcPr>
            <w:tcW w:w="2280" w:type="dxa"/>
            <w:vAlign w:val="bottom"/>
          </w:tcPr>
          <w:p>
            <w:pPr>
              <w:spacing w:after="0"/>
              <w:rPr>
                <w:sz w:val="20"/>
                <w:szCs w:val="20"/>
                <w:color w:val="auto"/>
              </w:rPr>
            </w:pPr>
            <w:r>
              <w:rPr>
                <w:rFonts w:ascii="Arial" w:cs="Arial" w:eastAsia="Arial" w:hAnsi="Arial"/>
                <w:sz w:val="13"/>
                <w:szCs w:val="13"/>
                <w:color w:val="auto"/>
              </w:rPr>
              <w:t>Number of Shares Granted</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451"/>
        </w:trPr>
        <w:tc>
          <w:tcPr>
            <w:tcW w:w="2280" w:type="dxa"/>
            <w:vAlign w:val="bottom"/>
          </w:tcPr>
          <w:p>
            <w:pPr>
              <w:spacing w:after="0"/>
              <w:rPr>
                <w:sz w:val="20"/>
                <w:szCs w:val="20"/>
                <w:color w:val="auto"/>
              </w:rPr>
            </w:pPr>
            <w:r>
              <w:rPr>
                <w:rFonts w:ascii="Arial" w:cs="Arial" w:eastAsia="Arial" w:hAnsi="Arial"/>
                <w:sz w:val="13"/>
                <w:szCs w:val="13"/>
                <w:color w:val="auto"/>
              </w:rPr>
              <w:t>Exercise Price per Share</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315"/>
        </w:trPr>
        <w:tc>
          <w:tcPr>
            <w:tcW w:w="2280" w:type="dxa"/>
            <w:vAlign w:val="bottom"/>
          </w:tcPr>
          <w:p>
            <w:pPr>
              <w:spacing w:after="0"/>
              <w:rPr>
                <w:sz w:val="20"/>
                <w:szCs w:val="20"/>
                <w:color w:val="auto"/>
              </w:rPr>
            </w:pPr>
            <w:r>
              <w:rPr>
                <w:rFonts w:ascii="Arial" w:cs="Arial" w:eastAsia="Arial" w:hAnsi="Arial"/>
                <w:sz w:val="13"/>
                <w:szCs w:val="13"/>
                <w:color w:val="auto"/>
              </w:rPr>
              <w:t>Total Exercise Price</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285"/>
        </w:trPr>
        <w:tc>
          <w:tcPr>
            <w:tcW w:w="2280" w:type="dxa"/>
            <w:vAlign w:val="bottom"/>
          </w:tcPr>
          <w:p>
            <w:pPr>
              <w:spacing w:after="0"/>
              <w:rPr>
                <w:sz w:val="20"/>
                <w:szCs w:val="20"/>
                <w:color w:val="auto"/>
              </w:rPr>
            </w:pPr>
            <w:r>
              <w:rPr>
                <w:rFonts w:ascii="Arial" w:cs="Arial" w:eastAsia="Arial" w:hAnsi="Arial"/>
                <w:sz w:val="13"/>
                <w:szCs w:val="13"/>
                <w:color w:val="auto"/>
              </w:rPr>
              <w:t>Type of Option</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Pr>
          <w:p>
            <w:pPr>
              <w:ind w:left="40"/>
              <w:spacing w:after="0"/>
              <w:rPr>
                <w:sz w:val="20"/>
                <w:szCs w:val="20"/>
                <w:color w:val="auto"/>
              </w:rPr>
            </w:pPr>
            <w:r>
              <w:rPr>
                <w:rFonts w:ascii="Arial" w:cs="Arial" w:eastAsia="Arial" w:hAnsi="Arial"/>
                <w:sz w:val="13"/>
                <w:szCs w:val="13"/>
                <w:color w:val="auto"/>
              </w:rPr>
              <w:t>Incentive Stock Option</w:t>
            </w:r>
          </w:p>
        </w:tc>
      </w:tr>
      <w:tr>
        <w:trPr>
          <w:trHeight w:val="295"/>
        </w:trPr>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Pr>
          <w:p>
            <w:pPr>
              <w:ind w:left="40"/>
              <w:spacing w:after="0"/>
              <w:rPr>
                <w:sz w:val="20"/>
                <w:szCs w:val="20"/>
                <w:color w:val="auto"/>
              </w:rPr>
            </w:pPr>
            <w:r>
              <w:rPr>
                <w:rFonts w:ascii="Arial" w:cs="Arial" w:eastAsia="Arial" w:hAnsi="Arial"/>
                <w:sz w:val="13"/>
                <w:szCs w:val="13"/>
                <w:color w:val="auto"/>
              </w:rPr>
              <w:t>Nonstatutory Stock Option</w:t>
            </w:r>
          </w:p>
        </w:tc>
      </w:tr>
      <w:tr>
        <w:trPr>
          <w:trHeight w:val="323"/>
        </w:trPr>
        <w:tc>
          <w:tcPr>
            <w:tcW w:w="2280" w:type="dxa"/>
            <w:vAlign w:val="bottom"/>
          </w:tcPr>
          <w:p>
            <w:pPr>
              <w:spacing w:after="0"/>
              <w:rPr>
                <w:sz w:val="20"/>
                <w:szCs w:val="20"/>
                <w:color w:val="auto"/>
              </w:rPr>
            </w:pPr>
            <w:r>
              <w:rPr>
                <w:rFonts w:ascii="Arial" w:cs="Arial" w:eastAsia="Arial" w:hAnsi="Arial"/>
                <w:sz w:val="13"/>
                <w:szCs w:val="13"/>
                <w:color w:val="auto"/>
              </w:rPr>
              <w:t>Term/Expiration Date</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21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Subject to accelerated vesting as set forth below or in the Plan, this Option will be exercisable, in whole or in part, in accordance with the following schedule:</w:t>
      </w:r>
    </w:p>
    <w:p>
      <w:pPr>
        <w:spacing w:after="0" w:line="84" w:lineRule="exact"/>
        <w:rPr>
          <w:sz w:val="20"/>
          <w:szCs w:val="20"/>
          <w:color w:val="auto"/>
        </w:rPr>
      </w:pPr>
    </w:p>
    <w:p>
      <w:pPr>
        <w:ind w:right="20" w:firstLine="164"/>
        <w:spacing w:after="0" w:line="266" w:lineRule="auto"/>
        <w:rPr>
          <w:sz w:val="20"/>
          <w:szCs w:val="20"/>
          <w:color w:val="auto"/>
        </w:rPr>
      </w:pPr>
      <w:r>
        <w:rPr>
          <w:rFonts w:ascii="Arial" w:cs="Arial" w:eastAsia="Arial" w:hAnsi="Arial"/>
          <w:sz w:val="13"/>
          <w:szCs w:val="13"/>
          <w:color w:val="auto"/>
        </w:rPr>
        <w:t>[Twenty-five percent (25%) of the Shares subject to the Option will vest on the one (1) year anniversary of the Vesting Commencement Date, and one forty-eighth (1/48</w:t>
      </w:r>
      <w:r>
        <w:rPr>
          <w:rFonts w:ascii="Arial" w:cs="Arial" w:eastAsia="Arial" w:hAnsi="Arial"/>
          <w:sz w:val="11"/>
          <w:szCs w:val="11"/>
          <w:color w:val="auto"/>
        </w:rPr>
        <w:t>th</w:t>
      </w:r>
      <w:r>
        <w:rPr>
          <w:rFonts w:ascii="Arial" w:cs="Arial" w:eastAsia="Arial" w:hAnsi="Arial"/>
          <w:sz w:val="13"/>
          <w:szCs w:val="13"/>
          <w:color w:val="auto"/>
        </w:rPr>
        <w:t>) of the Shares subject to the Option will vest each month thereafter on the same day of the month as the Vesting Commencement Date (and if there is no corresponding day, on the last day of the month), subject to Participant continuing to be a Service Provider through each such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32" w:name="page233"/>
    <w:bookmarkEnd w:id="232"/>
    <w:p>
      <w:pPr>
        <w:ind w:left="160"/>
        <w:spacing w:after="0"/>
        <w:rPr>
          <w:sz w:val="20"/>
          <w:szCs w:val="20"/>
          <w:color w:val="auto"/>
        </w:rPr>
      </w:pPr>
      <w:r>
        <w:rPr>
          <w:rFonts w:ascii="Arial" w:cs="Arial" w:eastAsia="Arial" w:hAnsi="Arial"/>
          <w:sz w:val="13"/>
          <w:szCs w:val="13"/>
          <w:u w:val="single" w:color="auto"/>
          <w:color w:val="auto"/>
        </w:rPr>
        <w:t>Termination Period</w:t>
      </w:r>
      <w:r>
        <w:rPr>
          <w:rFonts w:ascii="Arial" w:cs="Arial" w:eastAsia="Arial" w:hAnsi="Arial"/>
          <w:sz w:val="13"/>
          <w:szCs w:val="13"/>
          <w:color w:val="auto"/>
        </w:rPr>
        <w:t>:</w:t>
      </w:r>
    </w:p>
    <w:p>
      <w:pPr>
        <w:spacing w:after="0" w:line="86"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3"/>
          <w:szCs w:val="13"/>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13(c) of the Plan.</w:t>
      </w:r>
    </w:p>
    <w:p>
      <w:pPr>
        <w:spacing w:after="0" w:line="57"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By Participant’s signature and the signature of the Company’s representative below, Participant and the Company agree that this Option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80" w:type="dxa"/>
            <w:vAlign w:val="bottom"/>
            <w:gridSpan w:val="2"/>
          </w:tcPr>
          <w:p>
            <w:pPr>
              <w:spacing w:after="0"/>
              <w:rPr>
                <w:sz w:val="20"/>
                <w:szCs w:val="20"/>
                <w:color w:val="auto"/>
              </w:rPr>
            </w:pPr>
            <w:r>
              <w:rPr>
                <w:rFonts w:ascii="Arial" w:cs="Arial" w:eastAsia="Arial" w:hAnsi="Arial"/>
                <w:sz w:val="13"/>
                <w:szCs w:val="13"/>
                <w:color w:val="auto"/>
              </w:rPr>
              <w:t>PARTICIPANT</w:t>
            </w:r>
          </w:p>
        </w:tc>
        <w:tc>
          <w:tcPr>
            <w:tcW w:w="5180" w:type="dxa"/>
            <w:vAlign w:val="bottom"/>
            <w:gridSpan w:val="2"/>
          </w:tcPr>
          <w:p>
            <w:pPr>
              <w:ind w:left="580"/>
              <w:spacing w:after="0"/>
              <w:rPr>
                <w:sz w:val="20"/>
                <w:szCs w:val="20"/>
                <w:color w:val="auto"/>
              </w:rPr>
            </w:pPr>
            <w:r>
              <w:rPr>
                <w:rFonts w:ascii="Arial" w:cs="Arial" w:eastAsia="Arial" w:hAnsi="Arial"/>
                <w:sz w:val="13"/>
                <w:szCs w:val="13"/>
                <w:color w:val="auto"/>
              </w:rPr>
              <w:t>FLUIDIGM CORPORATION</w:t>
            </w:r>
          </w:p>
        </w:tc>
      </w:tr>
      <w:tr>
        <w:trPr>
          <w:trHeight w:val="316"/>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r>
        <w:trPr>
          <w:trHeight w:val="156"/>
        </w:trPr>
        <w:tc>
          <w:tcPr>
            <w:tcW w:w="4580" w:type="dxa"/>
            <w:vAlign w:val="bottom"/>
            <w:gridSpan w:val="2"/>
          </w:tcPr>
          <w:p>
            <w:pPr>
              <w:spacing w:after="0"/>
              <w:rPr>
                <w:sz w:val="20"/>
                <w:szCs w:val="20"/>
                <w:color w:val="auto"/>
              </w:rPr>
            </w:pPr>
            <w:r>
              <w:rPr>
                <w:rFonts w:ascii="Arial" w:cs="Arial" w:eastAsia="Arial" w:hAnsi="Arial"/>
                <w:sz w:val="13"/>
                <w:szCs w:val="13"/>
                <w:color w:val="auto"/>
              </w:rPr>
              <w:t>Signature</w:t>
            </w:r>
          </w:p>
        </w:tc>
        <w:tc>
          <w:tcPr>
            <w:tcW w:w="5180" w:type="dxa"/>
            <w:vAlign w:val="bottom"/>
            <w:gridSpan w:val="2"/>
          </w:tcPr>
          <w:p>
            <w:pPr>
              <w:ind w:left="580"/>
              <w:spacing w:after="0"/>
              <w:rPr>
                <w:sz w:val="20"/>
                <w:szCs w:val="20"/>
                <w:color w:val="auto"/>
              </w:rPr>
            </w:pPr>
            <w:r>
              <w:rPr>
                <w:rFonts w:ascii="Arial" w:cs="Arial" w:eastAsia="Arial" w:hAnsi="Arial"/>
                <w:sz w:val="13"/>
                <w:szCs w:val="13"/>
                <w:color w:val="auto"/>
              </w:rPr>
              <w:t>By</w:t>
            </w:r>
          </w:p>
        </w:tc>
      </w:tr>
      <w:tr>
        <w:trPr>
          <w:trHeight w:val="316"/>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r>
        <w:trPr>
          <w:trHeight w:val="156"/>
        </w:trPr>
        <w:tc>
          <w:tcPr>
            <w:tcW w:w="4580" w:type="dxa"/>
            <w:vAlign w:val="bottom"/>
            <w:gridSpan w:val="2"/>
          </w:tcPr>
          <w:p>
            <w:pPr>
              <w:spacing w:after="0"/>
              <w:rPr>
                <w:sz w:val="20"/>
                <w:szCs w:val="20"/>
                <w:color w:val="auto"/>
              </w:rPr>
            </w:pPr>
            <w:r>
              <w:rPr>
                <w:rFonts w:ascii="Arial" w:cs="Arial" w:eastAsia="Arial" w:hAnsi="Arial"/>
                <w:sz w:val="13"/>
                <w:szCs w:val="13"/>
                <w:color w:val="auto"/>
              </w:rPr>
              <w:t>Print Name</w:t>
            </w:r>
          </w:p>
        </w:tc>
        <w:tc>
          <w:tcPr>
            <w:tcW w:w="5180" w:type="dxa"/>
            <w:vAlign w:val="bottom"/>
            <w:gridSpan w:val="2"/>
          </w:tcPr>
          <w:p>
            <w:pPr>
              <w:ind w:left="580"/>
              <w:spacing w:after="0"/>
              <w:rPr>
                <w:sz w:val="20"/>
                <w:szCs w:val="20"/>
                <w:color w:val="auto"/>
              </w:rPr>
            </w:pPr>
            <w:r>
              <w:rPr>
                <w:rFonts w:ascii="Arial" w:cs="Arial" w:eastAsia="Arial" w:hAnsi="Arial"/>
                <w:sz w:val="13"/>
                <w:szCs w:val="13"/>
                <w:color w:val="auto"/>
              </w:rPr>
              <w:t>Title</w:t>
            </w:r>
          </w:p>
        </w:tc>
      </w:tr>
      <w:tr>
        <w:trPr>
          <w:trHeight w:val="286"/>
        </w:trPr>
        <w:tc>
          <w:tcPr>
            <w:tcW w:w="4580" w:type="dxa"/>
            <w:vAlign w:val="bottom"/>
            <w:gridSpan w:val="2"/>
          </w:tcPr>
          <w:p>
            <w:pPr>
              <w:spacing w:after="0"/>
              <w:rPr>
                <w:sz w:val="20"/>
                <w:szCs w:val="20"/>
                <w:color w:val="auto"/>
              </w:rPr>
            </w:pPr>
            <w:r>
              <w:rPr>
                <w:rFonts w:ascii="Arial" w:cs="Arial" w:eastAsia="Arial" w:hAnsi="Arial"/>
                <w:sz w:val="13"/>
                <w:szCs w:val="13"/>
                <w:color w:val="auto"/>
              </w:rPr>
              <w:t>Address:</w:t>
            </w: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24"/>
        </w:trPr>
        <w:tc>
          <w:tcPr>
            <w:tcW w:w="460" w:type="dxa"/>
            <w:vAlign w:val="bottom"/>
            <w:tcBorders>
              <w:top w:val="single" w:sz="8" w:color="auto"/>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14"/>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AND CONDITIONS OF STOCK OPTION GRANT</w:t>
      </w:r>
    </w:p>
    <w:p>
      <w:pPr>
        <w:spacing w:after="0" w:line="90" w:lineRule="exact"/>
        <w:rPr>
          <w:sz w:val="20"/>
          <w:szCs w:val="20"/>
          <w:color w:val="auto"/>
        </w:rPr>
      </w:pPr>
    </w:p>
    <w:p>
      <w:pPr>
        <w:ind w:right="100" w:firstLine="162"/>
        <w:spacing w:after="0" w:line="296" w:lineRule="auto"/>
        <w:tabs>
          <w:tab w:leader="none" w:pos="295" w:val="left"/>
        </w:tabs>
        <w:numPr>
          <w:ilvl w:val="0"/>
          <w:numId w:val="159"/>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 The Company hereby grants to the Participant named in the Notice of Grant (“Participant”) an option (the “Option”) to purchase the number of Shares, as set forth in the Notice of Grant, at the exercise price per Share set forth in the Notice of Grant (the “Exercise Price”), subject to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40"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If designated in the Notice of Grant as an Incentive Stock Option (“ISO”), this Option is intended to qualify as an Incentive Stock Option as defined in Section 422 of the Code. However, if this Option is intended to be an Incentive Stock Option, to the extent that it exceeds the $100,000 rule of Code Section 422(d) it will be treated as a Nonstatutory Stock Option (“NSO”). Further, if for any reason this Option (or portion thereof) will not qualify as an ISO, then, to the extent of such nonqualification, such Option (or portion thereof) will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43" w:lineRule="exact"/>
        <w:rPr>
          <w:sz w:val="20"/>
          <w:szCs w:val="20"/>
          <w:color w:val="auto"/>
        </w:rPr>
      </w:pPr>
    </w:p>
    <w:p>
      <w:pPr>
        <w:ind w:right="40" w:firstLine="162"/>
        <w:spacing w:after="0" w:line="264" w:lineRule="auto"/>
        <w:tabs>
          <w:tab w:leader="none" w:pos="29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 Except as provided in Section 3, the Option awarded by this Agreement will vest in accordance with the vesting provisions set forth in the Notice of Grant. Shares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57" w:lineRule="exact"/>
        <w:rPr>
          <w:rFonts w:ascii="Arial" w:cs="Arial" w:eastAsia="Arial" w:hAnsi="Arial"/>
          <w:sz w:val="13"/>
          <w:szCs w:val="13"/>
          <w:color w:val="auto"/>
        </w:rPr>
      </w:pPr>
    </w:p>
    <w:p>
      <w:pPr>
        <w:ind w:right="20" w:firstLine="162"/>
        <w:spacing w:after="0" w:line="276" w:lineRule="auto"/>
        <w:tabs>
          <w:tab w:leader="none" w:pos="29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Administrator Discretion</w:t>
      </w:r>
      <w:r>
        <w:rPr>
          <w:rFonts w:ascii="Arial" w:cs="Arial" w:eastAsia="Arial" w:hAnsi="Arial"/>
          <w:sz w:val="13"/>
          <w:szCs w:val="13"/>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Exercise of Option</w:t>
      </w:r>
      <w:r>
        <w:rPr>
          <w:rFonts w:ascii="Arial" w:cs="Arial" w:eastAsia="Arial" w:hAnsi="Arial"/>
          <w:sz w:val="12"/>
          <w:szCs w:val="12"/>
          <w:color w:val="auto"/>
        </w:rPr>
        <w:t>. This Option may be exercised only within the term set out in the Notice of Grant, and may be exercised during such term only in accordance with the Plan and the terms of this Agreement.</w:t>
      </w:r>
    </w:p>
    <w:p>
      <w:pPr>
        <w:spacing w:after="0" w:line="98" w:lineRule="exact"/>
        <w:rPr>
          <w:sz w:val="20"/>
          <w:szCs w:val="20"/>
          <w:color w:val="auto"/>
        </w:rPr>
      </w:pPr>
    </w:p>
    <w:p>
      <w:pPr>
        <w:ind w:right="160" w:firstLine="325"/>
        <w:spacing w:after="0" w:line="260" w:lineRule="auto"/>
        <w:rPr>
          <w:sz w:val="20"/>
          <w:szCs w:val="20"/>
          <w:color w:val="auto"/>
        </w:rPr>
      </w:pPr>
      <w:r>
        <w:rPr>
          <w:rFonts w:ascii="Arial" w:cs="Arial" w:eastAsia="Arial" w:hAnsi="Arial"/>
          <w:sz w:val="13"/>
          <w:szCs w:val="13"/>
          <w:color w:val="auto"/>
        </w:rPr>
        <w:t xml:space="preserve">This Option is exercisable by delivery of an exercise notice, in the form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34" w:name="page235"/>
    <w:bookmarkEnd w:id="234"/>
    <w:p>
      <w:pPr>
        <w:spacing w:after="0"/>
        <w:rPr>
          <w:sz w:val="20"/>
          <w:szCs w:val="20"/>
          <w:color w:val="auto"/>
        </w:rPr>
      </w:pPr>
      <w:r>
        <w:rPr>
          <w:rFonts w:ascii="Arial" w:cs="Arial" w:eastAsia="Arial" w:hAnsi="Arial"/>
          <w:sz w:val="13"/>
          <w:szCs w:val="13"/>
          <w:color w:val="auto"/>
        </w:rPr>
        <w:t>upon receipt by the Company of such fully executed Exercise Notice accompanied by the aggregate Exercise Price.</w:t>
      </w:r>
    </w:p>
    <w:p>
      <w:pPr>
        <w:spacing w:after="0" w:line="86" w:lineRule="exact"/>
        <w:rPr>
          <w:sz w:val="20"/>
          <w:szCs w:val="20"/>
          <w:color w:val="auto"/>
        </w:rPr>
      </w:pPr>
    </w:p>
    <w:p>
      <w:pPr>
        <w:ind w:left="300" w:hanging="138"/>
        <w:spacing w:after="0"/>
        <w:tabs>
          <w:tab w:leader="none" w:pos="300"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Method of Payment</w:t>
      </w:r>
      <w:r>
        <w:rPr>
          <w:rFonts w:ascii="Arial" w:cs="Arial" w:eastAsia="Arial" w:hAnsi="Arial"/>
          <w:sz w:val="13"/>
          <w:szCs w:val="13"/>
          <w:color w:val="auto"/>
        </w:rPr>
        <w:t>. Payment of the aggregate Exercise Price will be by any of the following, or a combination thereof, at the election of Participant: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cash;</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check;</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consideration received by the Company under a formal cashless exercise program adopted by the Company in connection with the Plan; or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surrender of other Shares which have a Fair Market Value on the date of surrender equal to the aggregate Exercise Price of the Exercised Shares.</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Tax Obligations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0" w:firstLine="326"/>
        <w:spacing w:after="0" w:line="285" w:lineRule="auto"/>
        <w:tabs>
          <w:tab w:leader="none" w:pos="506" w:val="left"/>
        </w:tabs>
        <w:numPr>
          <w:ilvl w:val="1"/>
          <w:numId w:val="161"/>
        </w:numPr>
        <w:rPr>
          <w:rFonts w:ascii="Arial" w:cs="Arial" w:eastAsia="Arial" w:hAnsi="Arial"/>
          <w:sz w:val="12"/>
          <w:szCs w:val="12"/>
          <w:color w:val="auto"/>
        </w:rPr>
      </w:pPr>
      <w:r>
        <w:rPr>
          <w:rFonts w:ascii="Arial" w:cs="Arial" w:eastAsia="Arial" w:hAnsi="Arial"/>
          <w:sz w:val="12"/>
          <w:szCs w:val="12"/>
          <w:u w:val="single" w:color="auto"/>
          <w:color w:val="auto"/>
        </w:rPr>
        <w:t>Withholding of Taxes</w:t>
      </w:r>
      <w:r>
        <w:rPr>
          <w:rFonts w:ascii="Arial" w:cs="Arial" w:eastAsia="Arial" w:hAnsi="Arial"/>
          <w:sz w:val="12"/>
          <w:szCs w:val="12"/>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of the Option exercise, Participant acknowledges and agrees that the Company may refuse to honor the exercise and refuse to deliver the Shares if such withholding amounts are not delivered at the time of exercise.</w:t>
      </w:r>
    </w:p>
    <w:p>
      <w:pPr>
        <w:spacing w:after="0" w:line="45" w:lineRule="exact"/>
        <w:rPr>
          <w:rFonts w:ascii="Arial" w:cs="Arial" w:eastAsia="Arial" w:hAnsi="Arial"/>
          <w:sz w:val="12"/>
          <w:szCs w:val="12"/>
          <w:color w:val="auto"/>
        </w:rPr>
      </w:pPr>
    </w:p>
    <w:p>
      <w:pPr>
        <w:ind w:right="120" w:firstLine="326"/>
        <w:spacing w:after="0" w:line="264" w:lineRule="auto"/>
        <w:tabs>
          <w:tab w:leader="none" w:pos="513" w:val="left"/>
        </w:tabs>
        <w:numPr>
          <w:ilvl w:val="1"/>
          <w:numId w:val="161"/>
        </w:numPr>
        <w:rPr>
          <w:rFonts w:ascii="Arial" w:cs="Arial" w:eastAsia="Arial" w:hAnsi="Arial"/>
          <w:sz w:val="13"/>
          <w:szCs w:val="13"/>
          <w:color w:val="auto"/>
        </w:rPr>
      </w:pPr>
      <w:r>
        <w:rPr>
          <w:rFonts w:ascii="Arial" w:cs="Arial" w:eastAsia="Arial" w:hAnsi="Arial"/>
          <w:sz w:val="13"/>
          <w:szCs w:val="13"/>
          <w:u w:val="single" w:color="auto"/>
          <w:color w:val="auto"/>
        </w:rPr>
        <w:t>Notice of Disqualifying Disposition of ISO Shares</w:t>
      </w:r>
      <w:r>
        <w:rPr>
          <w:rFonts w:ascii="Arial" w:cs="Arial" w:eastAsia="Arial" w:hAnsi="Arial"/>
          <w:sz w:val="13"/>
          <w:szCs w:val="13"/>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57" w:lineRule="exact"/>
        <w:rPr>
          <w:rFonts w:ascii="Arial" w:cs="Arial" w:eastAsia="Arial" w:hAnsi="Arial"/>
          <w:sz w:val="13"/>
          <w:szCs w:val="13"/>
          <w:color w:val="auto"/>
        </w:rPr>
      </w:pPr>
    </w:p>
    <w:p>
      <w:pPr>
        <w:ind w:firstLine="326"/>
        <w:spacing w:after="0" w:line="258" w:lineRule="auto"/>
        <w:tabs>
          <w:tab w:leader="none" w:pos="506" w:val="left"/>
        </w:tabs>
        <w:numPr>
          <w:ilvl w:val="1"/>
          <w:numId w:val="161"/>
        </w:numPr>
        <w:rPr>
          <w:rFonts w:ascii="Arial" w:cs="Arial" w:eastAsia="Arial" w:hAnsi="Arial"/>
          <w:sz w:val="13"/>
          <w:szCs w:val="13"/>
          <w:color w:val="auto"/>
        </w:rPr>
      </w:pPr>
      <w:r>
        <w:rPr>
          <w:rFonts w:ascii="Arial" w:cs="Arial" w:eastAsia="Arial" w:hAnsi="Arial"/>
          <w:sz w:val="13"/>
          <w:szCs w:val="13"/>
          <w:u w:val="single" w:color="auto"/>
          <w:color w:val="auto"/>
        </w:rPr>
        <w:t>Code Section 409A</w:t>
      </w:r>
      <w:r>
        <w:rPr>
          <w:rFonts w:ascii="Arial" w:cs="Arial" w:eastAsia="Arial" w:hAnsi="Arial"/>
          <w:sz w:val="13"/>
          <w:szCs w:val="13"/>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w:t>
      </w:r>
    </w:p>
    <w:p>
      <w:pPr>
        <w:spacing w:after="0" w:line="120" w:lineRule="exact"/>
        <w:rPr>
          <w:rFonts w:ascii="Arial" w:cs="Arial" w:eastAsia="Arial" w:hAnsi="Arial"/>
          <w:sz w:val="13"/>
          <w:szCs w:val="13"/>
          <w:color w:val="auto"/>
        </w:rPr>
      </w:pPr>
    </w:p>
    <w:p>
      <w:pPr>
        <w:ind w:left="5700" w:hanging="75"/>
        <w:spacing w:after="0"/>
        <w:tabs>
          <w:tab w:leader="none" w:pos="5700" w:val="left"/>
        </w:tabs>
        <w:numPr>
          <w:ilvl w:val="2"/>
          <w:numId w:val="161"/>
        </w:numPr>
        <w:rPr>
          <w:rFonts w:ascii="Arial" w:cs="Arial" w:eastAsia="Arial" w:hAnsi="Arial"/>
          <w:sz w:val="13"/>
          <w:szCs w:val="13"/>
          <w:color w:val="auto"/>
        </w:rPr>
      </w:pPr>
      <w:r>
        <w:rPr>
          <w:rFonts w:ascii="Arial" w:cs="Arial" w:eastAsia="Arial" w:hAnsi="Arial"/>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5" w:name="page236"/>
    <w:bookmarkEnd w:id="235"/>
    <w:p>
      <w:pPr>
        <w:ind w:right="260"/>
        <w:spacing w:after="0" w:line="276" w:lineRule="auto"/>
        <w:rPr>
          <w:sz w:val="20"/>
          <w:szCs w:val="20"/>
          <w:color w:val="auto"/>
        </w:rPr>
      </w:pPr>
      <w:r>
        <w:rPr>
          <w:rFonts w:ascii="Arial" w:cs="Arial" w:eastAsia="Arial" w:hAnsi="Arial"/>
          <w:sz w:val="13"/>
          <w:szCs w:val="13"/>
          <w:color w:val="auto"/>
        </w:rPr>
        <w:t>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49" w:lineRule="exact"/>
        <w:rPr>
          <w:sz w:val="20"/>
          <w:szCs w:val="20"/>
          <w:color w:val="auto"/>
        </w:rPr>
      </w:pPr>
    </w:p>
    <w:p>
      <w:pPr>
        <w:jc w:val="both"/>
        <w:ind w:right="400" w:firstLine="162"/>
        <w:spacing w:after="0" w:line="296" w:lineRule="auto"/>
        <w:tabs>
          <w:tab w:leader="none" w:pos="295" w:val="left"/>
        </w:tabs>
        <w:numPr>
          <w:ilvl w:val="0"/>
          <w:numId w:val="162"/>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39" w:lineRule="exact"/>
        <w:rPr>
          <w:rFonts w:ascii="Arial" w:cs="Arial" w:eastAsia="Arial" w:hAnsi="Arial"/>
          <w:sz w:val="12"/>
          <w:szCs w:val="12"/>
          <w:color w:val="auto"/>
        </w:rPr>
      </w:pPr>
    </w:p>
    <w:p>
      <w:pPr>
        <w:ind w:right="60" w:firstLine="162"/>
        <w:spacing w:after="0" w:line="256" w:lineRule="auto"/>
        <w:tabs>
          <w:tab w:leader="none" w:pos="295"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No Guarantee of Continued Service</w:t>
      </w:r>
      <w:r>
        <w:rPr>
          <w:rFonts w:ascii="Arial" w:cs="Arial" w:eastAsia="Arial" w:hAnsi="Arial"/>
          <w:sz w:val="13"/>
          <w:szCs w:val="13"/>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63" w:lineRule="exact"/>
        <w:rPr>
          <w:rFonts w:ascii="Arial" w:cs="Arial" w:eastAsia="Arial" w:hAnsi="Arial"/>
          <w:sz w:val="13"/>
          <w:szCs w:val="13"/>
          <w:color w:val="auto"/>
        </w:rPr>
      </w:pPr>
    </w:p>
    <w:p>
      <w:pPr>
        <w:ind w:right="120" w:firstLine="162"/>
        <w:spacing w:after="0" w:line="276" w:lineRule="auto"/>
        <w:tabs>
          <w:tab w:leader="none" w:pos="295"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Address for Notices</w:t>
      </w:r>
      <w:r>
        <w:rPr>
          <w:rFonts w:ascii="Arial" w:cs="Arial" w:eastAsia="Arial" w:hAnsi="Arial"/>
          <w:sz w:val="13"/>
          <w:szCs w:val="13"/>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49" w:lineRule="exact"/>
        <w:rPr>
          <w:rFonts w:ascii="Arial" w:cs="Arial" w:eastAsia="Arial" w:hAnsi="Arial"/>
          <w:sz w:val="13"/>
          <w:szCs w:val="13"/>
          <w:color w:val="auto"/>
        </w:rPr>
      </w:pPr>
    </w:p>
    <w:p>
      <w:pPr>
        <w:ind w:right="400" w:firstLine="162"/>
        <w:spacing w:after="0" w:line="276" w:lineRule="auto"/>
        <w:tabs>
          <w:tab w:leader="none" w:pos="36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Grant is Not Transferable</w:t>
      </w:r>
      <w:r>
        <w:rPr>
          <w:rFonts w:ascii="Arial" w:cs="Arial" w:eastAsia="Arial" w:hAnsi="Arial"/>
          <w:sz w:val="13"/>
          <w:szCs w:val="13"/>
          <w:color w:val="auto"/>
        </w:rPr>
        <w:t>. This Option may not be transferred in any manner otherwise than by will or by the laws of descent or distribution and may be exercised during the lifetime of Participant only by Participant.</w:t>
      </w:r>
    </w:p>
    <w:p>
      <w:pPr>
        <w:spacing w:after="0" w:line="49" w:lineRule="exact"/>
        <w:rPr>
          <w:rFonts w:ascii="Arial" w:cs="Arial" w:eastAsia="Arial" w:hAnsi="Arial"/>
          <w:sz w:val="13"/>
          <w:szCs w:val="13"/>
          <w:color w:val="auto"/>
        </w:rPr>
      </w:pPr>
    </w:p>
    <w:p>
      <w:pPr>
        <w:ind w:right="540" w:firstLine="162"/>
        <w:spacing w:after="0" w:line="276" w:lineRule="auto"/>
        <w:tabs>
          <w:tab w:leader="none" w:pos="355"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Binding Agreement</w:t>
      </w:r>
      <w:r>
        <w:rPr>
          <w:rFonts w:ascii="Arial" w:cs="Arial" w:eastAsia="Arial" w:hAnsi="Arial"/>
          <w:sz w:val="13"/>
          <w:szCs w:val="13"/>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49" w:lineRule="exact"/>
        <w:rPr>
          <w:rFonts w:ascii="Arial" w:cs="Arial" w:eastAsia="Arial" w:hAnsi="Arial"/>
          <w:sz w:val="13"/>
          <w:szCs w:val="13"/>
          <w:color w:val="auto"/>
        </w:rPr>
      </w:pPr>
    </w:p>
    <w:p>
      <w:pPr>
        <w:ind w:firstLine="162"/>
        <w:spacing w:after="0" w:line="264" w:lineRule="auto"/>
        <w:tabs>
          <w:tab w:leader="none" w:pos="36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w:t>
      </w:r>
    </w:p>
    <w:p>
      <w:pPr>
        <w:spacing w:after="0" w:line="116" w:lineRule="exact"/>
        <w:rPr>
          <w:rFonts w:ascii="Arial" w:cs="Arial" w:eastAsia="Arial" w:hAnsi="Arial"/>
          <w:sz w:val="13"/>
          <w:szCs w:val="13"/>
          <w:color w:val="auto"/>
        </w:rPr>
      </w:pPr>
    </w:p>
    <w:p>
      <w:pPr>
        <w:ind w:left="5700" w:hanging="75"/>
        <w:spacing w:after="0"/>
        <w:tabs>
          <w:tab w:leader="none" w:pos="5700" w:val="left"/>
        </w:tabs>
        <w:numPr>
          <w:ilvl w:val="1"/>
          <w:numId w:val="162"/>
        </w:numPr>
        <w:rPr>
          <w:rFonts w:ascii="Arial" w:cs="Arial" w:eastAsia="Arial" w:hAnsi="Arial"/>
          <w:sz w:val="13"/>
          <w:szCs w:val="13"/>
          <w:color w:val="auto"/>
        </w:rPr>
      </w:pPr>
      <w:r>
        <w:rPr>
          <w:rFonts w:ascii="Arial" w:cs="Arial" w:eastAsia="Arial" w:hAnsi="Arial"/>
          <w:sz w:val="13"/>
          <w:szCs w:val="13"/>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6" w:name="page237"/>
    <w:bookmarkEnd w:id="236"/>
    <w:p>
      <w:pPr>
        <w:ind w:right="120"/>
        <w:spacing w:after="0" w:line="264" w:lineRule="auto"/>
        <w:rPr>
          <w:sz w:val="20"/>
          <w:szCs w:val="20"/>
          <w:color w:val="auto"/>
        </w:rPr>
      </w:pPr>
      <w:r>
        <w:rPr>
          <w:rFonts w:ascii="Arial" w:cs="Arial" w:eastAsia="Arial" w:hAnsi="Arial"/>
          <w:sz w:val="13"/>
          <w:szCs w:val="13"/>
          <w:color w:val="auto"/>
        </w:rPr>
        <w:t>qualification, consent or approval will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57" w:lineRule="exact"/>
        <w:rPr>
          <w:sz w:val="20"/>
          <w:szCs w:val="20"/>
          <w:color w:val="auto"/>
        </w:rPr>
      </w:pPr>
    </w:p>
    <w:p>
      <w:pPr>
        <w:ind w:right="20" w:firstLine="162"/>
        <w:spacing w:after="0" w:line="276" w:lineRule="auto"/>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Plan Governs</w:t>
      </w:r>
      <w:r>
        <w:rPr>
          <w:rFonts w:ascii="Arial" w:cs="Arial" w:eastAsia="Arial" w:hAnsi="Arial"/>
          <w:sz w:val="13"/>
          <w:szCs w:val="13"/>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49" w:lineRule="exact"/>
        <w:rPr>
          <w:rFonts w:ascii="Arial" w:cs="Arial" w:eastAsia="Arial" w:hAnsi="Arial"/>
          <w:sz w:val="13"/>
          <w:szCs w:val="13"/>
          <w:color w:val="auto"/>
        </w:rPr>
      </w:pPr>
    </w:p>
    <w:p>
      <w:pPr>
        <w:ind w:right="20" w:firstLine="162"/>
        <w:spacing w:after="0" w:line="260" w:lineRule="auto"/>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Administrator Authority</w:t>
      </w:r>
      <w:r>
        <w:rPr>
          <w:rFonts w:ascii="Arial" w:cs="Arial" w:eastAsia="Arial" w:hAnsi="Arial"/>
          <w:sz w:val="13"/>
          <w:szCs w:val="13"/>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59" w:lineRule="exact"/>
        <w:rPr>
          <w:rFonts w:ascii="Arial" w:cs="Arial" w:eastAsia="Arial" w:hAnsi="Arial"/>
          <w:sz w:val="13"/>
          <w:szCs w:val="13"/>
          <w:color w:val="auto"/>
        </w:rPr>
      </w:pPr>
    </w:p>
    <w:p>
      <w:pPr>
        <w:ind w:left="360" w:hanging="198"/>
        <w:spacing w:after="0"/>
        <w:tabs>
          <w:tab w:leader="none" w:pos="360" w:val="left"/>
        </w:tabs>
        <w:numPr>
          <w:ilvl w:val="0"/>
          <w:numId w:val="163"/>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The Company may, in its sole discretion, decide to deliver any documents related to Options awarded under the Plan or future Options that may be awarded under the Plan by electronic</w:t>
      </w:r>
    </w:p>
    <w:p>
      <w:pPr>
        <w:spacing w:after="0" w:line="26" w:lineRule="exact"/>
        <w:rPr>
          <w:rFonts w:ascii="Arial" w:cs="Arial" w:eastAsia="Arial" w:hAnsi="Arial"/>
          <w:sz w:val="12"/>
          <w:szCs w:val="12"/>
          <w:color w:val="auto"/>
        </w:rPr>
      </w:pPr>
    </w:p>
    <w:p>
      <w:pPr>
        <w:spacing w:after="0" w:line="264" w:lineRule="auto"/>
        <w:rPr>
          <w:rFonts w:ascii="Arial" w:cs="Arial" w:eastAsia="Arial" w:hAnsi="Arial"/>
          <w:sz w:val="12"/>
          <w:szCs w:val="12"/>
          <w:color w:val="auto"/>
        </w:rPr>
      </w:pPr>
      <w:r>
        <w:rPr>
          <w:rFonts w:ascii="Arial" w:cs="Arial" w:eastAsia="Arial" w:hAnsi="Arial"/>
          <w:sz w:val="13"/>
          <w:szCs w:val="13"/>
          <w:color w:val="auto"/>
        </w:rPr>
        <w:t>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56" w:lineRule="exact"/>
        <w:rPr>
          <w:rFonts w:ascii="Arial" w:cs="Arial" w:eastAsia="Arial" w:hAnsi="Arial"/>
          <w:sz w:val="12"/>
          <w:szCs w:val="12"/>
          <w:color w:val="auto"/>
        </w:rPr>
      </w:pPr>
    </w:p>
    <w:p>
      <w:pPr>
        <w:ind w:left="360" w:hanging="198"/>
        <w:spacing w:after="0"/>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Captions</w:t>
      </w:r>
      <w:r>
        <w:rPr>
          <w:rFonts w:ascii="Arial" w:cs="Arial" w:eastAsia="Arial" w:hAnsi="Arial"/>
          <w:sz w:val="13"/>
          <w:szCs w:val="13"/>
          <w:color w:val="auto"/>
        </w:rPr>
        <w:t>. Captions provided herein are for convenience only and are not to serve as a basis for interpretation or construction of this Agreement.</w:t>
      </w:r>
    </w:p>
    <w:p>
      <w:pPr>
        <w:spacing w:after="0" w:line="86" w:lineRule="exact"/>
        <w:rPr>
          <w:rFonts w:ascii="Arial" w:cs="Arial" w:eastAsia="Arial" w:hAnsi="Arial"/>
          <w:sz w:val="13"/>
          <w:szCs w:val="13"/>
          <w:color w:val="auto"/>
        </w:rPr>
      </w:pPr>
    </w:p>
    <w:p>
      <w:pPr>
        <w:ind w:right="100" w:firstLine="162"/>
        <w:spacing w:after="0" w:line="276" w:lineRule="auto"/>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Agreement Severable</w:t>
      </w:r>
      <w:r>
        <w:rPr>
          <w:rFonts w:ascii="Arial" w:cs="Arial" w:eastAsia="Arial" w:hAnsi="Arial"/>
          <w:sz w:val="13"/>
          <w:szCs w:val="13"/>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49" w:lineRule="exact"/>
        <w:rPr>
          <w:rFonts w:ascii="Arial" w:cs="Arial" w:eastAsia="Arial" w:hAnsi="Arial"/>
          <w:sz w:val="13"/>
          <w:szCs w:val="13"/>
          <w:color w:val="auto"/>
        </w:rPr>
      </w:pPr>
    </w:p>
    <w:p>
      <w:pPr>
        <w:ind w:firstLine="162"/>
        <w:spacing w:after="0" w:line="264" w:lineRule="auto"/>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Modifications to the Agreement</w:t>
      </w:r>
      <w:r>
        <w:rPr>
          <w:rFonts w:ascii="Arial" w:cs="Arial" w:eastAsia="Arial" w:hAnsi="Arial"/>
          <w:sz w:val="13"/>
          <w:szCs w:val="13"/>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w:t>
      </w:r>
    </w:p>
    <w:p>
      <w:pPr>
        <w:spacing w:after="0" w:line="57" w:lineRule="exact"/>
        <w:rPr>
          <w:rFonts w:ascii="Arial" w:cs="Arial" w:eastAsia="Arial" w:hAnsi="Arial"/>
          <w:sz w:val="13"/>
          <w:szCs w:val="13"/>
          <w:color w:val="auto"/>
        </w:rPr>
      </w:pPr>
    </w:p>
    <w:p>
      <w:pPr>
        <w:ind w:right="460" w:firstLine="162"/>
        <w:spacing w:after="0" w:line="276" w:lineRule="auto"/>
        <w:tabs>
          <w:tab w:leader="none" w:pos="3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Amendment, Suspension or Termination of the Plan</w:t>
      </w:r>
      <w:r>
        <w:rPr>
          <w:rFonts w:ascii="Arial" w:cs="Arial" w:eastAsia="Arial" w:hAnsi="Arial"/>
          <w:sz w:val="13"/>
          <w:szCs w:val="13"/>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08" w:lineRule="exact"/>
        <w:rPr>
          <w:rFonts w:ascii="Arial" w:cs="Arial" w:eastAsia="Arial" w:hAnsi="Arial"/>
          <w:sz w:val="13"/>
          <w:szCs w:val="13"/>
          <w:color w:val="auto"/>
        </w:rPr>
      </w:pPr>
    </w:p>
    <w:p>
      <w:pPr>
        <w:ind w:left="5700" w:hanging="75"/>
        <w:spacing w:after="0"/>
        <w:tabs>
          <w:tab w:leader="none" w:pos="570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7" w:name="page238"/>
    <w:bookmarkEnd w:id="237"/>
    <w:p>
      <w:pPr>
        <w:jc w:val="both"/>
        <w:ind w:left="-162" w:firstLine="162"/>
        <w:spacing w:after="0" w:line="264" w:lineRule="auto"/>
        <w:tabs>
          <w:tab w:leader="none" w:pos="198"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will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w:t>
      </w:r>
      <w:r>
        <w:rPr>
          <w:rFonts w:ascii="Arial" w:cs="Arial" w:eastAsia="Arial" w:hAnsi="Arial"/>
          <w:sz w:val="13"/>
          <w:szCs w:val="13"/>
          <w:b w:val="1"/>
          <w:bCs w:val="1"/>
          <w:color w:val="auto"/>
        </w:rPr>
        <w:t>,</w:t>
      </w:r>
      <w:r>
        <w:rPr>
          <w:rFonts w:ascii="Arial" w:cs="Arial" w:eastAsia="Arial" w:hAnsi="Arial"/>
          <w:sz w:val="13"/>
          <w:szCs w:val="13"/>
          <w:color w:val="auto"/>
        </w:rPr>
        <w:t xml:space="preserve">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16" w:lineRule="exact"/>
        <w:rPr>
          <w:rFonts w:ascii="Arial" w:cs="Arial" w:eastAsia="Arial" w:hAnsi="Arial"/>
          <w:sz w:val="13"/>
          <w:szCs w:val="13"/>
          <w:color w:val="auto"/>
        </w:rPr>
      </w:pPr>
    </w:p>
    <w:p>
      <w:pPr>
        <w:ind w:left="5538" w:hanging="75"/>
        <w:spacing w:after="0"/>
        <w:tabs>
          <w:tab w:leader="none" w:pos="5538" w:val="left"/>
        </w:tabs>
        <w:numPr>
          <w:ilvl w:val="1"/>
          <w:numId w:val="164"/>
        </w:numPr>
        <w:rPr>
          <w:rFonts w:ascii="Arial" w:cs="Arial" w:eastAsia="Arial" w:hAnsi="Arial"/>
          <w:sz w:val="13"/>
          <w:szCs w:val="13"/>
          <w:color w:val="auto"/>
        </w:rPr>
      </w:pPr>
      <w:r>
        <w:rPr>
          <w:rFonts w:ascii="Arial" w:cs="Arial" w:eastAsia="Arial" w:hAnsi="Arial"/>
          <w:sz w:val="13"/>
          <w:szCs w:val="13"/>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78"/>
          </w:cols>
          <w:pgMar w:left="382" w:top="721"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3"/>
          <w:szCs w:val="13"/>
          <w:b w:val="1"/>
          <w:bCs w:val="1"/>
          <w:u w:val="single" w:color="auto"/>
          <w:color w:val="auto"/>
        </w:rPr>
        <w:t>EXHIBIT B</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2008 EQUITY INCENTIVE PLAN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EXERCISE NOTICE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7000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South San Francisco, CA 94080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gridSpan w:val="2"/>
          </w:tcPr>
          <w:p>
            <w:pPr>
              <w:spacing w:after="0"/>
              <w:rPr>
                <w:sz w:val="20"/>
                <w:szCs w:val="20"/>
                <w:color w:val="auto"/>
              </w:rPr>
            </w:pPr>
            <w:r>
              <w:rPr>
                <w:rFonts w:ascii="Arial" w:cs="Arial" w:eastAsia="Arial" w:hAnsi="Arial"/>
                <w:sz w:val="13"/>
                <w:szCs w:val="13"/>
                <w:color w:val="auto"/>
                <w:w w:val="98"/>
              </w:rPr>
              <w:t>Attention:</w:t>
            </w:r>
          </w:p>
        </w:tc>
        <w:tc>
          <w:tcPr>
            <w:tcW w:w="1320" w:type="dxa"/>
            <w:vAlign w:val="bottom"/>
            <w:tcBorders>
              <w:bottom w:val="single" w:sz="8" w:color="auto"/>
            </w:tcBorders>
            <w:gridSpan w:val="2"/>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6"/>
        </w:trPr>
        <w:tc>
          <w:tcPr>
            <w:tcW w:w="2500" w:type="dxa"/>
            <w:vAlign w:val="bottom"/>
            <w:gridSpan w:val="5"/>
          </w:tcPr>
          <w:p>
            <w:pPr>
              <w:ind w:left="160"/>
              <w:spacing w:after="0"/>
              <w:rPr>
                <w:sz w:val="20"/>
                <w:szCs w:val="20"/>
                <w:color w:val="auto"/>
              </w:rPr>
            </w:pPr>
            <w:r>
              <w:rPr>
                <w:rFonts w:ascii="Arial" w:cs="Arial" w:eastAsia="Arial" w:hAnsi="Arial"/>
                <w:sz w:val="13"/>
                <w:szCs w:val="13"/>
                <w:color w:val="auto"/>
                <w:w w:val="93"/>
              </w:rPr>
              <w:t>1. Exercise of Option. Effective as of today,</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700" w:type="dxa"/>
            <w:vAlign w:val="bottom"/>
            <w:gridSpan w:val="3"/>
          </w:tcPr>
          <w:p>
            <w:pPr>
              <w:ind w:left="640"/>
              <w:spacing w:after="0"/>
              <w:rPr>
                <w:sz w:val="20"/>
                <w:szCs w:val="20"/>
                <w:color w:val="auto"/>
              </w:rPr>
            </w:pPr>
            <w:r>
              <w:rPr>
                <w:rFonts w:ascii="Arial" w:cs="Arial" w:eastAsia="Arial" w:hAnsi="Arial"/>
                <w:sz w:val="13"/>
                <w:szCs w:val="13"/>
                <w:color w:val="auto"/>
                <w:w w:val="90"/>
              </w:rPr>
              <w:t>, the undersigned (“Purchaser”) hereby elects to purchase</w:t>
            </w:r>
          </w:p>
        </w:tc>
        <w:tc>
          <w:tcPr>
            <w:tcW w:w="640" w:type="dxa"/>
            <w:vAlign w:val="bottom"/>
          </w:tcPr>
          <w:p>
            <w:pPr>
              <w:spacing w:after="0"/>
              <w:rPr>
                <w:sz w:val="18"/>
                <w:szCs w:val="18"/>
                <w:color w:val="auto"/>
              </w:rPr>
            </w:pPr>
          </w:p>
        </w:tc>
        <w:tc>
          <w:tcPr>
            <w:tcW w:w="3880" w:type="dxa"/>
            <w:vAlign w:val="bottom"/>
            <w:gridSpan w:val="4"/>
          </w:tcPr>
          <w:p>
            <w:pPr>
              <w:ind w:left="40"/>
              <w:spacing w:after="0"/>
              <w:rPr>
                <w:sz w:val="20"/>
                <w:szCs w:val="20"/>
                <w:color w:val="auto"/>
              </w:rPr>
            </w:pPr>
            <w:r>
              <w:rPr>
                <w:rFonts w:ascii="Arial" w:cs="Arial" w:eastAsia="Arial" w:hAnsi="Arial"/>
                <w:sz w:val="13"/>
                <w:szCs w:val="13"/>
                <w:color w:val="auto"/>
                <w:w w:val="91"/>
              </w:rPr>
              <w:t>shares (the “Shares”) of the Common Stock of Fluidigm Corporation (the</w:t>
            </w:r>
          </w:p>
        </w:tc>
      </w:tr>
      <w:tr>
        <w:trPr>
          <w:trHeight w:val="20"/>
        </w:trPr>
        <w:tc>
          <w:tcPr>
            <w:tcW w:w="3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37"/>
        </w:trPr>
        <w:tc>
          <w:tcPr>
            <w:tcW w:w="6920" w:type="dxa"/>
            <w:vAlign w:val="bottom"/>
            <w:gridSpan w:val="10"/>
          </w:tcPr>
          <w:p>
            <w:pPr>
              <w:spacing w:after="0" w:line="138" w:lineRule="exact"/>
              <w:rPr>
                <w:sz w:val="20"/>
                <w:szCs w:val="20"/>
                <w:color w:val="auto"/>
              </w:rPr>
            </w:pPr>
            <w:r>
              <w:rPr>
                <w:rFonts w:ascii="Arial" w:cs="Arial" w:eastAsia="Arial" w:hAnsi="Arial"/>
                <w:sz w:val="13"/>
                <w:szCs w:val="13"/>
                <w:color w:val="auto"/>
              </w:rPr>
              <w:t>“Company”) under and pursuant to the 2008 Equity Incentive Plan (the “Plan”) and the Stock Option Agreement dated</w:t>
            </w:r>
          </w:p>
        </w:tc>
        <w:tc>
          <w:tcPr>
            <w:tcW w:w="36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(the “Agreement”). The purchase price for the Shares will be $</w:t>
            </w:r>
          </w:p>
        </w:tc>
        <w:tc>
          <w:tcPr>
            <w:tcW w:w="860" w:type="dxa"/>
            <w:vAlign w:val="bottom"/>
            <w:gridSpan w:val="2"/>
          </w:tcPr>
          <w:p>
            <w:pPr>
              <w:ind w:left="320"/>
              <w:spacing w:after="0" w:line="138" w:lineRule="exact"/>
              <w:rPr>
                <w:sz w:val="20"/>
                <w:szCs w:val="20"/>
                <w:color w:val="auto"/>
              </w:rPr>
            </w:pPr>
            <w:r>
              <w:rPr>
                <w:rFonts w:ascii="Arial" w:cs="Arial" w:eastAsia="Arial" w:hAnsi="Arial"/>
                <w:sz w:val="13"/>
                <w:szCs w:val="13"/>
                <w:color w:val="auto"/>
              </w:rPr>
              <w:t>, as</w:t>
            </w:r>
          </w:p>
        </w:tc>
      </w:tr>
      <w:tr>
        <w:trPr>
          <w:trHeight w:val="165"/>
        </w:trPr>
        <w:tc>
          <w:tcPr>
            <w:tcW w:w="2500" w:type="dxa"/>
            <w:vAlign w:val="bottom"/>
            <w:gridSpan w:val="5"/>
          </w:tcPr>
          <w:p>
            <w:pPr>
              <w:spacing w:after="0"/>
              <w:rPr>
                <w:sz w:val="20"/>
                <w:szCs w:val="20"/>
                <w:color w:val="auto"/>
              </w:rPr>
            </w:pPr>
            <w:r>
              <w:rPr>
                <w:rFonts w:ascii="Arial" w:cs="Arial" w:eastAsia="Arial" w:hAnsi="Arial"/>
                <w:sz w:val="13"/>
                <w:szCs w:val="13"/>
                <w:color w:val="auto"/>
              </w:rPr>
              <w:t>required by the Agreement.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r>
    </w:tbl>
    <w:p>
      <w:pPr>
        <w:spacing w:after="0" w:line="71" w:lineRule="exact"/>
        <w:rPr>
          <w:sz w:val="20"/>
          <w:szCs w:val="20"/>
          <w:color w:val="auto"/>
        </w:rPr>
      </w:pPr>
    </w:p>
    <w:p>
      <w:pPr>
        <w:ind w:left="300" w:hanging="138"/>
        <w:spacing w:after="0"/>
        <w:tabs>
          <w:tab w:leader="none" w:pos="300"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Delivery of Payment</w:t>
      </w:r>
      <w:r>
        <w:rPr>
          <w:rFonts w:ascii="Arial" w:cs="Arial" w:eastAsia="Arial" w:hAnsi="Arial"/>
          <w:sz w:val="13"/>
          <w:szCs w:val="13"/>
          <w:color w:val="auto"/>
        </w:rPr>
        <w:t>. Purchaser herewith delivers to the Company the full purchase price of the Shares and any required tax withholding to be paid in connection with the exercise of the Option.</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65"/>
        </w:numPr>
        <w:rPr>
          <w:rFonts w:ascii="Arial" w:cs="Arial" w:eastAsia="Arial" w:hAnsi="Arial"/>
          <w:sz w:val="12"/>
          <w:szCs w:val="12"/>
          <w:color w:val="auto"/>
        </w:rPr>
      </w:pPr>
      <w:r>
        <w:rPr>
          <w:rFonts w:ascii="Arial" w:cs="Arial" w:eastAsia="Arial" w:hAnsi="Arial"/>
          <w:sz w:val="12"/>
          <w:szCs w:val="12"/>
          <w:u w:val="single" w:color="auto"/>
          <w:color w:val="auto"/>
        </w:rPr>
        <w:t>Representations of Purchaser</w:t>
      </w:r>
      <w:r>
        <w:rPr>
          <w:rFonts w:ascii="Arial" w:cs="Arial" w:eastAsia="Arial" w:hAnsi="Arial"/>
          <w:sz w:val="12"/>
          <w:szCs w:val="12"/>
          <w:color w:val="auto"/>
        </w:rPr>
        <w:t>. Purchaser acknowledges that Purchaser has received, read and understood the Plan and the Agreement and agrees to abide by and be bound by their terms and conditions.</w:t>
      </w:r>
    </w:p>
    <w:p>
      <w:pPr>
        <w:spacing w:after="0" w:line="97" w:lineRule="exact"/>
        <w:rPr>
          <w:rFonts w:ascii="Arial" w:cs="Arial" w:eastAsia="Arial" w:hAnsi="Arial"/>
          <w:sz w:val="12"/>
          <w:szCs w:val="12"/>
          <w:color w:val="auto"/>
        </w:rPr>
      </w:pPr>
    </w:p>
    <w:p>
      <w:pPr>
        <w:ind w:right="180" w:firstLine="162"/>
        <w:spacing w:after="0" w:line="296" w:lineRule="auto"/>
        <w:tabs>
          <w:tab w:leader="none" w:pos="295" w:val="left"/>
        </w:tabs>
        <w:numPr>
          <w:ilvl w:val="0"/>
          <w:numId w:val="165"/>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Optioned Stock, notwithstanding the exercise of the Option. The Shares so acquired will be issued to Participant as soon as practicable after exercise of the Option. No adjustment will be made for a dividend or other right for which the record date is prior to the date of issuance, except as provided in Section 13 of the Plan.</w:t>
      </w:r>
    </w:p>
    <w:p>
      <w:pPr>
        <w:spacing w:after="0" w:line="39" w:lineRule="exact"/>
        <w:rPr>
          <w:rFonts w:ascii="Arial" w:cs="Arial" w:eastAsia="Arial" w:hAnsi="Arial"/>
          <w:sz w:val="12"/>
          <w:szCs w:val="12"/>
          <w:color w:val="auto"/>
        </w:rPr>
      </w:pPr>
    </w:p>
    <w:p>
      <w:pPr>
        <w:ind w:right="20" w:firstLine="162"/>
        <w:spacing w:after="0" w:line="320" w:lineRule="auto"/>
        <w:tabs>
          <w:tab w:leader="none" w:pos="295" w:val="left"/>
        </w:tabs>
        <w:numPr>
          <w:ilvl w:val="0"/>
          <w:numId w:val="165"/>
        </w:numPr>
        <w:rPr>
          <w:rFonts w:ascii="Arial" w:cs="Arial" w:eastAsia="Arial" w:hAnsi="Arial"/>
          <w:sz w:val="12"/>
          <w:szCs w:val="12"/>
          <w:color w:val="auto"/>
        </w:rPr>
      </w:pPr>
      <w:r>
        <w:rPr>
          <w:rFonts w:ascii="Arial" w:cs="Arial" w:eastAsia="Arial" w:hAnsi="Arial"/>
          <w:sz w:val="12"/>
          <w:szCs w:val="12"/>
          <w:u w:val="single" w:color="auto"/>
          <w:color w:val="auto"/>
        </w:rPr>
        <w:t>Tax Consultation</w:t>
      </w:r>
      <w:r>
        <w:rPr>
          <w:rFonts w:ascii="Arial" w:cs="Arial" w:eastAsia="Arial" w:hAnsi="Arial"/>
          <w:sz w:val="12"/>
          <w:szCs w:val="12"/>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84" w:lineRule="exact"/>
        <w:rPr>
          <w:rFonts w:ascii="Arial" w:cs="Arial" w:eastAsia="Arial" w:hAnsi="Arial"/>
          <w:sz w:val="12"/>
          <w:szCs w:val="12"/>
          <w:color w:val="auto"/>
        </w:rPr>
      </w:pPr>
    </w:p>
    <w:p>
      <w:pPr>
        <w:ind w:left="5700" w:hanging="75"/>
        <w:spacing w:after="0"/>
        <w:tabs>
          <w:tab w:leader="none" w:pos="5700" w:val="left"/>
        </w:tabs>
        <w:numPr>
          <w:ilvl w:val="1"/>
          <w:numId w:val="165"/>
        </w:numPr>
        <w:rPr>
          <w:rFonts w:ascii="Arial" w:cs="Arial" w:eastAsia="Arial" w:hAnsi="Arial"/>
          <w:sz w:val="13"/>
          <w:szCs w:val="13"/>
          <w:color w:val="auto"/>
        </w:rPr>
      </w:pPr>
      <w:r>
        <w:rPr>
          <w:rFonts w:ascii="Arial" w:cs="Arial" w:eastAsia="Arial" w:hAnsi="Arial"/>
          <w:sz w:val="13"/>
          <w:szCs w:val="13"/>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39" w:name="page240"/>
    <w:bookmarkEnd w:id="239"/>
    <w:p>
      <w:pPr>
        <w:ind w:firstLine="162"/>
        <w:spacing w:after="0" w:line="296" w:lineRule="auto"/>
        <w:tabs>
          <w:tab w:leader="none" w:pos="295" w:val="left"/>
        </w:tabs>
        <w:numPr>
          <w:ilvl w:val="0"/>
          <w:numId w:val="166"/>
        </w:numPr>
        <w:rPr>
          <w:rFonts w:ascii="Arial" w:cs="Arial" w:eastAsia="Arial" w:hAnsi="Arial"/>
          <w:sz w:val="12"/>
          <w:szCs w:val="12"/>
          <w:color w:val="auto"/>
        </w:rPr>
      </w:pPr>
      <w:r>
        <w:rPr>
          <w:rFonts w:ascii="Arial" w:cs="Arial" w:eastAsia="Arial" w:hAnsi="Arial"/>
          <w:sz w:val="12"/>
          <w:szCs w:val="12"/>
          <w:u w:val="single" w:color="auto"/>
          <w:color w:val="auto"/>
        </w:rPr>
        <w:t>Entire Agreement; Governing Law</w:t>
      </w:r>
      <w:r>
        <w:rPr>
          <w:rFonts w:ascii="Arial" w:cs="Arial" w:eastAsia="Arial" w:hAnsi="Arial"/>
          <w:sz w:val="12"/>
          <w:szCs w:val="12"/>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ectPr>
          <w:pgSz w:w="11900" w:h="16838" w:orient="portrait"/>
          <w:cols w:equalWidth="0" w:num="1">
            <w:col w:w="11460"/>
          </w:cols>
          <w:pgMar w:left="220" w:top="721" w:right="21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Submitted by:</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291465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91465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91465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9146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291465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Accepted by:</w:t>
      </w:r>
    </w:p>
    <w:p>
      <w:pPr>
        <w:spacing w:after="0" w:line="165" w:lineRule="exact"/>
        <w:rPr>
          <w:sz w:val="20"/>
          <w:szCs w:val="20"/>
          <w:color w:val="auto"/>
        </w:rPr>
      </w:pPr>
    </w:p>
    <w:p>
      <w:pPr>
        <w:jc w:val="center"/>
        <w:ind w:right="4700"/>
        <w:spacing w:after="0"/>
        <w:rPr>
          <w:sz w:val="20"/>
          <w:szCs w:val="20"/>
          <w:color w:val="auto"/>
        </w:rPr>
      </w:pPr>
      <w:r>
        <w:rPr>
          <w:rFonts w:ascii="Arial" w:cs="Arial" w:eastAsia="Arial" w:hAnsi="Arial"/>
          <w:sz w:val="12"/>
          <w:szCs w:val="12"/>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291465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210185</wp:posOffset>
            </wp:positionV>
            <wp:extent cx="291465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291465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4440" w:space="720"/>
            <w:col w:w="6300"/>
          </w:cols>
          <w:pgMar w:left="220" w:top="72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Arial" w:cs="Arial" w:eastAsia="Arial" w:hAnsi="Arial"/>
          <w:sz w:val="11"/>
          <w:szCs w:val="11"/>
          <w:color w:val="auto"/>
        </w:rPr>
        <w:t>Date Received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type w:val="continuous"/>
        </w:sectPr>
      </w:pPr>
    </w:p>
    <w:bookmarkStart w:id="240" w:name="page241"/>
    <w:bookmarkEnd w:id="240"/>
    <w:p>
      <w:pPr>
        <w:jc w:val="center"/>
        <w:ind w:right="-119"/>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2008 EQUITY INCENTIVE PLAN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NOTICE OF GRANT OF RESTRICTED STOCK</w:t>
      </w:r>
    </w:p>
    <w:p>
      <w:pPr>
        <w:spacing w:after="0" w:line="9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Unless otherwise defined herein, the terms defined in the Fluidigm Corporation 2008 Equity Incentive Plan (the “Plan”) will have the same defined meanings in this Notice of Grant of Restricted Stock (the “Notice of Grant”) and Terms and Conditions of Restricted Stock Grant,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(together, the “Agreement”).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291465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291465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14650" cy="635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312420</wp:posOffset>
            </wp:positionV>
            <wp:extent cx="291465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Participant has been granted the right to receive an Award of Restricted Stock, subject to the terms and conditions of the Plan and this Agreement, as follows: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Subject to any acceleration provisions contained in the Plan or set forth below, the Restricted Stock will vest and the Company’s right to reacquire the Restricted Stock will lapse in accordance with the following schedule: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[VESTING SCHEDULE]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36" w:right="339" w:bottom="1440" w:gutter="0" w:footer="0" w:header="0"/>
        </w:sectPr>
      </w:pPr>
    </w:p>
    <w:bookmarkStart w:id="241" w:name="page242"/>
    <w:bookmarkEnd w:id="241"/>
    <w:p>
      <w:pPr>
        <w:jc w:val="both"/>
        <w:ind w:firstLine="164"/>
        <w:spacing w:after="0" w:line="260" w:lineRule="auto"/>
        <w:rPr>
          <w:sz w:val="20"/>
          <w:szCs w:val="20"/>
          <w:color w:val="auto"/>
        </w:rPr>
      </w:pPr>
      <w:r>
        <w:rPr>
          <w:rFonts w:ascii="Arial" w:cs="Arial" w:eastAsia="Arial" w:hAnsi="Arial"/>
          <w:sz w:val="13"/>
          <w:szCs w:val="13"/>
          <w:color w:val="auto"/>
        </w:rPr>
        <w:t>By Participant’s signature and the signature of the Company’s representative below, Participant and the Company agree that this Award of Restricted Stock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39" w:lineRule="exact"/>
        <w:rPr>
          <w:sz w:val="20"/>
          <w:szCs w:val="20"/>
          <w:color w:val="auto"/>
        </w:rPr>
      </w:pPr>
    </w:p>
    <w:p>
      <w:pPr>
        <w:spacing w:after="0"/>
        <w:tabs>
          <w:tab w:leader="none" w:pos="5320" w:val="left"/>
        </w:tabs>
        <w:rPr>
          <w:sz w:val="20"/>
          <w:szCs w:val="20"/>
          <w:color w:val="auto"/>
        </w:rPr>
      </w:pPr>
      <w:r>
        <w:rPr>
          <w:rFonts w:ascii="Arial" w:cs="Arial" w:eastAsia="Arial" w:hAnsi="Arial"/>
          <w:sz w:val="13"/>
          <w:szCs w:val="13"/>
          <w:color w:val="auto"/>
        </w:rPr>
        <w:t>PARTICIPANT</w:t>
      </w:r>
      <w:r>
        <w:rPr>
          <w:sz w:val="20"/>
          <w:szCs w:val="20"/>
          <w:color w:val="auto"/>
        </w:rPr>
        <w:tab/>
      </w:r>
      <w:r>
        <w:rPr>
          <w:rFonts w:ascii="Arial" w:cs="Arial" w:eastAsia="Arial" w:hAnsi="Arial"/>
          <w:sz w:val="13"/>
          <w:szCs w:val="13"/>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728408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728408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91465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146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291465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AND CONDITIONS OF RESTRICTED STOCK GRANT</w:t>
      </w:r>
    </w:p>
    <w:p>
      <w:pPr>
        <w:spacing w:after="0" w:line="90" w:lineRule="exact"/>
        <w:rPr>
          <w:sz w:val="20"/>
          <w:szCs w:val="20"/>
          <w:color w:val="auto"/>
        </w:rPr>
      </w:pPr>
    </w:p>
    <w:p>
      <w:pPr>
        <w:ind w:firstLine="162"/>
        <w:spacing w:after="0" w:line="260" w:lineRule="auto"/>
        <w:tabs>
          <w:tab w:leader="none" w:pos="295"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Grant of Restricted Stock</w:t>
      </w:r>
      <w:r>
        <w:rPr>
          <w:rFonts w:ascii="Arial" w:cs="Arial" w:eastAsia="Arial" w:hAnsi="Arial"/>
          <w:sz w:val="13"/>
          <w:szCs w:val="13"/>
          <w:color w:val="auto"/>
        </w:rPr>
        <w:t>. The Company hereby grants to the Participant named in the Notice of Grant (the “Participant”) under the Plan for past services and as a separate incentive in connection with his or her services and not in lieu of any salary or other compensation for his or her services, an Award of Shares of Restricted Stock, subject to all of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Escrow of Shares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326"/>
        <w:spacing w:after="0" w:line="276" w:lineRule="auto"/>
        <w:tabs>
          <w:tab w:leader="none" w:pos="498" w:val="left"/>
        </w:tabs>
        <w:numPr>
          <w:ilvl w:val="1"/>
          <w:numId w:val="167"/>
        </w:numPr>
        <w:rPr>
          <w:rFonts w:ascii="Arial" w:cs="Arial" w:eastAsia="Arial" w:hAnsi="Arial"/>
          <w:sz w:val="13"/>
          <w:szCs w:val="13"/>
          <w:color w:val="auto"/>
        </w:rPr>
      </w:pPr>
      <w:r>
        <w:rPr>
          <w:rFonts w:ascii="Arial" w:cs="Arial" w:eastAsia="Arial" w:hAnsi="Arial"/>
          <w:sz w:val="13"/>
          <w:szCs w:val="13"/>
          <w:color w:val="auto"/>
        </w:rPr>
        <w:t>All Shares of Restricted Stock will, upon execution of this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1"/>
          <w:numId w:val="167"/>
        </w:numPr>
        <w:rPr>
          <w:rFonts w:ascii="Arial" w:cs="Arial" w:eastAsia="Arial" w:hAnsi="Arial"/>
          <w:sz w:val="12"/>
          <w:szCs w:val="12"/>
          <w:color w:val="auto"/>
        </w:rPr>
      </w:pPr>
      <w:r>
        <w:rPr>
          <w:rFonts w:ascii="Arial" w:cs="Arial" w:eastAsia="Arial" w:hAnsi="Arial"/>
          <w:sz w:val="12"/>
          <w:szCs w:val="12"/>
          <w:color w:val="auto"/>
        </w:rPr>
        <w:t>The Escrow Holder will not be liable for any act it may do or omit to do with respect to holding the Shares of Restricted Stock in escrow while acting in good faith and in the exercise of its judgment.</w:t>
      </w:r>
    </w:p>
    <w:p>
      <w:pPr>
        <w:spacing w:after="0" w:line="97" w:lineRule="exact"/>
        <w:rPr>
          <w:rFonts w:ascii="Arial" w:cs="Arial" w:eastAsia="Arial" w:hAnsi="Arial"/>
          <w:sz w:val="12"/>
          <w:szCs w:val="12"/>
          <w:color w:val="auto"/>
        </w:rPr>
      </w:pPr>
    </w:p>
    <w:p>
      <w:pPr>
        <w:ind w:right="60" w:firstLine="326"/>
        <w:spacing w:after="0" w:line="260" w:lineRule="auto"/>
        <w:tabs>
          <w:tab w:leader="none" w:pos="506" w:val="left"/>
        </w:tabs>
        <w:numPr>
          <w:ilvl w:val="1"/>
          <w:numId w:val="167"/>
        </w:numPr>
        <w:rPr>
          <w:rFonts w:ascii="Arial" w:cs="Arial" w:eastAsia="Arial" w:hAnsi="Arial"/>
          <w:sz w:val="13"/>
          <w:szCs w:val="13"/>
          <w:color w:val="auto"/>
        </w:rPr>
      </w:pPr>
      <w:r>
        <w:rPr>
          <w:rFonts w:ascii="Arial" w:cs="Arial" w:eastAsia="Arial" w:hAnsi="Arial"/>
          <w:sz w:val="13"/>
          <w:szCs w:val="13"/>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1"/>
          <w:numId w:val="167"/>
        </w:numPr>
        <w:rPr>
          <w:rFonts w:ascii="Arial" w:cs="Arial" w:eastAsia="Arial" w:hAnsi="Arial"/>
          <w:sz w:val="12"/>
          <w:szCs w:val="12"/>
          <w:color w:val="auto"/>
        </w:rPr>
      </w:pPr>
      <w:r>
        <w:rPr>
          <w:rFonts w:ascii="Arial" w:cs="Arial" w:eastAsia="Arial" w:hAnsi="Arial"/>
          <w:sz w:val="12"/>
          <w:szCs w:val="12"/>
          <w:color w:val="auto"/>
        </w:rPr>
        <w:t>The Escrow Holder will take all steps necessary to accomplish the transfer of Shares of Restricted Stock to Participant after they vest following Participant’s request that the Escrow Holder do so.</w:t>
      </w:r>
    </w:p>
    <w:p>
      <w:pPr>
        <w:spacing w:after="0" w:line="97" w:lineRule="exact"/>
        <w:rPr>
          <w:rFonts w:ascii="Arial" w:cs="Arial" w:eastAsia="Arial" w:hAnsi="Arial"/>
          <w:sz w:val="12"/>
          <w:szCs w:val="12"/>
          <w:color w:val="auto"/>
        </w:rPr>
      </w:pPr>
    </w:p>
    <w:p>
      <w:pPr>
        <w:ind w:right="120" w:firstLine="326"/>
        <w:spacing w:after="0" w:line="276" w:lineRule="auto"/>
        <w:tabs>
          <w:tab w:leader="none" w:pos="506" w:val="left"/>
        </w:tabs>
        <w:numPr>
          <w:ilvl w:val="1"/>
          <w:numId w:val="167"/>
        </w:numPr>
        <w:rPr>
          <w:rFonts w:ascii="Arial" w:cs="Arial" w:eastAsia="Arial" w:hAnsi="Arial"/>
          <w:sz w:val="13"/>
          <w:szCs w:val="13"/>
          <w:color w:val="auto"/>
        </w:rPr>
      </w:pPr>
      <w:r>
        <w:rPr>
          <w:rFonts w:ascii="Arial" w:cs="Arial" w:eastAsia="Arial" w:hAnsi="Arial"/>
          <w:sz w:val="13"/>
          <w:szCs w:val="13"/>
          <w:color w:val="auto"/>
        </w:rPr>
        <w:t>Subject to the terms hereof, Participant will have all the rights of a stockholder with respect to the Shares while they are held in escrow, including without limitation, the right to vote the Shares and to receive any cash dividends declared thereon.</w:t>
      </w:r>
    </w:p>
    <w:p>
      <w:pPr>
        <w:spacing w:after="0" w:line="49" w:lineRule="exact"/>
        <w:rPr>
          <w:rFonts w:ascii="Arial" w:cs="Arial" w:eastAsia="Arial" w:hAnsi="Arial"/>
          <w:sz w:val="13"/>
          <w:szCs w:val="13"/>
          <w:color w:val="auto"/>
        </w:rPr>
      </w:pPr>
    </w:p>
    <w:p>
      <w:pPr>
        <w:jc w:val="both"/>
        <w:ind w:right="80" w:firstLine="326"/>
        <w:spacing w:after="0" w:line="334" w:lineRule="auto"/>
        <w:tabs>
          <w:tab w:leader="none" w:pos="491" w:val="left"/>
        </w:tabs>
        <w:numPr>
          <w:ilvl w:val="1"/>
          <w:numId w:val="167"/>
        </w:numPr>
        <w:rPr>
          <w:rFonts w:ascii="Arial" w:cs="Arial" w:eastAsia="Arial" w:hAnsi="Arial"/>
          <w:sz w:val="11"/>
          <w:szCs w:val="11"/>
          <w:color w:val="auto"/>
        </w:rPr>
      </w:pPr>
      <w:r>
        <w:rPr>
          <w:rFonts w:ascii="Arial" w:cs="Arial" w:eastAsia="Arial" w:hAnsi="Arial"/>
          <w:sz w:val="11"/>
          <w:szCs w:val="11"/>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43" w:name="page244"/>
    <w:bookmarkEnd w:id="243"/>
    <w:p>
      <w:pPr>
        <w:ind w:right="40"/>
        <w:spacing w:after="0" w:line="282" w:lineRule="auto"/>
        <w:rPr>
          <w:sz w:val="20"/>
          <w:szCs w:val="20"/>
          <w:color w:val="auto"/>
        </w:rPr>
      </w:pPr>
      <w:r>
        <w:rPr>
          <w:rFonts w:ascii="Arial" w:cs="Arial" w:eastAsia="Arial" w:hAnsi="Arial"/>
          <w:sz w:val="12"/>
          <w:szCs w:val="12"/>
          <w:color w:val="auto"/>
        </w:rPr>
        <w:t>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49" w:lineRule="exact"/>
        <w:rPr>
          <w:sz w:val="20"/>
          <w:szCs w:val="20"/>
          <w:color w:val="auto"/>
        </w:rPr>
      </w:pPr>
    </w:p>
    <w:p>
      <w:pPr>
        <w:ind w:right="80" w:firstLine="326"/>
        <w:spacing w:after="0" w:line="276" w:lineRule="auto"/>
        <w:tabs>
          <w:tab w:leader="none" w:pos="511" w:val="left"/>
        </w:tabs>
        <w:numPr>
          <w:ilvl w:val="1"/>
          <w:numId w:val="168"/>
        </w:numPr>
        <w:rPr>
          <w:rFonts w:ascii="Arial" w:cs="Arial" w:eastAsia="Arial" w:hAnsi="Arial"/>
          <w:sz w:val="13"/>
          <w:szCs w:val="13"/>
          <w:color w:val="auto"/>
        </w:rPr>
      </w:pPr>
      <w:r>
        <w:rPr>
          <w:rFonts w:ascii="Arial" w:cs="Arial" w:eastAsia="Arial" w:hAnsi="Arial"/>
          <w:sz w:val="13"/>
          <w:szCs w:val="13"/>
          <w:color w:val="auto"/>
        </w:rPr>
        <w:t>The Company may instruct the transfer agent for its Common Stock to place a legend on the certificates representing the Restricted Stock or otherwise note its records as to the restrictions on transfer set forth in this Agreement.</w:t>
      </w:r>
    </w:p>
    <w:p>
      <w:pPr>
        <w:spacing w:after="0" w:line="49" w:lineRule="exact"/>
        <w:rPr>
          <w:rFonts w:ascii="Arial" w:cs="Arial" w:eastAsia="Arial" w:hAnsi="Arial"/>
          <w:sz w:val="13"/>
          <w:szCs w:val="13"/>
          <w:color w:val="auto"/>
        </w:rPr>
      </w:pPr>
    </w:p>
    <w:p>
      <w:pPr>
        <w:ind w:right="100" w:firstLine="162"/>
        <w:spacing w:after="0" w:line="264" w:lineRule="auto"/>
        <w:tabs>
          <w:tab w:leader="none" w:pos="295"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 Except as provided in Section 4, and subject to Section 5, the Shares of Restricted Stock awarded by this Agreement will vest in accordance with the vesting provisions set forth in the Notice of Grant. Shares of Restricted Stock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57"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Administrator Discretion</w:t>
      </w:r>
      <w:r>
        <w:rPr>
          <w:rFonts w:ascii="Arial" w:cs="Arial" w:eastAsia="Arial" w:hAnsi="Arial"/>
          <w:sz w:val="13"/>
          <w:szCs w:val="13"/>
          <w:color w:val="auto"/>
        </w:rPr>
        <w:t>. The Administrator, in its discretion, may accelerate the vesting of the balance, or some lesser portion of the balance, of the unvested Restricted Stock at any time, subject to the terms of the Plan. If so accelerated, such Restricted Stock will be considered as having vested as of the date specified by the Administrator.</w:t>
      </w:r>
    </w:p>
    <w:p>
      <w:pPr>
        <w:spacing w:after="0" w:line="49" w:lineRule="exact"/>
        <w:rPr>
          <w:rFonts w:ascii="Arial" w:cs="Arial" w:eastAsia="Arial" w:hAnsi="Arial"/>
          <w:sz w:val="13"/>
          <w:szCs w:val="13"/>
          <w:color w:val="auto"/>
        </w:rPr>
      </w:pPr>
    </w:p>
    <w:p>
      <w:pPr>
        <w:ind w:firstLine="162"/>
        <w:spacing w:after="0" w:line="316" w:lineRule="auto"/>
        <w:tabs>
          <w:tab w:leader="none" w:pos="295" w:val="left"/>
        </w:tabs>
        <w:numPr>
          <w:ilvl w:val="0"/>
          <w:numId w:val="169"/>
        </w:numPr>
        <w:rPr>
          <w:rFonts w:ascii="Arial" w:cs="Arial" w:eastAsia="Arial" w:hAnsi="Arial"/>
          <w:sz w:val="11"/>
          <w:szCs w:val="11"/>
          <w:color w:val="auto"/>
        </w:rPr>
      </w:pPr>
      <w:r>
        <w:rPr>
          <w:rFonts w:ascii="Arial" w:cs="Arial" w:eastAsia="Arial" w:hAnsi="Arial"/>
          <w:sz w:val="11"/>
          <w:szCs w:val="11"/>
          <w:u w:val="single" w:color="auto"/>
          <w:color w:val="auto"/>
        </w:rPr>
        <w:t>Forfeiture upon Termination of Status as a Service Provider</w:t>
      </w:r>
      <w:r>
        <w:rPr>
          <w:rFonts w:ascii="Arial" w:cs="Arial" w:eastAsia="Arial" w:hAnsi="Arial"/>
          <w:sz w:val="11"/>
          <w:szCs w:val="11"/>
          <w:color w:val="auto"/>
        </w:rPr>
        <w:t>. Notwithstanding any contrary provision of this Agreement, the balance of the Shares of Restricted Stock that have not vested at the time of Participant’s termination as a Service Provider for any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5.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32" w:lineRule="exact"/>
        <w:rPr>
          <w:rFonts w:ascii="Arial" w:cs="Arial" w:eastAsia="Arial" w:hAnsi="Arial"/>
          <w:sz w:val="11"/>
          <w:szCs w:val="11"/>
          <w:color w:val="auto"/>
        </w:rPr>
      </w:pPr>
    </w:p>
    <w:p>
      <w:pPr>
        <w:ind w:right="120" w:firstLine="162"/>
        <w:spacing w:after="0" w:line="276" w:lineRule="auto"/>
        <w:tabs>
          <w:tab w:leader="none" w:pos="295"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4" w:name="page245"/>
    <w:bookmarkEnd w:id="244"/>
    <w:p>
      <w:pPr>
        <w:spacing w:after="0"/>
        <w:rPr>
          <w:sz w:val="20"/>
          <w:szCs w:val="20"/>
          <w:color w:val="auto"/>
        </w:rPr>
      </w:pPr>
      <w:r>
        <w:rPr>
          <w:rFonts w:ascii="Arial" w:cs="Arial" w:eastAsia="Arial" w:hAnsi="Arial"/>
          <w:sz w:val="13"/>
          <w:szCs w:val="13"/>
          <w:color w:val="auto"/>
        </w:rPr>
        <w:t>or her status as transferee, and (b) evidence satisfactory to the Company to establish the validity of the transfer and compliance with any laws or regulations pertaining to said transfer.</w:t>
      </w:r>
    </w:p>
    <w:p>
      <w:pPr>
        <w:spacing w:after="0" w:line="86" w:lineRule="exact"/>
        <w:rPr>
          <w:sz w:val="20"/>
          <w:szCs w:val="20"/>
          <w:color w:val="auto"/>
        </w:rPr>
      </w:pPr>
    </w:p>
    <w:p>
      <w:pPr>
        <w:ind w:right="120" w:firstLine="162"/>
        <w:spacing w:after="0" w:line="285" w:lineRule="auto"/>
        <w:tabs>
          <w:tab w:leader="none" w:pos="295" w:val="left"/>
        </w:tabs>
        <w:numPr>
          <w:ilvl w:val="0"/>
          <w:numId w:val="170"/>
        </w:numPr>
        <w:rPr>
          <w:rFonts w:ascii="Arial" w:cs="Arial" w:eastAsia="Arial" w:hAnsi="Arial"/>
          <w:sz w:val="12"/>
          <w:szCs w:val="12"/>
          <w:color w:val="auto"/>
        </w:rPr>
      </w:pPr>
      <w:r>
        <w:rPr>
          <w:rFonts w:ascii="Arial" w:cs="Arial" w:eastAsia="Arial" w:hAnsi="Arial"/>
          <w:sz w:val="12"/>
          <w:szCs w:val="12"/>
          <w:u w:val="single" w:color="auto"/>
          <w:color w:val="auto"/>
        </w:rPr>
        <w:t>Withholding of Taxes</w:t>
      </w:r>
      <w:r>
        <w:rPr>
          <w:rFonts w:ascii="Arial" w:cs="Arial" w:eastAsia="Arial" w:hAnsi="Arial"/>
          <w:sz w:val="12"/>
          <w:szCs w:val="12"/>
          <w:color w:val="auto"/>
        </w:rPr>
        <w:t>. Notwithstanding any contrary provision of this Agreement, no certificate representing the Shares of Restricted Stock may be released from the escrow established pursuant to Section 5,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Shares otherwise are scheduled to vest pursuant to Sections 3 or 4, Participant will permanently forfeit such Shares and the Shares will be returned to the Company at no cost to the Company.</w:t>
      </w:r>
    </w:p>
    <w:p>
      <w:pPr>
        <w:spacing w:after="0" w:line="45" w:lineRule="exact"/>
        <w:rPr>
          <w:rFonts w:ascii="Arial" w:cs="Arial" w:eastAsia="Arial" w:hAnsi="Arial"/>
          <w:sz w:val="12"/>
          <w:szCs w:val="12"/>
          <w:color w:val="auto"/>
        </w:rPr>
      </w:pPr>
    </w:p>
    <w:p>
      <w:pPr>
        <w:ind w:firstLine="162"/>
        <w:spacing w:after="0" w:line="260" w:lineRule="auto"/>
        <w:tabs>
          <w:tab w:leader="none" w:pos="295"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or the Escrow Agent. Except as provided in Section 2(f), after such issuance, recordation and delivery, Participant will have all the rights of a stockholder of the Company with respect to voting such Shares and receipt of dividends and distributions on such Shares.</w:t>
      </w:r>
    </w:p>
    <w:p>
      <w:pPr>
        <w:spacing w:after="0" w:line="59" w:lineRule="exact"/>
        <w:rPr>
          <w:rFonts w:ascii="Arial" w:cs="Arial" w:eastAsia="Arial" w:hAnsi="Arial"/>
          <w:sz w:val="13"/>
          <w:szCs w:val="13"/>
          <w:color w:val="auto"/>
        </w:rPr>
      </w:pPr>
    </w:p>
    <w:p>
      <w:pPr>
        <w:ind w:right="20" w:firstLine="162"/>
        <w:spacing w:after="0" w:line="256" w:lineRule="auto"/>
        <w:tabs>
          <w:tab w:leader="none" w:pos="295"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No Guarantee of Continued Service</w:t>
      </w:r>
      <w:r>
        <w:rPr>
          <w:rFonts w:ascii="Arial" w:cs="Arial" w:eastAsia="Arial" w:hAnsi="Arial"/>
          <w:sz w:val="13"/>
          <w:szCs w:val="13"/>
          <w:color w:val="auto"/>
        </w:rPr>
        <w:t>. PARTICIPANT ACKNOWLEDGES AND AGREES THAT THE VESTING OF THE SHARES OF RESTRICTED STOCK PURSUANT TO THE VESTING SCHEDULE HEREOF IS EARNED ONLY BY CONTINUING AS A SERVICE PROVIDER AT THE WILL OF THE COMPANY (OR THE PARENT OR SUBSIDIARY EMPLOYING OR RETAINING PARTICIPANT) AND NOT THROUGH THE ACT OF BEING HIRED, BEING GRANTED THIS RESTRICTED STOCK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63" w:lineRule="exact"/>
        <w:rPr>
          <w:rFonts w:ascii="Arial" w:cs="Arial" w:eastAsia="Arial" w:hAnsi="Arial"/>
          <w:sz w:val="13"/>
          <w:szCs w:val="13"/>
          <w:color w:val="auto"/>
        </w:rPr>
      </w:pPr>
    </w:p>
    <w:p>
      <w:pPr>
        <w:ind w:right="40" w:firstLine="162"/>
        <w:spacing w:after="0" w:line="276" w:lineRule="auto"/>
        <w:tabs>
          <w:tab w:leader="none" w:pos="360"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Address for Notices</w:t>
      </w:r>
      <w:r>
        <w:rPr>
          <w:rFonts w:ascii="Arial" w:cs="Arial" w:eastAsia="Arial" w:hAnsi="Arial"/>
          <w:sz w:val="13"/>
          <w:szCs w:val="13"/>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5" w:name="page246"/>
    <w:bookmarkEnd w:id="245"/>
    <w:p>
      <w:pPr>
        <w:ind w:left="-20" w:firstLine="162"/>
        <w:spacing w:after="0" w:line="260" w:lineRule="auto"/>
        <w:tabs>
          <w:tab w:leader="none" w:pos="335"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Grant is Not Transferable</w:t>
      </w:r>
      <w:r>
        <w:rPr>
          <w:rFonts w:ascii="Arial" w:cs="Arial" w:eastAsia="Arial" w:hAnsi="Arial"/>
          <w:sz w:val="13"/>
          <w:szCs w:val="13"/>
          <w:color w:val="auto"/>
        </w:rPr>
        <w:t>. Except to the limited extent provided in Section 6, the unvested Shares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 subject to this grant, or any right or privilege conferred hereby, or upon any attempted sale under any execution, attachment or similar process, this grant and the rights and privileges conferred hereby immediately will become null and void.</w:t>
      </w:r>
    </w:p>
    <w:p>
      <w:pPr>
        <w:spacing w:after="0" w:line="59" w:lineRule="exact"/>
        <w:rPr>
          <w:rFonts w:ascii="Arial" w:cs="Arial" w:eastAsia="Arial" w:hAnsi="Arial"/>
          <w:sz w:val="13"/>
          <w:szCs w:val="13"/>
          <w:color w:val="auto"/>
        </w:rPr>
      </w:pPr>
    </w:p>
    <w:p>
      <w:pPr>
        <w:ind w:left="-20" w:right="500" w:firstLine="162"/>
        <w:spacing w:after="0" w:line="276" w:lineRule="auto"/>
        <w:tabs>
          <w:tab w:leader="none" w:pos="34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Binding Agreement</w:t>
      </w:r>
      <w:r>
        <w:rPr>
          <w:rFonts w:ascii="Arial" w:cs="Arial" w:eastAsia="Arial" w:hAnsi="Arial"/>
          <w:sz w:val="13"/>
          <w:szCs w:val="13"/>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49" w:lineRule="exact"/>
        <w:rPr>
          <w:rFonts w:ascii="Arial" w:cs="Arial" w:eastAsia="Arial" w:hAnsi="Arial"/>
          <w:sz w:val="13"/>
          <w:szCs w:val="13"/>
          <w:color w:val="auto"/>
        </w:rPr>
      </w:pPr>
    </w:p>
    <w:p>
      <w:pPr>
        <w:ind w:left="-20" w:right="20" w:firstLine="162"/>
        <w:spacing w:after="0" w:line="257" w:lineRule="auto"/>
        <w:tabs>
          <w:tab w:leader="none" w:pos="34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Release from Escrow</w:t>
      </w:r>
      <w:r>
        <w:rPr>
          <w:rFonts w:ascii="Arial" w:cs="Arial" w:eastAsia="Arial" w:hAnsi="Arial"/>
          <w:sz w:val="13"/>
          <w:szCs w:val="13"/>
          <w:color w:val="auto"/>
        </w:rPr>
        <w:t>. The Company will not be required to issue any certificate or certificates for Shares hereunder or release such Shares from the escrow established pursuant to Section 2 prior to fulfillment of all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Securities and Exchange Commission or any other governmental regulatory body, which the Administrator will, in its absolute discretion, deem necessary or advisable; (c) the obtaining of any approval or other clearance from any state or federal governmental agency, which the Administrator will, in its absolute discretion, determine to be necessary or advisable; and (d) the lapse of such reasonable period of time following the date of grant of the Restricted Stock as the Administrator may establish from time to time for reasons of administrative convenience.</w:t>
      </w:r>
    </w:p>
    <w:p>
      <w:pPr>
        <w:spacing w:after="0" w:line="61" w:lineRule="exact"/>
        <w:rPr>
          <w:rFonts w:ascii="Arial" w:cs="Arial" w:eastAsia="Arial" w:hAnsi="Arial"/>
          <w:sz w:val="13"/>
          <w:szCs w:val="13"/>
          <w:color w:val="auto"/>
        </w:rPr>
      </w:pPr>
    </w:p>
    <w:p>
      <w:pPr>
        <w:ind w:left="-20" w:firstLine="162"/>
        <w:spacing w:after="0" w:line="276" w:lineRule="auto"/>
        <w:tabs>
          <w:tab w:leader="none" w:pos="34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Plan Governs</w:t>
      </w:r>
      <w:r>
        <w:rPr>
          <w:rFonts w:ascii="Arial" w:cs="Arial" w:eastAsia="Arial" w:hAnsi="Arial"/>
          <w:sz w:val="13"/>
          <w:szCs w:val="13"/>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49" w:lineRule="exact"/>
        <w:rPr>
          <w:rFonts w:ascii="Arial" w:cs="Arial" w:eastAsia="Arial" w:hAnsi="Arial"/>
          <w:sz w:val="13"/>
          <w:szCs w:val="13"/>
          <w:color w:val="auto"/>
        </w:rPr>
      </w:pPr>
    </w:p>
    <w:p>
      <w:pPr>
        <w:ind w:left="-20" w:firstLine="162"/>
        <w:spacing w:after="0" w:line="260" w:lineRule="auto"/>
        <w:tabs>
          <w:tab w:leader="none" w:pos="34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Administrator Authority</w:t>
      </w:r>
      <w:r>
        <w:rPr>
          <w:rFonts w:ascii="Arial" w:cs="Arial" w:eastAsia="Arial" w:hAnsi="Arial"/>
          <w:sz w:val="13"/>
          <w:szCs w:val="13"/>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59" w:lineRule="exact"/>
        <w:rPr>
          <w:rFonts w:ascii="Arial" w:cs="Arial" w:eastAsia="Arial" w:hAnsi="Arial"/>
          <w:sz w:val="13"/>
          <w:szCs w:val="13"/>
          <w:color w:val="auto"/>
        </w:rPr>
      </w:pPr>
    </w:p>
    <w:p>
      <w:pPr>
        <w:ind w:left="-20" w:firstLine="162"/>
        <w:spacing w:after="0" w:line="264" w:lineRule="auto"/>
        <w:tabs>
          <w:tab w:leader="none" w:pos="340"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Electronic Delivery</w:t>
      </w:r>
      <w:r>
        <w:rPr>
          <w:rFonts w:ascii="Arial" w:cs="Arial" w:eastAsia="Arial" w:hAnsi="Arial"/>
          <w:sz w:val="13"/>
          <w:szCs w:val="13"/>
          <w:color w:val="auto"/>
        </w:rPr>
        <w:t>. The Company may, in its sole discretion, decide to deliver any documents related to the Shares of Restricted Stock awarded under the Plan or future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246" w:name="page247"/>
    <w:bookmarkEnd w:id="246"/>
    <w:p>
      <w:pPr>
        <w:ind w:left="360" w:hanging="198"/>
        <w:spacing w:after="0"/>
        <w:tabs>
          <w:tab w:leader="none" w:pos="36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Captions</w:t>
      </w:r>
      <w:r>
        <w:rPr>
          <w:rFonts w:ascii="Arial" w:cs="Arial" w:eastAsia="Arial" w:hAnsi="Arial"/>
          <w:sz w:val="13"/>
          <w:szCs w:val="13"/>
          <w:color w:val="auto"/>
        </w:rPr>
        <w:t>. Captions provided herein are for convenience only and are not to serve as a basis for interpretation or construction of this Agreement.</w:t>
      </w:r>
    </w:p>
    <w:p>
      <w:pPr>
        <w:spacing w:after="0" w:line="86" w:lineRule="exact"/>
        <w:rPr>
          <w:rFonts w:ascii="Arial" w:cs="Arial" w:eastAsia="Arial" w:hAnsi="Arial"/>
          <w:sz w:val="13"/>
          <w:szCs w:val="13"/>
          <w:color w:val="auto"/>
        </w:rPr>
      </w:pPr>
    </w:p>
    <w:p>
      <w:pPr>
        <w:ind w:right="100" w:firstLine="162"/>
        <w:spacing w:after="0" w:line="276" w:lineRule="auto"/>
        <w:tabs>
          <w:tab w:leader="none" w:pos="36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Agreement Severable</w:t>
      </w:r>
      <w:r>
        <w:rPr>
          <w:rFonts w:ascii="Arial" w:cs="Arial" w:eastAsia="Arial" w:hAnsi="Arial"/>
          <w:sz w:val="13"/>
          <w:szCs w:val="13"/>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49" w:lineRule="exact"/>
        <w:rPr>
          <w:rFonts w:ascii="Arial" w:cs="Arial" w:eastAsia="Arial" w:hAnsi="Arial"/>
          <w:sz w:val="13"/>
          <w:szCs w:val="13"/>
          <w:color w:val="auto"/>
        </w:rPr>
      </w:pPr>
    </w:p>
    <w:p>
      <w:pPr>
        <w:ind w:firstLine="162"/>
        <w:spacing w:after="0" w:line="258" w:lineRule="auto"/>
        <w:tabs>
          <w:tab w:leader="none" w:pos="360"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Modifications to the Agreement</w:t>
      </w:r>
      <w:r>
        <w:rPr>
          <w:rFonts w:ascii="Arial" w:cs="Arial" w:eastAsia="Arial" w:hAnsi="Arial"/>
          <w:sz w:val="13"/>
          <w:szCs w:val="13"/>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Internal Revenue Code of 1986, as amended (the “Code”) or to otherwise avoid imposition of any additional tax or income recognition under Section 409A of the Code in connection to this Award of Restricted Stock.</w:t>
      </w:r>
    </w:p>
    <w:p>
      <w:pPr>
        <w:spacing w:after="0" w:line="61" w:lineRule="exact"/>
        <w:rPr>
          <w:rFonts w:ascii="Arial" w:cs="Arial" w:eastAsia="Arial" w:hAnsi="Arial"/>
          <w:sz w:val="13"/>
          <w:szCs w:val="13"/>
          <w:color w:val="auto"/>
        </w:rPr>
      </w:pPr>
    </w:p>
    <w:p>
      <w:pPr>
        <w:ind w:right="160" w:firstLine="162"/>
        <w:spacing w:after="0" w:line="320" w:lineRule="auto"/>
        <w:tabs>
          <w:tab w:leader="none" w:pos="360"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Amendment, Suspension or Termination of the Plan</w:t>
      </w:r>
      <w:r>
        <w:rPr>
          <w:rFonts w:ascii="Arial" w:cs="Arial" w:eastAsia="Arial" w:hAnsi="Arial"/>
          <w:sz w:val="12"/>
          <w:szCs w:val="12"/>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Company at any time.</w:t>
      </w:r>
    </w:p>
    <w:p>
      <w:pPr>
        <w:spacing w:after="0" w:line="25" w:lineRule="exact"/>
        <w:rPr>
          <w:rFonts w:ascii="Arial" w:cs="Arial" w:eastAsia="Arial" w:hAnsi="Arial"/>
          <w:sz w:val="12"/>
          <w:szCs w:val="12"/>
          <w:color w:val="auto"/>
        </w:rPr>
      </w:pPr>
    </w:p>
    <w:p>
      <w:pPr>
        <w:ind w:right="20" w:firstLine="162"/>
        <w:spacing w:after="0" w:line="296" w:lineRule="auto"/>
        <w:tabs>
          <w:tab w:leader="none" w:pos="360"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will be governed by the laws of the State of [California], without giving effect to the conflict of law principles thereof. For purposes of litigating any dispute that arises under this Award of Restricted Stock or this Agreement, the parties hereby submit to and consent to the jurisdiction of the State of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and agree that such litigation will be conducted in the courts of [San Francisco County],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or the federal courts for the United States for the [Northern District of California], and no other courts, where this Award of Restricted Stock is made and/or to be performed.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2008 EQUITY INCENTIVE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GRANT OF RESTRICTED STOCK UNITS</w:t>
      </w:r>
    </w:p>
    <w:p>
      <w:pPr>
        <w:spacing w:after="0" w:line="90"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 xml:space="preserve">Unless otherwise defined herein, the terms defined in the Fluidigm Corporation 2008 Equity Incentive Plan (the “Plan”) will have the same defined meanings in this Notice of Grant of Restricted Stock Units (the “Notice of Grant”) and Terms and Conditions of Restricted Stock Unit Grant,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(together, the “Agreement”).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291465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291465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14650" cy="635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312420</wp:posOffset>
            </wp:positionV>
            <wp:extent cx="291465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Participant has been granted the right to receive an Award of Restricted Stock Units, subject to the terms and conditions of the Plan and this Agreement, as follows: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-88900</wp:posOffset>
            </wp:positionV>
            <wp:extent cx="291465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Subject to any acceleration provisions contained in the Plan or set forth below, the Restricted Stock Unit will vest in accordance with the following schedule: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[VESTING SCHEDULE.]</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In the event Participant ceases to be a Service Provider for any or no reason before Participant vests in the Restricted Stock Unit, the Restricted Stock Unit and Participant’s right to acquire any Shares hereunder will immediately terminate.</w:t>
      </w:r>
    </w:p>
    <w:p>
      <w:pPr>
        <w:spacing w:after="0" w:line="49"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By Participant’s signature and the signature of the Company’s representative below, Participant and the Company agree that this Award of Restricted Stock Units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65"/>
        </w:trPr>
        <w:tc>
          <w:tcPr>
            <w:tcW w:w="4580" w:type="dxa"/>
            <w:vAlign w:val="bottom"/>
            <w:gridSpan w:val="2"/>
          </w:tcPr>
          <w:p>
            <w:pPr>
              <w:spacing w:after="0"/>
              <w:rPr>
                <w:sz w:val="20"/>
                <w:szCs w:val="20"/>
                <w:color w:val="auto"/>
              </w:rPr>
            </w:pPr>
            <w:r>
              <w:rPr>
                <w:rFonts w:ascii="Arial" w:cs="Arial" w:eastAsia="Arial" w:hAnsi="Arial"/>
                <w:sz w:val="13"/>
                <w:szCs w:val="13"/>
                <w:color w:val="auto"/>
              </w:rPr>
              <w:t>PARTICIPANT</w:t>
            </w:r>
          </w:p>
        </w:tc>
        <w:tc>
          <w:tcPr>
            <w:tcW w:w="76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FLUIDIGM CORPORATION</w:t>
            </w:r>
          </w:p>
        </w:tc>
      </w:tr>
      <w:tr>
        <w:trPr>
          <w:trHeight w:val="316"/>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r>
        <w:trPr>
          <w:trHeight w:val="156"/>
        </w:trPr>
        <w:tc>
          <w:tcPr>
            <w:tcW w:w="4580" w:type="dxa"/>
            <w:vAlign w:val="bottom"/>
            <w:gridSpan w:val="2"/>
          </w:tcPr>
          <w:p>
            <w:pPr>
              <w:spacing w:after="0"/>
              <w:rPr>
                <w:sz w:val="20"/>
                <w:szCs w:val="20"/>
                <w:color w:val="auto"/>
              </w:rPr>
            </w:pPr>
            <w:r>
              <w:rPr>
                <w:rFonts w:ascii="Arial" w:cs="Arial" w:eastAsia="Arial" w:hAnsi="Arial"/>
                <w:sz w:val="13"/>
                <w:szCs w:val="13"/>
                <w:color w:val="auto"/>
              </w:rPr>
              <w:t>Signature</w:t>
            </w:r>
          </w:p>
        </w:tc>
        <w:tc>
          <w:tcPr>
            <w:tcW w:w="760" w:type="dxa"/>
            <w:vAlign w:val="bottom"/>
          </w:tcPr>
          <w:p>
            <w:pPr>
              <w:spacing w:after="0"/>
              <w:rPr>
                <w:sz w:val="13"/>
                <w:szCs w:val="13"/>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By</w:t>
            </w:r>
          </w:p>
        </w:tc>
      </w:tr>
      <w:tr>
        <w:trPr>
          <w:trHeight w:val="316"/>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r>
        <w:trPr>
          <w:trHeight w:val="156"/>
        </w:trPr>
        <w:tc>
          <w:tcPr>
            <w:tcW w:w="4580" w:type="dxa"/>
            <w:vAlign w:val="bottom"/>
            <w:gridSpan w:val="2"/>
          </w:tcPr>
          <w:p>
            <w:pPr>
              <w:spacing w:after="0"/>
              <w:rPr>
                <w:sz w:val="20"/>
                <w:szCs w:val="20"/>
                <w:color w:val="auto"/>
              </w:rPr>
            </w:pPr>
            <w:r>
              <w:rPr>
                <w:rFonts w:ascii="Arial" w:cs="Arial" w:eastAsia="Arial" w:hAnsi="Arial"/>
                <w:sz w:val="13"/>
                <w:szCs w:val="13"/>
                <w:color w:val="auto"/>
              </w:rPr>
              <w:t>Print Name</w:t>
            </w:r>
          </w:p>
        </w:tc>
        <w:tc>
          <w:tcPr>
            <w:tcW w:w="760" w:type="dxa"/>
            <w:vAlign w:val="bottom"/>
          </w:tcPr>
          <w:p>
            <w:pPr>
              <w:spacing w:after="0"/>
              <w:rPr>
                <w:sz w:val="13"/>
                <w:szCs w:val="13"/>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Title</w:t>
            </w:r>
          </w:p>
        </w:tc>
      </w:tr>
      <w:tr>
        <w:trPr>
          <w:trHeight w:val="286"/>
        </w:trPr>
        <w:tc>
          <w:tcPr>
            <w:tcW w:w="4580" w:type="dxa"/>
            <w:vAlign w:val="bottom"/>
            <w:gridSpan w:val="2"/>
          </w:tcPr>
          <w:p>
            <w:pPr>
              <w:spacing w:after="0"/>
              <w:rPr>
                <w:sz w:val="20"/>
                <w:szCs w:val="20"/>
                <w:color w:val="auto"/>
              </w:rPr>
            </w:pPr>
            <w:r>
              <w:rPr>
                <w:rFonts w:ascii="Arial" w:cs="Arial" w:eastAsia="Arial" w:hAnsi="Arial"/>
                <w:sz w:val="13"/>
                <w:szCs w:val="13"/>
                <w:color w:val="auto"/>
              </w:rPr>
              <w:t>Address:</w:t>
            </w:r>
          </w:p>
        </w:tc>
        <w:tc>
          <w:tcPr>
            <w:tcW w:w="76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324"/>
        </w:trPr>
        <w:tc>
          <w:tcPr>
            <w:tcW w:w="460" w:type="dxa"/>
            <w:vAlign w:val="bottom"/>
            <w:tcBorders>
              <w:top w:val="single" w:sz="8" w:color="auto"/>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314"/>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120" w:type="dxa"/>
            <w:vAlign w:val="bottom"/>
          </w:tcPr>
          <w:p>
            <w:pPr>
              <w:spacing w:after="0"/>
              <w:rPr>
                <w:sz w:val="24"/>
                <w:szCs w:val="24"/>
                <w:color w:val="auto"/>
              </w:rPr>
            </w:pPr>
          </w:p>
        </w:tc>
      </w:tr>
    </w:tbl>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TERMS AND CONDITIONS OF RESTRICTED STOCK UNIT GRANT</w:t>
      </w:r>
    </w:p>
    <w:p>
      <w:pPr>
        <w:spacing w:after="0" w:line="90" w:lineRule="exact"/>
        <w:rPr>
          <w:sz w:val="20"/>
          <w:szCs w:val="20"/>
          <w:color w:val="auto"/>
        </w:rPr>
      </w:pPr>
    </w:p>
    <w:p>
      <w:pPr>
        <w:ind w:left="1" w:right="400" w:firstLine="162"/>
        <w:spacing w:after="0" w:line="264" w:lineRule="auto"/>
        <w:tabs>
          <w:tab w:leader="none" w:pos="296"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Grant</w:t>
      </w:r>
      <w:r>
        <w:rPr>
          <w:rFonts w:ascii="Arial" w:cs="Arial" w:eastAsia="Arial" w:hAnsi="Arial"/>
          <w:sz w:val="13"/>
          <w:szCs w:val="13"/>
          <w:color w:val="auto"/>
        </w:rPr>
        <w:t>. The Company hereby grants to the Participant named in the Notice of Grant (the “Participant”) under the Plan an Award of Restricted Stock Units, subject to all of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57" w:lineRule="exact"/>
        <w:rPr>
          <w:rFonts w:ascii="Arial" w:cs="Arial" w:eastAsia="Arial" w:hAnsi="Arial"/>
          <w:sz w:val="13"/>
          <w:szCs w:val="13"/>
          <w:color w:val="auto"/>
        </w:rPr>
      </w:pPr>
    </w:p>
    <w:p>
      <w:pPr>
        <w:ind w:left="1" w:firstLine="162"/>
        <w:spacing w:after="0" w:line="257" w:lineRule="auto"/>
        <w:tabs>
          <w:tab w:leader="none" w:pos="296"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Company’s Obligation to Pay</w:t>
      </w:r>
      <w:r>
        <w:rPr>
          <w:rFonts w:ascii="Arial" w:cs="Arial" w:eastAsia="Arial" w:hAnsi="Arial"/>
          <w:sz w:val="13"/>
          <w:szCs w:val="13"/>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obligations as set forth in Section 6. Subject to the provisions of Section 4, such vested Restricted Stock Units will be paid in Shares as soon as practicable after vesting, but in each such case within the period ending no later than the date that is two and one half (2</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7"/>
          <w:szCs w:val="7"/>
          <w:color w:val="auto"/>
        </w:rPr>
        <w:t>2</w:t>
      </w:r>
      <w:r>
        <w:rPr>
          <w:rFonts w:ascii="Arial" w:cs="Arial" w:eastAsia="Arial" w:hAnsi="Arial"/>
          <w:sz w:val="13"/>
          <w:szCs w:val="13"/>
          <w:color w:val="auto"/>
        </w:rPr>
        <w:t>) months from the end of the Company’s tax year that includes the vesting date.</w:t>
      </w:r>
    </w:p>
    <w:p>
      <w:pPr>
        <w:spacing w:after="0" w:line="61" w:lineRule="exact"/>
        <w:rPr>
          <w:rFonts w:ascii="Arial" w:cs="Arial" w:eastAsia="Arial" w:hAnsi="Arial"/>
          <w:sz w:val="13"/>
          <w:szCs w:val="13"/>
          <w:color w:val="auto"/>
        </w:rPr>
      </w:pPr>
    </w:p>
    <w:p>
      <w:pPr>
        <w:ind w:left="1" w:right="160" w:firstLine="162"/>
        <w:spacing w:after="0" w:line="264" w:lineRule="auto"/>
        <w:tabs>
          <w:tab w:leader="none" w:pos="296"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Vesting Schedule</w:t>
      </w:r>
      <w:r>
        <w:rPr>
          <w:rFonts w:ascii="Arial" w:cs="Arial" w:eastAsia="Arial" w:hAnsi="Arial"/>
          <w:sz w:val="13"/>
          <w:szCs w:val="13"/>
          <w:color w:val="auto"/>
        </w:rPr>
        <w:t>. Except as provided in Section 4, and subject to Section 5, the Restricted Stock Units awarded by this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57" w:lineRule="exact"/>
        <w:rPr>
          <w:rFonts w:ascii="Arial" w:cs="Arial" w:eastAsia="Arial" w:hAnsi="Arial"/>
          <w:sz w:val="13"/>
          <w:szCs w:val="13"/>
          <w:color w:val="auto"/>
        </w:rPr>
      </w:pPr>
    </w:p>
    <w:p>
      <w:pPr>
        <w:ind w:left="1" w:right="280" w:firstLine="162"/>
        <w:spacing w:after="0" w:line="276" w:lineRule="auto"/>
        <w:tabs>
          <w:tab w:leader="none" w:pos="296"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Administrator Discretion</w:t>
      </w:r>
      <w:r>
        <w:rPr>
          <w:rFonts w:ascii="Arial" w:cs="Arial" w:eastAsia="Arial" w:hAnsi="Arial"/>
          <w:sz w:val="13"/>
          <w:szCs w:val="13"/>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49" w:lineRule="exact"/>
        <w:rPr>
          <w:sz w:val="20"/>
          <w:szCs w:val="20"/>
          <w:color w:val="auto"/>
        </w:rPr>
      </w:pPr>
    </w:p>
    <w:p>
      <w:pPr>
        <w:ind w:left="1" w:right="440" w:firstLine="328"/>
        <w:spacing w:after="0" w:line="305" w:lineRule="auto"/>
        <w:rPr>
          <w:sz w:val="20"/>
          <w:szCs w:val="20"/>
          <w:color w:val="auto"/>
        </w:rPr>
      </w:pPr>
      <w:r>
        <w:rPr>
          <w:rFonts w:ascii="Arial" w:cs="Arial" w:eastAsia="Arial" w:hAnsi="Arial"/>
          <w:sz w:val="11"/>
          <w:szCs w:val="11"/>
          <w:color w:val="auto"/>
        </w:rPr>
        <w:t>Notwithstanding anything in the Plan or this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 and if</w:t>
      </w:r>
    </w:p>
    <w:p>
      <w:pPr>
        <w:spacing w:after="0" w:line="1" w:lineRule="exact"/>
        <w:rPr>
          <w:sz w:val="20"/>
          <w:szCs w:val="20"/>
          <w:color w:val="auto"/>
        </w:rPr>
      </w:pPr>
    </w:p>
    <w:p>
      <w:pPr>
        <w:ind w:left="1" w:right="280" w:hanging="1"/>
        <w:spacing w:after="0" w:line="290" w:lineRule="auto"/>
        <w:tabs>
          <w:tab w:leader="none" w:pos="187"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250" w:name="page251"/>
    <w:bookmarkEnd w:id="250"/>
    <w:p>
      <w:pPr>
        <w:ind w:right="120"/>
        <w:spacing w:after="0" w:line="260" w:lineRule="auto"/>
        <w:rPr>
          <w:sz w:val="20"/>
          <w:szCs w:val="20"/>
          <w:color w:val="auto"/>
        </w:rPr>
      </w:pPr>
      <w:r>
        <w:rPr>
          <w:rFonts w:ascii="Arial" w:cs="Arial" w:eastAsia="Arial" w:hAnsi="Arial"/>
          <w:sz w:val="13"/>
          <w:szCs w:val="13"/>
          <w:color w:val="auto"/>
        </w:rPr>
        <w:t>following his or her termination as a Service Provider, in which case, the Restricted Stock Units will be paid in Shares to the Participant’s estate as soon as practicable following his or her death. It is the intent of this Agreement to comply with the requirements of Section 409A so that none of the Restricted Stock Units provided under this Agreement or Shares issuable thereunder will be subject to the additional tax imposed under Section 409A, and any ambiguities herein will be interpreted to so comply. For purposes of this Agreement, “Section 409A” means Section 409A of the Internal Revenue Code of 1986, as amended, and any proposed, temporary or final Treasury Regulations and Internal Revenue Service guidance thereunder, as each may be amended from time to time.</w:t>
      </w:r>
    </w:p>
    <w:p>
      <w:pPr>
        <w:spacing w:after="0" w:line="60" w:lineRule="exact"/>
        <w:rPr>
          <w:sz w:val="20"/>
          <w:szCs w:val="20"/>
          <w:color w:val="auto"/>
        </w:rPr>
      </w:pPr>
    </w:p>
    <w:p>
      <w:pPr>
        <w:ind w:right="60" w:firstLine="162"/>
        <w:spacing w:after="0" w:line="276" w:lineRule="auto"/>
        <w:tabs>
          <w:tab w:leader="none" w:pos="295"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Forfeiture upon Termination of Status as a Service Provider</w:t>
      </w:r>
      <w:r>
        <w:rPr>
          <w:rFonts w:ascii="Arial" w:cs="Arial" w:eastAsia="Arial" w:hAnsi="Arial"/>
          <w:sz w:val="13"/>
          <w:szCs w:val="13"/>
          <w:color w:val="auto"/>
        </w:rPr>
        <w:t>. Notwithstanding any contrary provision of this Agreement, the balance of the Restricted Stock Units that have not vested as of the time of Participant’s termination as a Service Provider for any or no reason and Participant’s right to acquire any Shares hereunder will immediately terminate.</w:t>
      </w:r>
    </w:p>
    <w:p>
      <w:pPr>
        <w:spacing w:after="0" w:line="49" w:lineRule="exact"/>
        <w:rPr>
          <w:rFonts w:ascii="Arial" w:cs="Arial" w:eastAsia="Arial" w:hAnsi="Arial"/>
          <w:sz w:val="13"/>
          <w:szCs w:val="13"/>
          <w:color w:val="auto"/>
        </w:rPr>
      </w:pPr>
    </w:p>
    <w:p>
      <w:pPr>
        <w:jc w:val="both"/>
        <w:ind w:right="120" w:firstLine="162"/>
        <w:spacing w:after="0" w:line="264" w:lineRule="auto"/>
        <w:tabs>
          <w:tab w:leader="none" w:pos="295"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57" w:lineRule="exact"/>
        <w:rPr>
          <w:rFonts w:ascii="Arial" w:cs="Arial" w:eastAsia="Arial" w:hAnsi="Arial"/>
          <w:sz w:val="13"/>
          <w:szCs w:val="13"/>
          <w:color w:val="auto"/>
        </w:rPr>
      </w:pPr>
    </w:p>
    <w:p>
      <w:pPr>
        <w:ind w:right="80" w:firstLine="162"/>
        <w:spacing w:after="0" w:line="316" w:lineRule="auto"/>
        <w:tabs>
          <w:tab w:leader="none" w:pos="295" w:val="left"/>
        </w:tabs>
        <w:numPr>
          <w:ilvl w:val="0"/>
          <w:numId w:val="175"/>
        </w:numPr>
        <w:rPr>
          <w:rFonts w:ascii="Arial" w:cs="Arial" w:eastAsia="Arial" w:hAnsi="Arial"/>
          <w:sz w:val="11"/>
          <w:szCs w:val="11"/>
          <w:color w:val="auto"/>
        </w:rPr>
      </w:pPr>
      <w:r>
        <w:rPr>
          <w:rFonts w:ascii="Arial" w:cs="Arial" w:eastAsia="Arial" w:hAnsi="Arial"/>
          <w:sz w:val="11"/>
          <w:szCs w:val="11"/>
          <w:u w:val="single" w:color="auto"/>
          <w:color w:val="auto"/>
        </w:rPr>
        <w:t>Withholding of Taxes</w:t>
      </w:r>
      <w:r>
        <w:rPr>
          <w:rFonts w:ascii="Arial" w:cs="Arial" w:eastAsia="Arial" w:hAnsi="Arial"/>
          <w:sz w:val="11"/>
          <w:szCs w:val="11"/>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32" w:lineRule="exact"/>
        <w:rPr>
          <w:rFonts w:ascii="Arial" w:cs="Arial" w:eastAsia="Arial" w:hAnsi="Arial"/>
          <w:sz w:val="11"/>
          <w:szCs w:val="11"/>
          <w:color w:val="auto"/>
        </w:rPr>
      </w:pPr>
    </w:p>
    <w:p>
      <w:pPr>
        <w:jc w:val="both"/>
        <w:ind w:right="400" w:firstLine="162"/>
        <w:spacing w:after="0" w:line="296" w:lineRule="auto"/>
        <w:tabs>
          <w:tab w:leader="none" w:pos="295" w:val="left"/>
        </w:tabs>
        <w:numPr>
          <w:ilvl w:val="0"/>
          <w:numId w:val="175"/>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35" w:lineRule="exact"/>
        <w:rPr>
          <w:rFonts w:ascii="Arial" w:cs="Arial" w:eastAsia="Arial" w:hAnsi="Arial"/>
          <w:sz w:val="12"/>
          <w:szCs w:val="12"/>
          <w:color w:val="auto"/>
        </w:rPr>
      </w:pPr>
    </w:p>
    <w:p>
      <w:pPr>
        <w:ind w:right="600" w:firstLine="162"/>
        <w:spacing w:after="0" w:line="283" w:lineRule="auto"/>
        <w:tabs>
          <w:tab w:leader="none" w:pos="295" w:val="left"/>
        </w:tabs>
        <w:numPr>
          <w:ilvl w:val="0"/>
          <w:numId w:val="17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Guarantee of Continued Service</w:t>
      </w:r>
      <w:r>
        <w:rPr>
          <w:rFonts w:ascii="Arial" w:cs="Arial" w:eastAsia="Arial" w:hAnsi="Arial"/>
          <w:sz w:val="13"/>
          <w:szCs w:val="13"/>
          <w:b w:val="1"/>
          <w:bCs w:val="1"/>
          <w:color w:val="auto"/>
        </w:rPr>
        <w:t>. PARTICIPANT ACKNOWLEDGES AND AGREES THAT THE VESTING OF THE RESTRICTED STOCK UNITS PURSUANT TO THE VESTING SCHEDULE HEREOF IS EARNED ONLY BY CONTINUING AS A SERVICE PROVIDER AT THE WILL OF THE COMPANY (OR</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1" w:name="page252"/>
    <w:bookmarkEnd w:id="251"/>
    <w:p>
      <w:pPr>
        <w:spacing w:after="0" w:line="258" w:lineRule="auto"/>
        <w:rPr>
          <w:sz w:val="20"/>
          <w:szCs w:val="20"/>
          <w:color w:val="auto"/>
        </w:rPr>
      </w:pPr>
      <w:r>
        <w:rPr>
          <w:rFonts w:ascii="Arial" w:cs="Arial" w:eastAsia="Arial" w:hAnsi="Arial"/>
          <w:sz w:val="13"/>
          <w:szCs w:val="13"/>
          <w:b w:val="1"/>
          <w:bCs w:val="1"/>
          <w:color w:val="auto"/>
        </w:rPr>
        <w:t>THE PARENT OR SUBSIDIARY EMPLOYING OR RETAINING PARTICIPANT) AND NOT THROUGH THE ACT OF BEING HIRED, BEING GRANTED THIS AWARD OF RESTRICTED STOCK UNITS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62" w:lineRule="exact"/>
        <w:rPr>
          <w:sz w:val="20"/>
          <w:szCs w:val="20"/>
          <w:color w:val="auto"/>
        </w:rPr>
      </w:pPr>
    </w:p>
    <w:p>
      <w:pPr>
        <w:ind w:right="40" w:firstLine="162"/>
        <w:spacing w:after="0" w:line="276" w:lineRule="auto"/>
        <w:tabs>
          <w:tab w:leader="none" w:pos="36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Address for Notices</w:t>
      </w:r>
      <w:r>
        <w:rPr>
          <w:rFonts w:ascii="Arial" w:cs="Arial" w:eastAsia="Arial" w:hAnsi="Arial"/>
          <w:sz w:val="13"/>
          <w:szCs w:val="13"/>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49" w:lineRule="exact"/>
        <w:rPr>
          <w:rFonts w:ascii="Arial" w:cs="Arial" w:eastAsia="Arial" w:hAnsi="Arial"/>
          <w:sz w:val="13"/>
          <w:szCs w:val="13"/>
          <w:color w:val="auto"/>
        </w:rPr>
      </w:pPr>
    </w:p>
    <w:p>
      <w:pPr>
        <w:ind w:right="120" w:firstLine="162"/>
        <w:spacing w:after="0" w:line="334" w:lineRule="auto"/>
        <w:tabs>
          <w:tab w:leader="none" w:pos="355" w:val="left"/>
        </w:tabs>
        <w:numPr>
          <w:ilvl w:val="0"/>
          <w:numId w:val="176"/>
        </w:numPr>
        <w:rPr>
          <w:rFonts w:ascii="Arial" w:cs="Arial" w:eastAsia="Arial" w:hAnsi="Arial"/>
          <w:sz w:val="11"/>
          <w:szCs w:val="11"/>
          <w:color w:val="auto"/>
        </w:rPr>
      </w:pPr>
      <w:r>
        <w:rPr>
          <w:rFonts w:ascii="Arial" w:cs="Arial" w:eastAsia="Arial" w:hAnsi="Arial"/>
          <w:sz w:val="11"/>
          <w:szCs w:val="11"/>
          <w:u w:val="single" w:color="auto"/>
          <w:color w:val="auto"/>
        </w:rPr>
        <w:t>Grant is Not Transferable</w:t>
      </w:r>
      <w:r>
        <w:rPr>
          <w:rFonts w:ascii="Arial" w:cs="Arial" w:eastAsia="Arial" w:hAnsi="Arial"/>
          <w:sz w:val="11"/>
          <w:szCs w:val="11"/>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22" w:lineRule="exact"/>
        <w:rPr>
          <w:rFonts w:ascii="Arial" w:cs="Arial" w:eastAsia="Arial" w:hAnsi="Arial"/>
          <w:sz w:val="11"/>
          <w:szCs w:val="11"/>
          <w:color w:val="auto"/>
        </w:rPr>
      </w:pPr>
    </w:p>
    <w:p>
      <w:pPr>
        <w:ind w:right="520" w:firstLine="162"/>
        <w:spacing w:after="0" w:line="276" w:lineRule="auto"/>
        <w:tabs>
          <w:tab w:leader="none" w:pos="36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Binding Agreement</w:t>
      </w:r>
      <w:r>
        <w:rPr>
          <w:rFonts w:ascii="Arial" w:cs="Arial" w:eastAsia="Arial" w:hAnsi="Arial"/>
          <w:sz w:val="13"/>
          <w:szCs w:val="13"/>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49" w:lineRule="exact"/>
        <w:rPr>
          <w:rFonts w:ascii="Arial" w:cs="Arial" w:eastAsia="Arial" w:hAnsi="Arial"/>
          <w:sz w:val="13"/>
          <w:szCs w:val="13"/>
          <w:color w:val="auto"/>
        </w:rPr>
      </w:pPr>
    </w:p>
    <w:p>
      <w:pPr>
        <w:ind w:firstLine="162"/>
        <w:spacing w:after="0" w:line="257" w:lineRule="auto"/>
        <w:tabs>
          <w:tab w:leader="none" w:pos="36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61" w:lineRule="exact"/>
        <w:rPr>
          <w:rFonts w:ascii="Arial" w:cs="Arial" w:eastAsia="Arial" w:hAnsi="Arial"/>
          <w:sz w:val="13"/>
          <w:szCs w:val="13"/>
          <w:color w:val="auto"/>
        </w:rPr>
      </w:pPr>
    </w:p>
    <w:p>
      <w:pPr>
        <w:ind w:right="20" w:firstLine="162"/>
        <w:spacing w:after="0" w:line="276" w:lineRule="auto"/>
        <w:tabs>
          <w:tab w:leader="none" w:pos="36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Plan Governs</w:t>
      </w:r>
      <w:r>
        <w:rPr>
          <w:rFonts w:ascii="Arial" w:cs="Arial" w:eastAsia="Arial" w:hAnsi="Arial"/>
          <w:sz w:val="13"/>
          <w:szCs w:val="13"/>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52" w:name="page253"/>
    <w:bookmarkEnd w:id="252"/>
    <w:p>
      <w:pPr>
        <w:jc w:val="both"/>
        <w:ind w:right="60" w:firstLine="162"/>
        <w:spacing w:after="0" w:line="260" w:lineRule="auto"/>
        <w:tabs>
          <w:tab w:leader="none" w:pos="36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Administrator Authority</w:t>
      </w:r>
      <w:r>
        <w:rPr>
          <w:rFonts w:ascii="Arial" w:cs="Arial" w:eastAsia="Arial" w:hAnsi="Arial"/>
          <w:sz w:val="13"/>
          <w:szCs w:val="13"/>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59" w:lineRule="exact"/>
        <w:rPr>
          <w:rFonts w:ascii="Arial" w:cs="Arial" w:eastAsia="Arial" w:hAnsi="Arial"/>
          <w:sz w:val="13"/>
          <w:szCs w:val="13"/>
          <w:color w:val="auto"/>
        </w:rPr>
      </w:pPr>
    </w:p>
    <w:p>
      <w:pPr>
        <w:ind w:right="20" w:firstLine="162"/>
        <w:spacing w:after="0" w:line="264" w:lineRule="auto"/>
        <w:tabs>
          <w:tab w:leader="none" w:pos="36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Electronic Delivery</w:t>
      </w:r>
      <w:r>
        <w:rPr>
          <w:rFonts w:ascii="Arial" w:cs="Arial" w:eastAsia="Arial" w:hAnsi="Arial"/>
          <w:sz w:val="13"/>
          <w:szCs w:val="13"/>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Captions</w:t>
      </w:r>
      <w:r>
        <w:rPr>
          <w:rFonts w:ascii="Arial" w:cs="Arial" w:eastAsia="Arial" w:hAnsi="Arial"/>
          <w:sz w:val="13"/>
          <w:szCs w:val="13"/>
          <w:color w:val="auto"/>
        </w:rPr>
        <w:t>. Captions provided herein are for convenience only and are not to serve as a basis for interpretation or construction of this Agreement.</w:t>
      </w:r>
    </w:p>
    <w:p>
      <w:pPr>
        <w:spacing w:after="0" w:line="86" w:lineRule="exact"/>
        <w:rPr>
          <w:rFonts w:ascii="Arial" w:cs="Arial" w:eastAsia="Arial" w:hAnsi="Arial"/>
          <w:sz w:val="13"/>
          <w:szCs w:val="13"/>
          <w:color w:val="auto"/>
        </w:rPr>
      </w:pPr>
    </w:p>
    <w:p>
      <w:pPr>
        <w:ind w:right="100" w:firstLine="162"/>
        <w:spacing w:after="0" w:line="276" w:lineRule="auto"/>
        <w:tabs>
          <w:tab w:leader="none" w:pos="36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Agreement Severable</w:t>
      </w:r>
      <w:r>
        <w:rPr>
          <w:rFonts w:ascii="Arial" w:cs="Arial" w:eastAsia="Arial" w:hAnsi="Arial"/>
          <w:sz w:val="13"/>
          <w:szCs w:val="13"/>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49" w:lineRule="exact"/>
        <w:rPr>
          <w:rFonts w:ascii="Arial" w:cs="Arial" w:eastAsia="Arial" w:hAnsi="Arial"/>
          <w:sz w:val="13"/>
          <w:szCs w:val="13"/>
          <w:color w:val="auto"/>
        </w:rPr>
      </w:pPr>
    </w:p>
    <w:p>
      <w:pPr>
        <w:ind w:firstLine="162"/>
        <w:spacing w:after="0" w:line="322" w:lineRule="auto"/>
        <w:tabs>
          <w:tab w:leader="none" w:pos="360" w:val="left"/>
        </w:tabs>
        <w:numPr>
          <w:ilvl w:val="0"/>
          <w:numId w:val="177"/>
        </w:numPr>
        <w:rPr>
          <w:rFonts w:ascii="Arial" w:cs="Arial" w:eastAsia="Arial" w:hAnsi="Arial"/>
          <w:sz w:val="11"/>
          <w:szCs w:val="11"/>
          <w:color w:val="auto"/>
        </w:rPr>
      </w:pPr>
      <w:r>
        <w:rPr>
          <w:rFonts w:ascii="Arial" w:cs="Arial" w:eastAsia="Arial" w:hAnsi="Arial"/>
          <w:sz w:val="11"/>
          <w:szCs w:val="11"/>
          <w:u w:val="single" w:color="auto"/>
          <w:color w:val="auto"/>
        </w:rPr>
        <w:t>Modifications to the Agreement</w:t>
      </w:r>
      <w:r>
        <w:rPr>
          <w:rFonts w:ascii="Arial" w:cs="Arial" w:eastAsia="Arial" w:hAnsi="Arial"/>
          <w:sz w:val="11"/>
          <w:szCs w:val="11"/>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or to otherwise avoid imposition of any additional tax or income recognition under Section 409A in connection to this Award of Restricted Stock Units.</w:t>
      </w:r>
    </w:p>
    <w:p>
      <w:pPr>
        <w:spacing w:after="0" w:line="28" w:lineRule="exact"/>
        <w:rPr>
          <w:rFonts w:ascii="Arial" w:cs="Arial" w:eastAsia="Arial" w:hAnsi="Arial"/>
          <w:sz w:val="11"/>
          <w:szCs w:val="11"/>
          <w:color w:val="auto"/>
        </w:rPr>
      </w:pPr>
    </w:p>
    <w:p>
      <w:pPr>
        <w:ind w:right="60" w:firstLine="162"/>
        <w:spacing w:after="0" w:line="320" w:lineRule="auto"/>
        <w:tabs>
          <w:tab w:leader="none" w:pos="360" w:val="left"/>
        </w:tabs>
        <w:numPr>
          <w:ilvl w:val="0"/>
          <w:numId w:val="177"/>
        </w:numPr>
        <w:rPr>
          <w:rFonts w:ascii="Arial" w:cs="Arial" w:eastAsia="Arial" w:hAnsi="Arial"/>
          <w:sz w:val="12"/>
          <w:szCs w:val="12"/>
          <w:color w:val="auto"/>
        </w:rPr>
      </w:pPr>
      <w:r>
        <w:rPr>
          <w:rFonts w:ascii="Arial" w:cs="Arial" w:eastAsia="Arial" w:hAnsi="Arial"/>
          <w:sz w:val="12"/>
          <w:szCs w:val="12"/>
          <w:u w:val="single" w:color="auto"/>
          <w:color w:val="auto"/>
        </w:rPr>
        <w:t>Amendment, Suspension or Termination of the Plan</w:t>
      </w:r>
      <w:r>
        <w:rPr>
          <w:rFonts w:ascii="Arial" w:cs="Arial" w:eastAsia="Arial" w:hAnsi="Arial"/>
          <w:sz w:val="12"/>
          <w:szCs w:val="1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25" w:lineRule="exact"/>
        <w:rPr>
          <w:rFonts w:ascii="Arial" w:cs="Arial" w:eastAsia="Arial" w:hAnsi="Arial"/>
          <w:sz w:val="12"/>
          <w:szCs w:val="12"/>
          <w:color w:val="auto"/>
        </w:rPr>
      </w:pPr>
    </w:p>
    <w:p>
      <w:pPr>
        <w:jc w:val="both"/>
        <w:ind w:right="20" w:firstLine="162"/>
        <w:spacing w:after="0" w:line="264" w:lineRule="auto"/>
        <w:tabs>
          <w:tab w:leader="none" w:pos="36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will be governed by the laws of the State of [California], without giving effect to the conflict of law principles thereof. For purposes of litigating any dispute that arises under this Award of Restricted Stock Units or this Agreement, the parties hereby submit to and consent to the jurisdiction of the State of [California], and agree that such litigation will be conducted in the courts of [San Francisco County, California], or the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3" w:name="page254"/>
    <w:bookmarkEnd w:id="253"/>
    <w:p>
      <w:pPr>
        <w:spacing w:after="0"/>
        <w:rPr>
          <w:sz w:val="20"/>
          <w:szCs w:val="20"/>
          <w:color w:val="auto"/>
        </w:rPr>
      </w:pPr>
      <w:r>
        <w:rPr>
          <w:rFonts w:ascii="Arial" w:cs="Arial" w:eastAsia="Arial" w:hAnsi="Arial"/>
          <w:sz w:val="13"/>
          <w:szCs w:val="13"/>
          <w:color w:val="auto"/>
        </w:rPr>
        <w:t>federal courts for the United States for the [Northern District of California], and no other courts, where this Award of Restricted Stock Units is made and/or to be performed.</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721" w:right="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April 12, 2008 (except Note 16, as to which the date is September , 2008) in Amendment No. 7 to the Registration Statement (Form S-1 No. 333-150227) and related Prospectus of Fluidigm Corporation for the registration of 6,095,000 shares of its common stock.</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Ernst &amp; Young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September</w:t>
        <w:tab/>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8408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-12065</wp:posOffset>
            </wp:positionV>
            <wp:extent cx="10414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foregoing consent is in the form that will be signed upon completion of the reverse stock split described in Note 16 to the consolidated financial statements.</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September 2,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1)"/>
      <w:numFmt w:val="decimal"/>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1)"/>
      <w:numFmt w:val="decimal"/>
      <w:start w:val="1"/>
    </w:lvl>
  </w:abstractNum>
  <w:abstractNum w:abstractNumId="9">
    <w:nsid w:val="43F18422"/>
    <w:multiLevelType w:val="hybridMultilevel"/>
    <w:lvl w:ilvl="0">
      <w:lvlJc w:val="left"/>
      <w:lvlText w:val="(%1)"/>
      <w:numFmt w:val="decimal"/>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1)"/>
      <w:numFmt w:val="decimal"/>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1)"/>
      <w:numFmt w:val="decimal"/>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
      <w:numFmt w:val="bullet"/>
      <w:start w:val="1"/>
    </w:lvl>
  </w:abstractNum>
  <w:abstractNum w:abstractNumId="40">
    <w:nsid w:val="1D9F6E5F"/>
    <w:multiLevelType w:val="hybridMultilevel"/>
    <w:lvl w:ilvl="0">
      <w:lvlJc w:val="left"/>
      <w:lvlText w:val="•"/>
      <w:numFmt w:val="bullet"/>
      <w:start w:val="1"/>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1)"/>
      <w:numFmt w:val="decimal"/>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
      <w:numFmt w:val="bullet"/>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1)"/>
      <w:numFmt w:val="decimal"/>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1)"/>
      <w:numFmt w:val="decimal"/>
      <w:start w:val="1"/>
    </w:lvl>
  </w:abstractNum>
  <w:abstractNum w:abstractNumId="52">
    <w:nsid w:val="4BD8591A"/>
    <w:multiLevelType w:val="hybridMultilevel"/>
    <w:lvl w:ilvl="0">
      <w:lvlJc w:val="left"/>
      <w:lvlText w:val="(%1)"/>
      <w:numFmt w:val="decimal"/>
      <w:start w:val="1"/>
    </w:lvl>
  </w:abstractNum>
  <w:abstractNum w:abstractNumId="53">
    <w:nsid w:val="78DF6A55"/>
    <w:multiLevelType w:val="hybridMultilevel"/>
    <w:lvl w:ilvl="0">
      <w:lvlJc w:val="left"/>
      <w:lvlText w:val="(%1)"/>
      <w:numFmt w:val="decimal"/>
      <w:start w:val="1"/>
    </w:lvl>
  </w:abstractNum>
  <w:abstractNum w:abstractNumId="54">
    <w:nsid w:val="39B7AAA2"/>
    <w:multiLevelType w:val="hybridMultilevel"/>
    <w:lvl w:ilvl="0">
      <w:lvlJc w:val="left"/>
      <w:lvlText w:val="(%1)"/>
      <w:numFmt w:val="decimal"/>
      <w:start w:val="10"/>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1)"/>
      <w:numFmt w:val="decimal"/>
      <w:start w:val="1"/>
    </w:lvl>
  </w:abstractNum>
  <w:abstractNum w:abstractNumId="62">
    <w:nsid w:val="1DF029D3"/>
    <w:multiLevelType w:val="hybridMultilevel"/>
    <w:lvl w:ilvl="0">
      <w:lvlJc w:val="left"/>
      <w:lvlText w:val="•"/>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1)"/>
      <w:numFmt w:val="decimal"/>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
      <w:numFmt w:val="bullet"/>
      <w:start w:val="1"/>
    </w:lvl>
  </w:abstractNum>
  <w:abstractNum w:abstractNumId="68">
    <w:nsid w:val="175DFCF0"/>
    <w:multiLevelType w:val="hybridMultilevel"/>
    <w:lvl w:ilvl="0">
      <w:lvlJc w:val="left"/>
      <w:lvlText w:val="(%1)"/>
      <w:numFmt w:val="decimal"/>
      <w:start w:val="1"/>
    </w:lvl>
  </w:abstractNum>
  <w:abstractNum w:abstractNumId="69">
    <w:nsid w:val="4F97E3E4"/>
    <w:multiLevelType w:val="hybridMultilevel"/>
    <w:lvl w:ilvl="0">
      <w:lvlJc w:val="left"/>
      <w:lvlText w:val="(%1)"/>
      <w:numFmt w:val="decimal"/>
      <w:start w:val="2"/>
    </w:lvl>
  </w:abstractNum>
  <w:abstractNum w:abstractNumId="70">
    <w:nsid w:val="53B0A9E"/>
    <w:multiLevelType w:val="hybridMultilevel"/>
    <w:lvl w:ilvl="0">
      <w:lvlJc w:val="left"/>
      <w:lvlText w:val="(%1)"/>
      <w:numFmt w:val="decimal"/>
      <w:start w:val="9"/>
    </w:lvl>
  </w:abstractNum>
  <w:abstractNum w:abstractNumId="71">
    <w:nsid w:val="34FD6B4F"/>
    <w:multiLevelType w:val="hybridMultilevel"/>
    <w:lvl w:ilvl="0">
      <w:lvlJc w:val="left"/>
      <w:lvlText w:val="•"/>
      <w:numFmt w:val="bullet"/>
      <w:start w:val="1"/>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
      <w:numFmt w:val="bullet"/>
      <w:start w:val="1"/>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
      <w:numFmt w:val="bullet"/>
      <w:start w:val="1"/>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
      <w:numFmt w:val="bullet"/>
      <w:start w:val="1"/>
    </w:lvl>
  </w:abstractNum>
  <w:abstractNum w:abstractNumId="78">
    <w:nsid w:val="5046B5A9"/>
    <w:multiLevelType w:val="hybridMultilevel"/>
    <w:lvl w:ilvl="0">
      <w:lvlJc w:val="left"/>
      <w:lvlText w:val="•"/>
      <w:numFmt w:val="bullet"/>
      <w:start w:val="1"/>
    </w:lvl>
  </w:abstractNum>
  <w:abstractNum w:abstractNumId="79">
    <w:nsid w:val="5D888A08"/>
    <w:multiLevelType w:val="hybridMultilevel"/>
    <w:lvl w:ilvl="0">
      <w:lvlJc w:val="left"/>
      <w:lvlText w:val="•"/>
      <w:numFmt w:val="bullet"/>
      <w:start w:val="1"/>
    </w:lvl>
  </w:abstractNum>
  <w:abstractNum w:abstractNumId="80">
    <w:nsid w:val="2A082C70"/>
    <w:multiLevelType w:val="hybridMultilevel"/>
    <w:lvl w:ilvl="0">
      <w:lvlJc w:val="left"/>
      <w:lvlText w:val="•"/>
      <w:numFmt w:val="bullet"/>
      <w:start w:val="1"/>
    </w:lvl>
  </w:abstractNum>
  <w:abstractNum w:abstractNumId="81">
    <w:nsid w:val="5EC6AFD4"/>
    <w:multiLevelType w:val="hybridMultilevel"/>
    <w:lvl w:ilvl="0">
      <w:lvlJc w:val="left"/>
      <w:lvlText w:val="•"/>
      <w:numFmt w:val="bullet"/>
      <w:start w:val="1"/>
    </w:lvl>
  </w:abstractNum>
  <w:abstractNum w:abstractNumId="82">
    <w:nsid w:val="19E21BB2"/>
    <w:multiLevelType w:val="hybridMultilevel"/>
    <w:lvl w:ilvl="0">
      <w:lvlJc w:val="left"/>
      <w:lvlText w:val="•"/>
      <w:numFmt w:val="bullet"/>
      <w:start w:val="1"/>
    </w:lvl>
  </w:abstractNum>
  <w:abstractNum w:abstractNumId="83">
    <w:nsid w:val="75E0858A"/>
    <w:multiLevelType w:val="hybridMultilevel"/>
    <w:lvl w:ilvl="0">
      <w:lvlJc w:val="left"/>
      <w:lvlText w:val="•"/>
      <w:numFmt w:val="bullet"/>
      <w:start w:val="1"/>
    </w:lvl>
  </w:abstractNum>
  <w:abstractNum w:abstractNumId="84">
    <w:nsid w:val="57A61A29"/>
    <w:multiLevelType w:val="hybridMultilevel"/>
    <w:lvl w:ilvl="0">
      <w:lvlJc w:val="left"/>
      <w:lvlText w:val="•"/>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
      <w:numFmt w:val="bullet"/>
      <w:start w:val="1"/>
    </w:lvl>
  </w:abstractNum>
  <w:abstractNum w:abstractNumId="87">
    <w:nsid w:val="4427069A"/>
    <w:multiLevelType w:val="hybridMultilevel"/>
    <w:lvl w:ilvl="0">
      <w:lvlJc w:val="left"/>
      <w:lvlText w:val="•"/>
      <w:numFmt w:val="bullet"/>
      <w:start w:val="1"/>
    </w:lvl>
  </w:abstractNum>
  <w:abstractNum w:abstractNumId="88">
    <w:nsid w:val="B37E80A"/>
    <w:multiLevelType w:val="hybridMultilevel"/>
    <w:lvl w:ilvl="0">
      <w:lvlJc w:val="left"/>
      <w:lvlText w:val="•"/>
      <w:numFmt w:val="bullet"/>
      <w:start w:val="1"/>
    </w:lvl>
  </w:abstractNum>
  <w:abstractNum w:abstractNumId="89">
    <w:nsid w:val="2157F6BC"/>
    <w:multiLevelType w:val="hybridMultilevel"/>
    <w:lvl w:ilvl="0">
      <w:lvlJc w:val="left"/>
      <w:lvlText w:val="%1."/>
      <w:numFmt w:val="decimal"/>
      <w:start w:val="1"/>
    </w:lvl>
  </w:abstractNum>
  <w:abstractNum w:abstractNumId="90">
    <w:nsid w:val="704E1DD5"/>
    <w:multiLevelType w:val="hybridMultilevel"/>
    <w:lvl w:ilvl="0">
      <w:lvlJc w:val="left"/>
      <w:lvlText w:val="%1."/>
      <w:numFmt w:val="decimal"/>
      <w:start w:val="2"/>
    </w:lvl>
  </w:abstractNum>
  <w:abstractNum w:abstractNumId="91">
    <w:nsid w:val="57D2F10E"/>
    <w:multiLevelType w:val="hybridMultilevel"/>
    <w:lvl w:ilvl="0">
      <w:lvlJc w:val="left"/>
      <w:lvlText w:val="%1."/>
      <w:numFmt w:val="decimal"/>
      <w:start w:val="3"/>
    </w:lvl>
  </w:abstractNum>
  <w:abstractNum w:abstractNumId="92">
    <w:nsid w:val="BFFAE18"/>
    <w:multiLevelType w:val="hybridMultilevel"/>
    <w:lvl w:ilvl="0">
      <w:lvlJc w:val="left"/>
      <w:lvlText w:val="%1."/>
      <w:numFmt w:val="decimal"/>
      <w:start w:val="5"/>
    </w:lvl>
  </w:abstractNum>
  <w:abstractNum w:abstractNumId="93">
    <w:nsid w:val="E3E47A8"/>
    <w:multiLevelType w:val="hybridMultilevel"/>
    <w:lvl w:ilvl="0">
      <w:lvlJc w:val="left"/>
      <w:lvlText w:val="%1."/>
      <w:numFmt w:val="decimal"/>
      <w:start w:val="6"/>
    </w:lvl>
  </w:abstractNum>
  <w:abstractNum w:abstractNumId="94">
    <w:nsid w:val="2E48F044"/>
    <w:multiLevelType w:val="hybridMultilevel"/>
    <w:lvl w:ilvl="0">
      <w:lvlJc w:val="left"/>
      <w:lvlText w:val="%1."/>
      <w:numFmt w:val="decimal"/>
      <w:start w:val="7"/>
    </w:lvl>
  </w:abstractNum>
  <w:abstractNum w:abstractNumId="95">
    <w:nsid w:val="49D0FEAC"/>
    <w:multiLevelType w:val="hybridMultilevel"/>
    <w:lvl w:ilvl="0">
      <w:lvlJc w:val="left"/>
      <w:lvlText w:val="%1."/>
      <w:numFmt w:val="decimal"/>
      <w:start w:val="8"/>
    </w:lvl>
  </w:abstractNum>
  <w:abstractNum w:abstractNumId="96">
    <w:nsid w:val="4BEE5A5B"/>
    <w:multiLevelType w:val="hybridMultilevel"/>
    <w:lvl w:ilvl="0">
      <w:lvlJc w:val="left"/>
      <w:lvlText w:val="%1."/>
      <w:numFmt w:val="decimal"/>
      <w:start w:val="9"/>
    </w:lvl>
  </w:abstractNum>
  <w:abstractNum w:abstractNumId="97">
    <w:nsid w:val="5551B9F3"/>
    <w:multiLevelType w:val="hybridMultilevel"/>
    <w:lvl w:ilvl="0">
      <w:lvlJc w:val="left"/>
      <w:lvlText w:val="%1."/>
      <w:numFmt w:val="decimal"/>
      <w:start w:val="10"/>
    </w:lvl>
  </w:abstractNum>
  <w:abstractNum w:abstractNumId="98">
    <w:nsid w:val="24F6AB8E"/>
    <w:multiLevelType w:val="hybridMultilevel"/>
    <w:lvl w:ilvl="0">
      <w:lvlJc w:val="left"/>
      <w:lvlText w:val="%1."/>
      <w:numFmt w:val="decimal"/>
      <w:start w:val="11"/>
    </w:lvl>
  </w:abstractNum>
  <w:abstractNum w:abstractNumId="99">
    <w:nsid w:val="634C574C"/>
    <w:multiLevelType w:val="hybridMultilevel"/>
    <w:lvl w:ilvl="0">
      <w:lvlJc w:val="left"/>
      <w:lvlText w:val="%1."/>
      <w:numFmt w:val="decimal"/>
      <w:start w:val="13"/>
    </w:lvl>
  </w:abstractNum>
  <w:abstractNum w:abstractNumId="100">
    <w:nsid w:val="24E99DD7"/>
    <w:multiLevelType w:val="hybridMultilevel"/>
    <w:lvl w:ilvl="0">
      <w:lvlJc w:val="left"/>
      <w:lvlText w:val="%1."/>
      <w:numFmt w:val="decimal"/>
      <w:start w:val="14"/>
    </w:lvl>
  </w:abstractNum>
  <w:abstractNum w:abstractNumId="101">
    <w:nsid w:val="2A31B62D"/>
    <w:multiLevelType w:val="hybridMultilevel"/>
    <w:lvl w:ilvl="0">
      <w:lvlJc w:val="left"/>
      <w:lvlText w:val="%1."/>
      <w:numFmt w:val="decimal"/>
      <w:start w:val="15"/>
    </w:lvl>
  </w:abstractNum>
  <w:abstractNum w:abstractNumId="102">
    <w:nsid w:val="1849C29B"/>
    <w:multiLevelType w:val="hybridMultilevel"/>
    <w:lvl w:ilvl="0">
      <w:lvlJc w:val="left"/>
      <w:lvlText w:val="%1."/>
      <w:numFmt w:val="decimal"/>
      <w:start w:val="16"/>
    </w:lvl>
  </w:abstractNum>
  <w:abstractNum w:abstractNumId="103">
    <w:nsid w:val="7DFF9D09"/>
    <w:multiLevelType w:val="hybridMultilevel"/>
    <w:lvl w:ilvl="0">
      <w:lvlJc w:val="left"/>
      <w:lvlText w:val="•"/>
      <w:numFmt w:val="bullet"/>
      <w:start w:val="1"/>
    </w:lvl>
  </w:abstractNum>
  <w:abstractNum w:abstractNumId="104">
    <w:nsid w:val="754342"/>
    <w:multiLevelType w:val="hybridMultilevel"/>
    <w:lvl w:ilvl="0">
      <w:lvlJc w:val="left"/>
      <w:lvlText w:val="•"/>
      <w:numFmt w:val="bullet"/>
      <w:start w:val="1"/>
    </w:lvl>
  </w:abstractNum>
  <w:abstractNum w:abstractNumId="105">
    <w:nsid w:val="69E7F3E5"/>
    <w:multiLevelType w:val="hybridMultilevel"/>
    <w:lvl w:ilvl="0">
      <w:lvlJc w:val="left"/>
      <w:lvlText w:val="(%1)"/>
      <w:numFmt w:val="lowerLetter"/>
      <w:start w:val="1"/>
    </w:lvl>
  </w:abstractNum>
  <w:abstractNum w:abstractNumId="106">
    <w:nsid w:val="2A6DE806"/>
    <w:multiLevelType w:val="hybridMultilevel"/>
    <w:lvl w:ilvl="0">
      <w:lvlJc w:val="left"/>
      <w:lvlText w:val="(%1)"/>
      <w:numFmt w:val="lowerLetter"/>
      <w:start w:val="4"/>
    </w:lvl>
  </w:abstractNum>
  <w:abstractNum w:abstractNumId="107">
    <w:nsid w:val="1816F8C4"/>
    <w:multiLevelType w:val="hybridMultilevel"/>
    <w:lvl w:ilvl="0">
      <w:lvlJc w:val="left"/>
      <w:lvlText w:val="(%1)"/>
      <w:numFmt w:val="lowerLetter"/>
      <w:start w:val="7"/>
    </w:lvl>
  </w:abstractNum>
  <w:abstractNum w:abstractNumId="108">
    <w:nsid w:val="37DF2233"/>
    <w:multiLevelType w:val="hybridMultilevel"/>
    <w:lvl w:ilvl="0">
      <w:lvlJc w:val="left"/>
      <w:lvlText w:val="(%1)"/>
      <w:numFmt w:val="lowerLetter"/>
      <w:start w:val="19"/>
    </w:lvl>
  </w:abstractNum>
  <w:abstractNum w:abstractNumId="109">
    <w:nsid w:val="7AB49DAF"/>
    <w:multiLevelType w:val="hybridMultilevel"/>
    <w:lvl w:ilvl="0">
      <w:lvlJc w:val="left"/>
      <w:lvlText w:val="•"/>
      <w:numFmt w:val="bullet"/>
      <w:start w:val="1"/>
    </w:lvl>
  </w:abstractNum>
  <w:abstractNum w:abstractNumId="110">
    <w:nsid w:val="759F82CD"/>
    <w:multiLevelType w:val="hybridMultilevel"/>
    <w:lvl w:ilvl="0">
      <w:lvlJc w:val="left"/>
      <w:lvlText w:val="(%1)"/>
      <w:numFmt w:val="decimal"/>
      <w:start w:val="1"/>
    </w:lvl>
    <w:lvl w:ilvl="1">
      <w:lvlJc w:val="left"/>
      <w:lvlText w:val="(%2)"/>
      <w:numFmt w:val="lowerLetter"/>
      <w:start w:val="2"/>
    </w:lvl>
  </w:abstractNum>
  <w:abstractNum w:abstractNumId="111">
    <w:nsid w:val="61E74EA3"/>
    <w:multiLevelType w:val="hybridMultilevel"/>
    <w:lvl w:ilvl="0">
      <w:lvlJc w:val="left"/>
      <w:lvlText w:val="(%1)"/>
      <w:numFmt w:val="decimal"/>
      <w:start w:val="1"/>
    </w:lvl>
  </w:abstractNum>
  <w:abstractNum w:abstractNumId="112">
    <w:nsid w:val="597B4D84"/>
    <w:multiLevelType w:val="hybridMultilevel"/>
    <w:lvl w:ilvl="0">
      <w:lvlJc w:val="left"/>
      <w:lvlText w:val="(%1)"/>
      <w:numFmt w:val="decimal"/>
      <w:start w:val="4"/>
    </w:lvl>
    <w:lvl w:ilvl="1">
      <w:lvlJc w:val="left"/>
      <w:lvlText w:val="(%2)"/>
      <w:numFmt w:val="lowerRoman"/>
      <w:start w:val="1"/>
    </w:lvl>
  </w:abstractNum>
  <w:abstractNum w:abstractNumId="113">
    <w:nsid w:val="F819E7F"/>
    <w:multiLevelType w:val="hybridMultilevel"/>
    <w:lvl w:ilvl="0">
      <w:lvlJc w:val="left"/>
      <w:lvlText w:val="(%1)"/>
      <w:numFmt w:val="decimal"/>
      <w:start w:val="1"/>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2"/>
    </w:lvl>
  </w:abstractNum>
  <w:abstractNum w:abstractNumId="116">
    <w:nsid w:val="631B64D4"/>
    <w:multiLevelType w:val="hybridMultilevel"/>
    <w:lvl w:ilvl="0">
      <w:lvlJc w:val="left"/>
      <w:lvlText w:val="(%1)"/>
      <w:numFmt w:val="lowerLetter"/>
      <w:start w:val="1"/>
    </w:lvl>
  </w:abstractNum>
  <w:abstractNum w:abstractNumId="117">
    <w:nsid w:val="78B5E776"/>
    <w:multiLevelType w:val="hybridMultilevel"/>
    <w:lvl w:ilvl="0">
      <w:lvlJc w:val="left"/>
      <w:lvlText w:val="(%1)"/>
      <w:numFmt w:val="decimal"/>
      <w:start w:val="30"/>
    </w:lvl>
  </w:abstractNum>
  <w:abstractNum w:abstractNumId="118">
    <w:nsid w:val="75486E47"/>
    <w:multiLevelType w:val="hybridMultilevel"/>
    <w:lvl w:ilvl="0">
      <w:lvlJc w:val="left"/>
      <w:lvlText w:val="(%1)"/>
      <w:numFmt w:val="lowerLetter"/>
      <w:start w:val="1"/>
    </w:lvl>
  </w:abstractNum>
  <w:abstractNum w:abstractNumId="119">
    <w:nsid w:val="6E534CDE"/>
    <w:multiLevelType w:val="hybridMultilevel"/>
    <w:lvl w:ilvl="0">
      <w:lvlJc w:val="left"/>
      <w:lvlText w:val="(%1)"/>
      <w:numFmt w:val="lowerLetter"/>
      <w:start w:val="1"/>
    </w:lvl>
  </w:abstractNum>
  <w:abstractNum w:abstractNumId="120">
    <w:nsid w:val="1A0DDE32"/>
    <w:multiLevelType w:val="hybridMultilevel"/>
    <w:lvl w:ilvl="0">
      <w:lvlJc w:val="left"/>
      <w:lvlText w:val="(%1)"/>
      <w:numFmt w:val="lowerLetter"/>
      <w:start w:val="1"/>
    </w:lvl>
  </w:abstractNum>
  <w:abstractNum w:abstractNumId="121">
    <w:nsid w:val="65968C1C"/>
    <w:multiLevelType w:val="hybridMultilevel"/>
    <w:lvl w:ilvl="0">
      <w:lvlJc w:val="left"/>
      <w:lvlText w:val="(%1)"/>
      <w:numFmt w:val="lowerLetter"/>
      <w:start w:val="1"/>
    </w:lvl>
  </w:abstractNum>
  <w:abstractNum w:abstractNumId="122">
    <w:nsid w:val="46263DEC"/>
    <w:multiLevelType w:val="hybridMultilevel"/>
    <w:lvl w:ilvl="0">
      <w:lvlJc w:val="left"/>
      <w:lvlText w:val="(%1)"/>
      <w:numFmt w:val="lowerRoman"/>
      <w:start w:val="1"/>
    </w:lvl>
  </w:abstractNum>
  <w:abstractNum w:abstractNumId="123">
    <w:nsid w:val="260D8C4A"/>
    <w:multiLevelType w:val="hybridMultilevel"/>
    <w:lvl w:ilvl="0">
      <w:lvlJc w:val="left"/>
      <w:lvlText w:val="(%1)"/>
      <w:numFmt w:val="lowerRoman"/>
      <w:start w:val="3"/>
    </w:lvl>
  </w:abstractNum>
  <w:abstractNum w:abstractNumId="124">
    <w:nsid w:val="73D4D3C4"/>
    <w:multiLevelType w:val="hybridMultilevel"/>
    <w:lvl w:ilvl="0">
      <w:lvlJc w:val="left"/>
      <w:lvlText w:val="(%1)"/>
      <w:numFmt w:val="lowerLetter"/>
      <w:start w:val="1"/>
    </w:lvl>
  </w:abstractNum>
  <w:abstractNum w:abstractNumId="125">
    <w:nsid w:val="746F2E30"/>
    <w:multiLevelType w:val="hybridMultilevel"/>
    <w:lvl w:ilvl="0">
      <w:lvlJc w:val="left"/>
      <w:lvlText w:val="%1"/>
      <w:numFmt w:val="lowerRoman"/>
      <w:start w:val="1"/>
    </w:lvl>
    <w:lvl w:ilvl="1">
      <w:lvlJc w:val="left"/>
      <w:lvlText w:val="(%2)"/>
      <w:numFmt w:val="lowerLetter"/>
      <w:start w:val="1"/>
    </w:lvl>
  </w:abstractNum>
  <w:abstractNum w:abstractNumId="126">
    <w:nsid w:val="6FDE8AF6"/>
    <w:multiLevelType w:val="hybridMultilevel"/>
    <w:lvl w:ilvl="0">
      <w:lvlJc w:val="left"/>
      <w:lvlText w:val="(%1)"/>
      <w:numFmt w:val="lowerRoman"/>
      <w:start w:val="1"/>
    </w:lvl>
    <w:lvl w:ilvl="1">
      <w:lvlJc w:val="left"/>
      <w:lvlText w:val="%2"/>
      <w:numFmt w:val="lowerLetter"/>
      <w:start w:val="1"/>
    </w:lvl>
  </w:abstractNum>
  <w:abstractNum w:abstractNumId="127">
    <w:nsid w:val="3FC32E20"/>
    <w:multiLevelType w:val="hybridMultilevel"/>
    <w:lvl w:ilvl="0">
      <w:lvlJc w:val="left"/>
      <w:lvlText w:val="%1."/>
      <w:numFmt w:val="decimal"/>
      <w:start w:val="1"/>
    </w:lvl>
    <w:lvl w:ilvl="1">
      <w:lvlJc w:val="left"/>
      <w:lvlText w:val="•"/>
      <w:numFmt w:val="bullet"/>
      <w:start w:val="1"/>
    </w:lvl>
  </w:abstractNum>
  <w:abstractNum w:abstractNumId="128">
    <w:nsid w:val="49C0E82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9">
    <w:nsid w:val="14D53685"/>
    <w:multiLevelType w:val="hybridMultilevel"/>
    <w:lvl w:ilvl="0">
      <w:lvlJc w:val="left"/>
      <w:lvlText w:val="(%1)"/>
      <w:numFmt w:val="lowerRoman"/>
      <w:start w:val="2"/>
    </w:lvl>
  </w:abstractNum>
  <w:abstractNum w:abstractNumId="130">
    <w:nsid w:val="230F856C"/>
    <w:multiLevelType w:val="hybridMultilevel"/>
    <w:lvl w:ilvl="0">
      <w:lvlJc w:val="left"/>
      <w:lvlText w:val="(%1)"/>
      <w:numFmt w:val="lowerLetter"/>
      <w:start w:val="7"/>
    </w:lvl>
  </w:abstractNum>
  <w:abstractNum w:abstractNumId="131">
    <w:nsid w:val="6EAA85FB"/>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32">
    <w:nsid w:val="3F06ECB2"/>
    <w:multiLevelType w:val="hybridMultilevel"/>
    <w:lvl w:ilvl="0">
      <w:lvlJc w:val="left"/>
      <w:lvlText w:val="(%1)"/>
      <w:numFmt w:val="lowerLetter"/>
      <w:start w:val="61"/>
    </w:lvl>
    <w:lvl w:ilvl="1">
      <w:lvlJc w:val="left"/>
      <w:lvlText w:val="(%2)"/>
      <w:numFmt w:val="lowerLetter"/>
      <w:start w:val="17"/>
    </w:lvl>
    <w:lvl w:ilvl="2">
      <w:lvlJc w:val="left"/>
      <w:lvlText w:val="(%3)"/>
      <w:numFmt w:val="lowerRoman"/>
      <w:start w:val="1"/>
    </w:lvl>
  </w:abstractNum>
  <w:abstractNum w:abstractNumId="133">
    <w:nsid w:val="3B594807"/>
    <w:multiLevelType w:val="hybridMultilevel"/>
    <w:lvl w:ilvl="0">
      <w:lvlJc w:val="left"/>
      <w:lvlText w:val="(%1)"/>
      <w:numFmt w:val="lowerLetter"/>
      <w:start w:val="19"/>
    </w:lvl>
  </w:abstractNum>
  <w:abstractNum w:abstractNumId="134">
    <w:nsid w:val="6CAA2304"/>
    <w:multiLevelType w:val="hybridMultilevel"/>
    <w:lvl w:ilvl="0">
      <w:lvlJc w:val="left"/>
      <w:lvlText w:val="(%1)"/>
      <w:numFmt w:val="lowerLetter"/>
      <w:start w:val="27"/>
    </w:lvl>
  </w:abstractNum>
  <w:abstractNum w:abstractNumId="135">
    <w:nsid w:val="3F7C2FF4"/>
    <w:multiLevelType w:val="hybridMultilevel"/>
    <w:lvl w:ilvl="0">
      <w:lvlJc w:val="left"/>
      <w:lvlText w:val="%1"/>
      <w:numFmt w:val="decimal"/>
      <w:start w:val="1"/>
    </w:lvl>
    <w:lvl w:ilvl="1">
      <w:lvlJc w:val="left"/>
      <w:lvlText w:val="(%2)"/>
      <w:numFmt w:val="lowerLetter"/>
      <w:start w:val="34"/>
    </w:lvl>
  </w:abstractNum>
  <w:abstractNum w:abstractNumId="136">
    <w:nsid w:val="25413BEC"/>
    <w:multiLevelType w:val="hybridMultilevel"/>
    <w:lvl w:ilvl="0">
      <w:lvlJc w:val="left"/>
      <w:lvlText w:val="%1."/>
      <w:numFmt w:val="decimal"/>
      <w:start w:val="3"/>
    </w:lvl>
    <w:lvl w:ilvl="1">
      <w:lvlJc w:val="left"/>
      <w:lvlText w:val="(%2)"/>
      <w:numFmt w:val="lowerLetter"/>
      <w:start w:val="1"/>
    </w:lvl>
  </w:abstractNum>
  <w:abstractNum w:abstractNumId="137">
    <w:nsid w:val="17180B0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8">
    <w:nsid w:val="579328B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9">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40">
    <w:nsid w:val="11CCA8B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1">
    <w:nsid w:val="4D32AB8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2">
    <w:nsid w:val="3F07ACC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43">
    <w:nsid w:val="6B47F63E"/>
    <w:multiLevelType w:val="hybridMultilevel"/>
    <w:lvl w:ilvl="0">
      <w:lvlJc w:val="left"/>
      <w:lvlText w:val="(%1)"/>
      <w:numFmt w:val="lowerLetter"/>
      <w:start w:val="4"/>
    </w:lvl>
    <w:lvl w:ilvl="1">
      <w:lvlJc w:val="left"/>
      <w:lvlText w:val="(%2)"/>
      <w:numFmt w:val="lowerLetter"/>
      <w:start w:val="9"/>
    </w:lvl>
  </w:abstractNum>
  <w:abstractNum w:abstractNumId="144">
    <w:nsid w:val="5CB44A05"/>
    <w:multiLevelType w:val="hybridMultilevel"/>
    <w:lvl w:ilvl="0">
      <w:lvlJc w:val="left"/>
      <w:lvlText w:val="(%1)"/>
      <w:numFmt w:val="lowerRoman"/>
      <w:start w:val="2"/>
    </w:lvl>
  </w:abstractNum>
  <w:abstractNum w:abstractNumId="145">
    <w:nsid w:val="16CF80F1"/>
    <w:multiLevelType w:val="hybridMultilevel"/>
    <w:lvl w:ilvl="0">
      <w:lvlJc w:val="left"/>
      <w:lvlText w:val="(%1)"/>
      <w:numFmt w:val="lowerRoman"/>
      <w:start w:val="2"/>
    </w:lvl>
  </w:abstractNum>
  <w:abstractNum w:abstractNumId="146">
    <w:nsid w:val="1C695D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7">
    <w:nsid w:val="3FCFAED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8">
    <w:nsid w:val="F856867"/>
    <w:multiLevelType w:val="hybridMultilevel"/>
    <w:lvl w:ilvl="0">
      <w:lvlJc w:val="left"/>
      <w:lvlText w:val="%1"/>
      <w:numFmt w:val="decimal"/>
      <w:start w:val="1"/>
    </w:lvl>
    <w:lvl w:ilvl="1">
      <w:lvlJc w:val="left"/>
      <w:lvlText w:val="(%2)"/>
      <w:numFmt w:val="lowerLetter"/>
      <w:start w:val="5"/>
    </w:lvl>
  </w:abstractNum>
  <w:abstractNum w:abstractNumId="149">
    <w:nsid w:val="11B1CC33"/>
    <w:multiLevelType w:val="hybridMultilevel"/>
    <w:lvl w:ilvl="0">
      <w:lvlJc w:val="left"/>
      <w:lvlText w:val="%1."/>
      <w:numFmt w:val="decimal"/>
      <w:start w:val="8"/>
    </w:lvl>
    <w:lvl w:ilvl="1">
      <w:lvlJc w:val="left"/>
      <w:lvlText w:val="(%2)"/>
      <w:numFmt w:val="lowerLetter"/>
      <w:start w:val="1"/>
    </w:lvl>
  </w:abstractNum>
  <w:abstractNum w:abstractNumId="150">
    <w:nsid w:val="2E22FBB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1">
    <w:nsid w:val="2993469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2">
    <w:nsid w:val="77485850"/>
    <w:multiLevelType w:val="hybridMultilevel"/>
    <w:lvl w:ilvl="0">
      <w:lvlJc w:val="left"/>
      <w:lvlText w:val="%1."/>
      <w:numFmt w:val="decimal"/>
      <w:start w:val="10"/>
    </w:lvl>
    <w:lvl w:ilvl="1">
      <w:lvlJc w:val="left"/>
      <w:lvlText w:val="(%2)"/>
      <w:numFmt w:val="lowerLetter"/>
      <w:start w:val="1"/>
    </w:lvl>
  </w:abstractNum>
  <w:abstractNum w:abstractNumId="153">
    <w:nsid w:val="744939A3"/>
    <w:multiLevelType w:val="hybridMultilevel"/>
    <w:lvl w:ilvl="0">
      <w:lvlJc w:val="left"/>
      <w:lvlText w:val="%1"/>
      <w:numFmt w:val="decimal"/>
      <w:start w:val="1"/>
    </w:lvl>
    <w:lvl w:ilvl="1">
      <w:lvlJc w:val="left"/>
      <w:lvlText w:val="(%2)"/>
      <w:numFmt w:val="lowerLetter"/>
      <w:start w:val="2"/>
    </w:lvl>
  </w:abstractNum>
  <w:abstractNum w:abstractNumId="154">
    <w:nsid w:val="4FA0D2E3"/>
    <w:multiLevelType w:val="hybridMultilevel"/>
    <w:lvl w:ilvl="0">
      <w:lvlJc w:val="left"/>
      <w:lvlText w:val="%1."/>
      <w:numFmt w:val="decimal"/>
      <w:start w:val="11"/>
    </w:lvl>
    <w:lvl w:ilvl="1">
      <w:lvlJc w:val="left"/>
      <w:lvlText w:val="%2"/>
      <w:numFmt w:val="lowerLetter"/>
      <w:start w:val="1"/>
    </w:lvl>
  </w:abstractNum>
  <w:abstractNum w:abstractNumId="155">
    <w:nsid w:val="6B1D2C14"/>
    <w:multiLevelType w:val="hybridMultilevel"/>
    <w:lvl w:ilvl="0">
      <w:lvlJc w:val="left"/>
      <w:lvlText w:val="%1."/>
      <w:numFmt w:val="decimal"/>
      <w:start w:val="12"/>
    </w:lvl>
    <w:lvl w:ilvl="1">
      <w:lvlJc w:val="left"/>
      <w:lvlText w:val="(%2)"/>
      <w:numFmt w:val="lowerLetter"/>
      <w:start w:val="1"/>
    </w:lvl>
  </w:abstractNum>
  <w:abstractNum w:abstractNumId="156">
    <w:nsid w:val="68B867D3"/>
    <w:multiLevelType w:val="hybridMultilevel"/>
    <w:lvl w:ilvl="0">
      <w:lvlJc w:val="left"/>
      <w:lvlText w:val="%1."/>
      <w:numFmt w:val="decimal"/>
      <w:start w:val="14"/>
    </w:lvl>
    <w:lvl w:ilvl="1">
      <w:lvlJc w:val="left"/>
      <w:lvlText w:val="(%2)"/>
      <w:numFmt w:val="lowerLetter"/>
      <w:start w:val="1"/>
    </w:lvl>
  </w:abstractNum>
  <w:abstractNum w:abstractNumId="157">
    <w:nsid w:val="3F7F5DD9"/>
    <w:multiLevelType w:val="hybridMultilevel"/>
    <w:lvl w:ilvl="0">
      <w:lvlJc w:val="left"/>
      <w:lvlText w:val="%1."/>
      <w:numFmt w:val="decimal"/>
      <w:start w:val="17"/>
    </w:lvl>
    <w:lvl w:ilvl="1">
      <w:lvlJc w:val="left"/>
      <w:lvlText w:val="(%2)"/>
      <w:numFmt w:val="lowerLetter"/>
      <w:start w:val="1"/>
    </w:lvl>
  </w:abstractNum>
  <w:abstractNum w:abstractNumId="158">
    <w:nsid w:val="2AE05A34"/>
    <w:multiLevelType w:val="hybridMultilevel"/>
    <w:lvl w:ilvl="0">
      <w:lvlJc w:val="left"/>
      <w:lvlText w:val="%1."/>
      <w:numFmt w:val="decimal"/>
      <w:start w:val="1"/>
    </w:lvl>
  </w:abstractNum>
  <w:abstractNum w:abstractNumId="159">
    <w:nsid w:val="32794FF7"/>
    <w:multiLevelType w:val="hybridMultilevel"/>
    <w:lvl w:ilvl="0">
      <w:lvlJc w:val="left"/>
      <w:lvlText w:val="%1."/>
      <w:numFmt w:val="decimal"/>
      <w:start w:val="2"/>
    </w:lvl>
  </w:abstractNum>
  <w:abstractNum w:abstractNumId="160">
    <w:nsid w:val="5454945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61">
    <w:nsid w:val="4DEFDFA0"/>
    <w:multiLevelType w:val="hybridMultilevel"/>
    <w:lvl w:ilvl="0">
      <w:lvlJc w:val="left"/>
      <w:lvlText w:val="%1."/>
      <w:numFmt w:val="decimal"/>
      <w:start w:val="7"/>
    </w:lvl>
    <w:lvl w:ilvl="1">
      <w:lvlJc w:val="left"/>
      <w:lvlText w:val="-"/>
      <w:numFmt w:val="bullet"/>
      <w:start w:val="1"/>
    </w:lvl>
  </w:abstractNum>
  <w:abstractNum w:abstractNumId="162">
    <w:nsid w:val="2123D5F2"/>
    <w:multiLevelType w:val="hybridMultilevel"/>
    <w:lvl w:ilvl="0">
      <w:lvlJc w:val="left"/>
      <w:lvlText w:val="%1."/>
      <w:numFmt w:val="decimal"/>
      <w:start w:val="13"/>
    </w:lvl>
    <w:lvl w:ilvl="1">
      <w:lvlJc w:val="left"/>
      <w:lvlText w:val="-"/>
      <w:numFmt w:val="bullet"/>
      <w:start w:val="1"/>
    </w:lvl>
  </w:abstractNum>
  <w:abstractNum w:abstractNumId="163">
    <w:nsid w:val="135B8110"/>
    <w:multiLevelType w:val="hybridMultilevel"/>
    <w:lvl w:ilvl="0">
      <w:lvlJc w:val="left"/>
      <w:lvlText w:val="%1."/>
      <w:numFmt w:val="decimal"/>
      <w:start w:val="20"/>
    </w:lvl>
    <w:lvl w:ilvl="1">
      <w:lvlJc w:val="left"/>
      <w:lvlText w:val="-"/>
      <w:numFmt w:val="bullet"/>
      <w:start w:val="1"/>
    </w:lvl>
  </w:abstractNum>
  <w:abstractNum w:abstractNumId="164">
    <w:nsid w:val="94927A8"/>
    <w:multiLevelType w:val="hybridMultilevel"/>
    <w:lvl w:ilvl="0">
      <w:lvlJc w:val="left"/>
      <w:lvlText w:val="%1."/>
      <w:numFmt w:val="decimal"/>
      <w:start w:val="2"/>
    </w:lvl>
    <w:lvl w:ilvl="1">
      <w:lvlJc w:val="left"/>
      <w:lvlText w:val="-"/>
      <w:numFmt w:val="bullet"/>
      <w:start w:val="1"/>
    </w:lvl>
  </w:abstractNum>
  <w:abstractNum w:abstractNumId="165">
    <w:nsid w:val="DCDF8F6"/>
    <w:multiLevelType w:val="hybridMultilevel"/>
    <w:lvl w:ilvl="0">
      <w:lvlJc w:val="left"/>
      <w:lvlText w:val="%1."/>
      <w:numFmt w:val="decimal"/>
      <w:start w:val="6"/>
    </w:lvl>
  </w:abstractNum>
  <w:abstractNum w:abstractNumId="166">
    <w:nsid w:val="52D7B105"/>
    <w:multiLevelType w:val="hybridMultilevel"/>
    <w:lvl w:ilvl="0">
      <w:lvlJc w:val="left"/>
      <w:lvlText w:val="%1."/>
      <w:numFmt w:val="decimal"/>
      <w:start w:val="1"/>
    </w:lvl>
    <w:lvl w:ilvl="1">
      <w:lvlJc w:val="left"/>
      <w:lvlText w:val="(%2)"/>
      <w:numFmt w:val="lowerLetter"/>
      <w:start w:val="1"/>
    </w:lvl>
  </w:abstractNum>
  <w:abstractNum w:abstractNumId="167">
    <w:nsid w:val="2E8A6394"/>
    <w:multiLevelType w:val="hybridMultilevel"/>
    <w:lvl w:ilvl="0">
      <w:lvlJc w:val="left"/>
      <w:lvlText w:val="%1"/>
      <w:numFmt w:val="decimal"/>
      <w:start w:val="1"/>
    </w:lvl>
    <w:lvl w:ilvl="1">
      <w:lvlJc w:val="left"/>
      <w:lvlText w:val="(%2)"/>
      <w:numFmt w:val="lowerLetter"/>
      <w:start w:val="7"/>
    </w:lvl>
  </w:abstractNum>
  <w:abstractNum w:abstractNumId="168">
    <w:nsid w:val="24E60401"/>
    <w:multiLevelType w:val="hybridMultilevel"/>
    <w:lvl w:ilvl="0">
      <w:lvlJc w:val="left"/>
      <w:lvlText w:val="%1."/>
      <w:numFmt w:val="decimal"/>
      <w:start w:val="3"/>
    </w:lvl>
    <w:lvl w:ilvl="1">
      <w:lvlJc w:val="left"/>
      <w:lvlText w:val="%2"/>
      <w:numFmt w:val="lowerLetter"/>
      <w:start w:val="1"/>
    </w:lvl>
  </w:abstractNum>
  <w:abstractNum w:abstractNumId="169">
    <w:nsid w:val="2A6AD9BE"/>
    <w:multiLevelType w:val="hybridMultilevel"/>
    <w:lvl w:ilvl="0">
      <w:lvlJc w:val="left"/>
      <w:lvlText w:val="%1."/>
      <w:numFmt w:val="decimal"/>
      <w:start w:val="7"/>
    </w:lvl>
  </w:abstractNum>
  <w:abstractNum w:abstractNumId="170">
    <w:nsid w:val="BAAC1B4"/>
    <w:multiLevelType w:val="hybridMultilevel"/>
    <w:lvl w:ilvl="0">
      <w:lvlJc w:val="left"/>
      <w:lvlText w:val="%1."/>
      <w:numFmt w:val="decimal"/>
      <w:start w:val="11"/>
    </w:lvl>
  </w:abstractNum>
  <w:abstractNum w:abstractNumId="171">
    <w:nsid w:val="36B2ACBC"/>
    <w:multiLevelType w:val="hybridMultilevel"/>
    <w:lvl w:ilvl="0">
      <w:lvlJc w:val="left"/>
      <w:lvlText w:val="%1."/>
      <w:numFmt w:val="decimal"/>
      <w:start w:val="17"/>
    </w:lvl>
  </w:abstractNum>
  <w:abstractNum w:abstractNumId="172">
    <w:nsid w:val="779D8544"/>
    <w:multiLevelType w:val="hybridMultilevel"/>
    <w:lvl w:ilvl="0">
      <w:lvlJc w:val="left"/>
      <w:lvlText w:val="%1."/>
      <w:numFmt w:val="decimal"/>
      <w:start w:val="1"/>
    </w:lvl>
  </w:abstractNum>
  <w:abstractNum w:abstractNumId="173">
    <w:nsid w:val="4AB26E78"/>
    <w:multiLevelType w:val="hybridMultilevel"/>
    <w:lvl w:ilvl="0">
      <w:lvlJc w:val="left"/>
      <w:lvlText w:val="(%1)"/>
      <w:numFmt w:val="lowerRoman"/>
      <w:start w:val="10"/>
    </w:lvl>
  </w:abstractNum>
  <w:abstractNum w:abstractNumId="174">
    <w:nsid w:val="21FAA2FA"/>
    <w:multiLevelType w:val="hybridMultilevel"/>
    <w:lvl w:ilvl="0">
      <w:lvlJc w:val="left"/>
      <w:lvlText w:val="%1."/>
      <w:numFmt w:val="decimal"/>
      <w:start w:val="5"/>
    </w:lvl>
  </w:abstractNum>
  <w:abstractNum w:abstractNumId="175">
    <w:nsid w:val="5451CF49"/>
    <w:multiLevelType w:val="hybridMultilevel"/>
    <w:lvl w:ilvl="0">
      <w:lvlJc w:val="left"/>
      <w:lvlText w:val="%1."/>
      <w:numFmt w:val="decimal"/>
      <w:start w:val="10"/>
    </w:lvl>
  </w:abstractNum>
  <w:abstractNum w:abstractNumId="176">
    <w:nsid w:val="6181EF69"/>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2019-12-15T06:40:46Z</dcterms:created>
  <dcterms:modified xsi:type="dcterms:W3CDTF">2019-12-15T06:40:46Z</dcterms:modified>
</cp:coreProperties>
</file>