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6645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664591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UNGER MARC</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40" w:type="dxa"/>
            <w:vAlign w:val="bottom"/>
            <w:tcBorders>
              <w:top w:val="single" w:sz="8" w:color="0000EE"/>
              <w:bottom w:val="single" w:sz="8" w:color="9A9A9A"/>
            </w:tcBorders>
          </w:tcPr>
          <w:p>
            <w:pPr>
              <w:spacing w:after="0"/>
              <w:rPr>
                <w:sz w:val="15"/>
                <w:szCs w:val="15"/>
                <w:color w:val="auto"/>
              </w:rPr>
            </w:pPr>
          </w:p>
        </w:tc>
        <w:tc>
          <w:tcPr>
            <w:tcW w:w="17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08/06/2015</w:t>
            </w:r>
          </w:p>
        </w:tc>
        <w:tc>
          <w:tcPr>
            <w:tcW w:w="0" w:type="dxa"/>
            <w:vAlign w:val="bottom"/>
          </w:tcPr>
          <w:p>
            <w:pPr>
              <w:spacing w:after="0"/>
              <w:rPr>
                <w:sz w:val="1"/>
                <w:szCs w:val="1"/>
                <w:color w:val="auto"/>
              </w:rPr>
            </w:pPr>
          </w:p>
        </w:tc>
      </w:tr>
    </w:tbl>
    <w:p>
      <w:pPr>
        <w:spacing w:after="0" w:line="14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FLUIDIGM CORPORATION</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7000 SHORELINE COURT SUITE 100</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80" w:type="dxa"/>
            <w:vAlign w:val="bottom"/>
          </w:tcPr>
          <w:p>
            <w:pPr>
              <w:spacing w:after="0"/>
              <w:rPr>
                <w:sz w:val="20"/>
                <w:szCs w:val="20"/>
                <w:color w:val="auto"/>
              </w:rPr>
            </w:pPr>
            <w:r>
              <w:rPr>
                <w:rFonts w:ascii="Arial" w:cs="Arial" w:eastAsia="Arial" w:hAnsi="Arial"/>
                <w:sz w:val="14"/>
                <w:szCs w:val="14"/>
                <w:color w:val="auto"/>
              </w:rPr>
              <w:t>(Street)</w:t>
            </w: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98"/>
        </w:trPr>
        <w:tc>
          <w:tcPr>
            <w:tcW w:w="1080" w:type="dxa"/>
            <w:vAlign w:val="bottom"/>
          </w:tcPr>
          <w:p>
            <w:pPr>
              <w:ind w:left="40"/>
              <w:spacing w:after="0"/>
              <w:rPr>
                <w:sz w:val="20"/>
                <w:szCs w:val="20"/>
                <w:color w:val="auto"/>
              </w:rPr>
            </w:pPr>
            <w:r>
              <w:rPr>
                <w:rFonts w:ascii="Arial" w:cs="Arial" w:eastAsia="Arial" w:hAnsi="Arial"/>
                <w:sz w:val="18"/>
                <w:szCs w:val="18"/>
                <w:color w:val="0000FF"/>
                <w:w w:val="97"/>
              </w:rPr>
              <w:t>SOUTH SAN</w:t>
            </w:r>
          </w:p>
        </w:tc>
        <w:tc>
          <w:tcPr>
            <w:tcW w:w="720" w:type="dxa"/>
            <w:vAlign w:val="bottom"/>
          </w:tcPr>
          <w:p>
            <w:pPr>
              <w:ind w:left="60"/>
              <w:spacing w:after="0"/>
              <w:rPr>
                <w:sz w:val="20"/>
                <w:szCs w:val="20"/>
                <w:color w:val="auto"/>
              </w:rPr>
            </w:pPr>
            <w:r>
              <w:rPr>
                <w:rFonts w:ascii="Arial" w:cs="Arial" w:eastAsia="Arial" w:hAnsi="Arial"/>
                <w:sz w:val="18"/>
                <w:szCs w:val="18"/>
                <w:color w:val="0000FF"/>
              </w:rPr>
              <w:t>CA</w:t>
            </w:r>
          </w:p>
        </w:tc>
        <w:tc>
          <w:tcPr>
            <w:tcW w:w="840" w:type="dxa"/>
            <w:vAlign w:val="bottom"/>
          </w:tcPr>
          <w:p>
            <w:pPr>
              <w:jc w:val="right"/>
              <w:spacing w:after="0"/>
              <w:rPr>
                <w:sz w:val="20"/>
                <w:szCs w:val="20"/>
                <w:color w:val="auto"/>
              </w:rPr>
            </w:pPr>
            <w:r>
              <w:rPr>
                <w:rFonts w:ascii="Arial" w:cs="Arial" w:eastAsia="Arial" w:hAnsi="Arial"/>
                <w:sz w:val="18"/>
                <w:szCs w:val="18"/>
                <w:color w:val="0000FF"/>
              </w:rPr>
              <w:t>94080</w:t>
            </w:r>
          </w:p>
        </w:tc>
      </w:tr>
      <w:tr>
        <w:trPr>
          <w:trHeight w:val="222"/>
        </w:trPr>
        <w:tc>
          <w:tcPr>
            <w:tcW w:w="1080" w:type="dxa"/>
            <w:vAlign w:val="bottom"/>
          </w:tcPr>
          <w:p>
            <w:pPr>
              <w:ind w:left="40"/>
              <w:spacing w:after="0"/>
              <w:rPr>
                <w:sz w:val="20"/>
                <w:szCs w:val="20"/>
                <w:color w:val="auto"/>
              </w:rPr>
            </w:pPr>
            <w:r>
              <w:rPr>
                <w:rFonts w:ascii="Arial" w:cs="Arial" w:eastAsia="Arial" w:hAnsi="Arial"/>
                <w:sz w:val="18"/>
                <w:szCs w:val="18"/>
                <w:color w:val="0000FF"/>
                <w:w w:val="96"/>
              </w:rPr>
              <w:t>FRANCISCO</w:t>
            </w: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880" w:type="dxa"/>
            <w:vAlign w:val="bottom"/>
          </w:tcPr>
          <w:p>
            <w:pPr>
              <w:ind w:left="80"/>
              <w:spacing w:after="0"/>
              <w:rPr>
                <w:sz w:val="20"/>
                <w:szCs w:val="20"/>
                <w:color w:val="auto"/>
              </w:rPr>
            </w:pPr>
            <w:r>
              <w:rPr>
                <w:rFonts w:ascii="Arial" w:cs="Arial" w:eastAsia="Arial" w:hAnsi="Arial"/>
                <w:sz w:val="14"/>
                <w:szCs w:val="14"/>
                <w:color w:val="auto"/>
              </w:rPr>
              <w:t>5. If Amendment, Date of Original Filed</w:t>
            </w:r>
          </w:p>
        </w:tc>
        <w:tc>
          <w:tcPr>
            <w:tcW w:w="0" w:type="dxa"/>
            <w:vAlign w:val="bottom"/>
          </w:tcPr>
          <w:p>
            <w:pPr>
              <w:spacing w:after="0"/>
              <w:rPr>
                <w:sz w:val="1"/>
                <w:szCs w:val="1"/>
                <w:color w:val="auto"/>
              </w:rPr>
            </w:pPr>
          </w:p>
        </w:tc>
      </w:tr>
      <w:tr>
        <w:trPr>
          <w:trHeight w:val="162"/>
        </w:trPr>
        <w:tc>
          <w:tcPr>
            <w:tcW w:w="184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1480" w:type="dxa"/>
            <w:vAlign w:val="bottom"/>
          </w:tcPr>
          <w:p>
            <w:pPr>
              <w:spacing w:after="0"/>
              <w:rPr>
                <w:sz w:val="14"/>
                <w:szCs w:val="14"/>
                <w:color w:val="auto"/>
              </w:rPr>
            </w:pPr>
          </w:p>
        </w:tc>
        <w:tc>
          <w:tcPr>
            <w:tcW w:w="2880" w:type="dxa"/>
            <w:vAlign w:val="bottom"/>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89"/>
        </w:trPr>
        <w:tc>
          <w:tcPr>
            <w:tcW w:w="420" w:type="dxa"/>
            <w:vAlign w:val="bottom"/>
          </w:tcPr>
          <w:p>
            <w:pPr>
              <w:spacing w:after="0"/>
              <w:rPr>
                <w:sz w:val="16"/>
                <w:szCs w:val="16"/>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480" w:type="dxa"/>
            <w:vAlign w:val="bottom"/>
          </w:tcPr>
          <w:p>
            <w:pPr>
              <w:ind w:left="320"/>
              <w:spacing w:after="0"/>
              <w:rPr>
                <w:sz w:val="20"/>
                <w:szCs w:val="20"/>
                <w:color w:val="auto"/>
              </w:rPr>
            </w:pPr>
            <w:r>
              <w:rPr>
                <w:rFonts w:ascii="Arial" w:cs="Arial" w:eastAsia="Arial" w:hAnsi="Arial"/>
                <w:sz w:val="14"/>
                <w:szCs w:val="14"/>
                <w:color w:val="auto"/>
              </w:rPr>
              <w:t>10% Owner</w:t>
            </w:r>
          </w:p>
        </w:tc>
        <w:tc>
          <w:tcPr>
            <w:tcW w:w="2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420" w:type="dxa"/>
            <w:vAlign w:val="bottom"/>
            <w:vMerge w:val="restart"/>
          </w:tcPr>
          <w:p>
            <w:pPr>
              <w:ind w:left="200"/>
              <w:spacing w:after="0"/>
              <w:rPr>
                <w:sz w:val="20"/>
                <w:szCs w:val="20"/>
                <w:color w:val="auto"/>
              </w:rPr>
            </w:pPr>
            <w:r>
              <w:rPr>
                <w:rFonts w:ascii="Arial" w:cs="Arial" w:eastAsia="Arial" w:hAnsi="Arial"/>
                <w:sz w:val="18"/>
                <w:szCs w:val="18"/>
                <w:color w:val="0000FF"/>
              </w:rPr>
              <w:t>X</w:t>
            </w: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480" w:type="dxa"/>
            <w:vAlign w:val="bottom"/>
            <w:vMerge w:val="restart"/>
          </w:tcPr>
          <w:p>
            <w:pPr>
              <w:ind w:left="320"/>
              <w:spacing w:after="0"/>
              <w:rPr>
                <w:sz w:val="20"/>
                <w:szCs w:val="20"/>
                <w:color w:val="auto"/>
              </w:rPr>
            </w:pPr>
            <w:r>
              <w:rPr>
                <w:rFonts w:ascii="Arial" w:cs="Arial" w:eastAsia="Arial" w:hAnsi="Arial"/>
                <w:sz w:val="14"/>
                <w:szCs w:val="14"/>
                <w:color w:val="auto"/>
              </w:rPr>
              <w:t>Other (specify</w:t>
            </w:r>
          </w:p>
        </w:tc>
        <w:tc>
          <w:tcPr>
            <w:tcW w:w="28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420" w:type="dxa"/>
            <w:vAlign w:val="bottom"/>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2880" w:type="dxa"/>
            <w:vAlign w:val="bottom"/>
            <w:vMerge w:val="restart"/>
          </w:tcPr>
          <w:p>
            <w:pPr>
              <w:ind w:left="80"/>
              <w:spacing w:after="0"/>
              <w:rPr>
                <w:sz w:val="20"/>
                <w:szCs w:val="20"/>
                <w:color w:val="auto"/>
              </w:rPr>
            </w:pPr>
            <w:r>
              <w:rPr>
                <w:rFonts w:ascii="Arial" w:cs="Arial" w:eastAsia="Arial" w:hAnsi="Arial"/>
                <w:sz w:val="14"/>
                <w:szCs w:val="14"/>
                <w:color w:val="auto"/>
              </w:rPr>
              <w:t>6. Individual or Joint/Group Filing (Check</w:t>
            </w:r>
          </w:p>
        </w:tc>
        <w:tc>
          <w:tcPr>
            <w:tcW w:w="0" w:type="dxa"/>
            <w:vAlign w:val="bottom"/>
          </w:tcPr>
          <w:p>
            <w:pPr>
              <w:spacing w:after="0"/>
              <w:rPr>
                <w:sz w:val="1"/>
                <w:szCs w:val="1"/>
                <w:color w:val="auto"/>
              </w:rPr>
            </w:pPr>
          </w:p>
        </w:tc>
      </w:tr>
      <w:tr>
        <w:trPr>
          <w:trHeight w:val="108"/>
        </w:trPr>
        <w:tc>
          <w:tcPr>
            <w:tcW w:w="420" w:type="dxa"/>
            <w:vAlign w:val="bottom"/>
            <w:vMerge w:val="continue"/>
          </w:tcPr>
          <w:p>
            <w:pPr>
              <w:spacing w:after="0"/>
              <w:rPr>
                <w:sz w:val="9"/>
                <w:szCs w:val="9"/>
                <w:color w:val="auto"/>
              </w:rPr>
            </w:pPr>
          </w:p>
        </w:tc>
        <w:tc>
          <w:tcPr>
            <w:tcW w:w="1420" w:type="dxa"/>
            <w:vAlign w:val="bottom"/>
          </w:tcPr>
          <w:p>
            <w:pPr>
              <w:ind w:left="120"/>
              <w:spacing w:after="0" w:line="108" w:lineRule="exact"/>
              <w:rPr>
                <w:sz w:val="20"/>
                <w:szCs w:val="20"/>
                <w:color w:val="auto"/>
              </w:rPr>
            </w:pPr>
            <w:r>
              <w:rPr>
                <w:rFonts w:ascii="Arial" w:cs="Arial" w:eastAsia="Arial" w:hAnsi="Arial"/>
                <w:sz w:val="12"/>
                <w:szCs w:val="12"/>
                <w:color w:val="auto"/>
              </w:rPr>
              <w:t>below)</w:t>
            </w:r>
          </w:p>
        </w:tc>
        <w:tc>
          <w:tcPr>
            <w:tcW w:w="1480" w:type="dxa"/>
            <w:vAlign w:val="bottom"/>
          </w:tcPr>
          <w:p>
            <w:pPr>
              <w:ind w:left="320"/>
              <w:spacing w:after="0" w:line="108" w:lineRule="exact"/>
              <w:rPr>
                <w:sz w:val="20"/>
                <w:szCs w:val="20"/>
                <w:color w:val="auto"/>
              </w:rPr>
            </w:pPr>
            <w:r>
              <w:rPr>
                <w:rFonts w:ascii="Arial" w:cs="Arial" w:eastAsia="Arial" w:hAnsi="Arial"/>
                <w:sz w:val="12"/>
                <w:szCs w:val="12"/>
                <w:color w:val="auto"/>
              </w:rPr>
              <w:t>below)</w:t>
            </w:r>
          </w:p>
        </w:tc>
        <w:tc>
          <w:tcPr>
            <w:tcW w:w="2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4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880" w:type="dxa"/>
            <w:vAlign w:val="bottom"/>
          </w:tcPr>
          <w:p>
            <w:pPr>
              <w:ind w:left="80"/>
              <w:spacing w:after="0" w:line="101" w:lineRule="exact"/>
              <w:rPr>
                <w:sz w:val="20"/>
                <w:szCs w:val="20"/>
                <w:color w:val="auto"/>
              </w:rPr>
            </w:pPr>
            <w:r>
              <w:rPr>
                <w:rFonts w:ascii="Arial" w:cs="Arial" w:eastAsia="Arial" w:hAnsi="Arial"/>
                <w:sz w:val="11"/>
                <w:szCs w:val="11"/>
                <w:color w:val="auto"/>
              </w:rPr>
              <w:t>Applicable Line)</w:t>
            </w: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1660" w:type="dxa"/>
            <w:vAlign w:val="bottom"/>
          </w:tcPr>
          <w:p>
            <w:pPr>
              <w:spacing w:after="0"/>
              <w:rPr>
                <w:sz w:val="20"/>
                <w:szCs w:val="20"/>
                <w:color w:val="auto"/>
              </w:rPr>
            </w:pPr>
            <w:r>
              <w:rPr>
                <w:rFonts w:ascii="Arial" w:cs="Arial" w:eastAsia="Arial" w:hAnsi="Arial"/>
                <w:sz w:val="18"/>
                <w:szCs w:val="18"/>
                <w:color w:val="0000FF"/>
              </w:rPr>
              <w:t>See Remarks</w:t>
            </w:r>
          </w:p>
        </w:tc>
        <w:tc>
          <w:tcPr>
            <w:tcW w:w="3220" w:type="dxa"/>
            <w:vAlign w:val="bottom"/>
            <w:vMerge w:val="restart"/>
          </w:tcPr>
          <w:p>
            <w:pPr>
              <w:ind w:left="7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81"/>
        </w:trPr>
        <w:tc>
          <w:tcPr>
            <w:tcW w:w="1660" w:type="dxa"/>
            <w:vAlign w:val="bottom"/>
          </w:tcPr>
          <w:p>
            <w:pPr>
              <w:spacing w:after="0"/>
              <w:rPr>
                <w:sz w:val="7"/>
                <w:szCs w:val="7"/>
                <w:color w:val="auto"/>
              </w:rPr>
            </w:pPr>
          </w:p>
        </w:tc>
        <w:tc>
          <w:tcPr>
            <w:tcW w:w="3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1660" w:type="dxa"/>
            <w:vAlign w:val="bottom"/>
          </w:tcPr>
          <w:p>
            <w:pPr>
              <w:spacing w:after="0"/>
              <w:rPr>
                <w:sz w:val="17"/>
                <w:szCs w:val="17"/>
                <w:color w:val="auto"/>
              </w:rPr>
            </w:pPr>
          </w:p>
        </w:tc>
        <w:tc>
          <w:tcPr>
            <w:tcW w:w="3220" w:type="dxa"/>
            <w:vAlign w:val="bottom"/>
          </w:tcPr>
          <w:p>
            <w:pPr>
              <w:ind w:left="1060"/>
              <w:spacing w:after="0"/>
              <w:rPr>
                <w:sz w:val="20"/>
                <w:szCs w:val="20"/>
                <w:color w:val="auto"/>
              </w:rPr>
            </w:pPr>
            <w:r>
              <w:rPr>
                <w:rFonts w:ascii="Arial" w:cs="Arial" w:eastAsia="Arial" w:hAnsi="Arial"/>
                <w:sz w:val="14"/>
                <w:szCs w:val="14"/>
                <w:color w:val="auto"/>
              </w:rPr>
              <w:t>Form filed by More than One</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3220" w:type="dxa"/>
            <w:vAlign w:val="bottom"/>
          </w:tcPr>
          <w:p>
            <w:pPr>
              <w:ind w:left="1060"/>
              <w:spacing w:after="0"/>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bl>
    <w:p>
      <w:pPr>
        <w:spacing w:after="0" w:line="328" w:lineRule="exact"/>
        <w:rPr>
          <w:sz w:val="24"/>
          <w:szCs w:val="24"/>
          <w:color w:val="auto"/>
        </w:rPr>
      </w:pPr>
    </w:p>
    <w:p>
      <w:pPr>
        <w:sectPr>
          <w:pgSz w:w="11900" w:h="16838" w:orient="portrait"/>
          <w:cols w:equalWidth="0" w:num="2">
            <w:col w:w="4720" w:space="480"/>
            <w:col w:w="6220"/>
          </w:cols>
          <w:pgMar w:left="240" w:top="226" w:right="239" w:bottom="0" w:gutter="0" w:footer="0" w:header="0"/>
          <w:type w:val="continuous"/>
        </w:sectPr>
      </w:pPr>
    </w:p>
    <w:p>
      <w:pPr>
        <w:spacing w:after="0" w:line="63"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04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ind w:left="660"/>
              <w:spacing w:after="0"/>
              <w:rPr>
                <w:sz w:val="20"/>
                <w:szCs w:val="20"/>
                <w:color w:val="auto"/>
              </w:rPr>
            </w:pPr>
            <w:r>
              <w:rPr>
                <w:rFonts w:ascii="Arial" w:cs="Arial" w:eastAsia="Arial" w:hAnsi="Arial"/>
                <w:sz w:val="18"/>
                <w:szCs w:val="18"/>
                <w:color w:val="0000FF"/>
              </w:rPr>
              <w:t>2,401</w:t>
            </w:r>
          </w:p>
        </w:tc>
        <w:tc>
          <w:tcPr>
            <w:tcW w:w="900" w:type="dxa"/>
            <w:vAlign w:val="bottom"/>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04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04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5840" w:type="dxa"/>
            <w:vAlign w:val="bottom"/>
            <w:gridSpan w:val="6"/>
          </w:tcPr>
          <w:p>
            <w:pPr>
              <w:ind w:left="2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4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52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0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04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40" w:type="dxa"/>
            <w:vAlign w:val="bottom"/>
          </w:tcPr>
          <w:p>
            <w:pPr>
              <w:ind w:left="60"/>
              <w:spacing w:after="0"/>
              <w:rPr>
                <w:sz w:val="20"/>
                <w:szCs w:val="20"/>
                <w:color w:val="auto"/>
              </w:rPr>
            </w:pPr>
            <w:r>
              <w:rPr>
                <w:rFonts w:ascii="Arial" w:cs="Arial" w:eastAsia="Arial" w:hAnsi="Arial"/>
                <w:sz w:val="18"/>
                <w:szCs w:val="18"/>
                <w:color w:val="0000FF"/>
                <w:w w:val="97"/>
              </w:rPr>
              <w:t>Employee Stock Option (Right to Buy)</w:t>
            </w:r>
          </w:p>
        </w:tc>
        <w:tc>
          <w:tcPr>
            <w:tcW w:w="1400" w:type="dxa"/>
            <w:vAlign w:val="bottom"/>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08/26/2020</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8"/>
              <w:spacing w:after="0"/>
              <w:rPr>
                <w:sz w:val="20"/>
                <w:szCs w:val="20"/>
                <w:color w:val="auto"/>
              </w:rPr>
            </w:pPr>
            <w:r>
              <w:rPr>
                <w:rFonts w:ascii="Arial" w:cs="Arial" w:eastAsia="Arial" w:hAnsi="Arial"/>
                <w:sz w:val="18"/>
                <w:szCs w:val="18"/>
                <w:color w:val="0000FF"/>
                <w:w w:val="93"/>
              </w:rPr>
              <w:t>934</w:t>
            </w:r>
          </w:p>
        </w:tc>
        <w:tc>
          <w:tcPr>
            <w:tcW w:w="880" w:type="dxa"/>
            <w:vAlign w:val="bottom"/>
          </w:tcPr>
          <w:p>
            <w:pPr>
              <w:jc w:val="center"/>
              <w:spacing w:after="0"/>
              <w:rPr>
                <w:sz w:val="20"/>
                <w:szCs w:val="20"/>
                <w:color w:val="auto"/>
              </w:rPr>
            </w:pPr>
            <w:r>
              <w:rPr>
                <w:rFonts w:ascii="Arial" w:cs="Arial" w:eastAsia="Arial" w:hAnsi="Arial"/>
                <w:sz w:val="18"/>
                <w:szCs w:val="18"/>
                <w:color w:val="0000FF"/>
                <w:w w:val="87"/>
              </w:rPr>
              <w:t>4.4461</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40" w:type="dxa"/>
            <w:vAlign w:val="bottom"/>
            <w:tcBorders>
              <w:bottom w:val="single" w:sz="8" w:color="2C2C2C"/>
            </w:tcBorders>
          </w:tcPr>
          <w:p>
            <w:pPr>
              <w:spacing w:after="0"/>
              <w:rPr>
                <w:sz w:val="5"/>
                <w:szCs w:val="5"/>
                <w:color w:val="auto"/>
              </w:rPr>
            </w:pPr>
          </w:p>
        </w:tc>
        <w:tc>
          <w:tcPr>
            <w:tcW w:w="140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40" w:type="dxa"/>
            <w:vAlign w:val="bottom"/>
          </w:tcPr>
          <w:p>
            <w:pPr>
              <w:ind w:left="60"/>
              <w:spacing w:after="0"/>
              <w:rPr>
                <w:sz w:val="20"/>
                <w:szCs w:val="20"/>
                <w:color w:val="auto"/>
              </w:rPr>
            </w:pPr>
            <w:r>
              <w:rPr>
                <w:rFonts w:ascii="Arial" w:cs="Arial" w:eastAsia="Arial" w:hAnsi="Arial"/>
                <w:sz w:val="18"/>
                <w:szCs w:val="18"/>
                <w:color w:val="0000FF"/>
                <w:w w:val="97"/>
              </w:rPr>
              <w:t>Employee Stock Option (Right to Buy)</w:t>
            </w:r>
          </w:p>
        </w:tc>
        <w:tc>
          <w:tcPr>
            <w:tcW w:w="1400" w:type="dxa"/>
            <w:vAlign w:val="bottom"/>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01/04/2021</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8"/>
              <w:spacing w:after="0"/>
              <w:rPr>
                <w:sz w:val="20"/>
                <w:szCs w:val="20"/>
                <w:color w:val="auto"/>
              </w:rPr>
            </w:pPr>
            <w:r>
              <w:rPr>
                <w:rFonts w:ascii="Arial" w:cs="Arial" w:eastAsia="Arial" w:hAnsi="Arial"/>
                <w:sz w:val="18"/>
                <w:szCs w:val="18"/>
                <w:color w:val="0000FF"/>
                <w:w w:val="88"/>
              </w:rPr>
              <w:t>4,850</w:t>
            </w:r>
          </w:p>
        </w:tc>
        <w:tc>
          <w:tcPr>
            <w:tcW w:w="880" w:type="dxa"/>
            <w:vAlign w:val="bottom"/>
          </w:tcPr>
          <w:p>
            <w:pPr>
              <w:jc w:val="center"/>
              <w:spacing w:after="0"/>
              <w:rPr>
                <w:sz w:val="20"/>
                <w:szCs w:val="20"/>
                <w:color w:val="auto"/>
              </w:rPr>
            </w:pPr>
            <w:r>
              <w:rPr>
                <w:rFonts w:ascii="Arial" w:cs="Arial" w:eastAsia="Arial" w:hAnsi="Arial"/>
                <w:sz w:val="18"/>
                <w:szCs w:val="18"/>
                <w:color w:val="0000FF"/>
                <w:w w:val="87"/>
              </w:rPr>
              <w:t>8.3732</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40" w:type="dxa"/>
            <w:vAlign w:val="bottom"/>
            <w:tcBorders>
              <w:bottom w:val="single" w:sz="8" w:color="2C2C2C"/>
            </w:tcBorders>
          </w:tcPr>
          <w:p>
            <w:pPr>
              <w:spacing w:after="0"/>
              <w:rPr>
                <w:sz w:val="5"/>
                <w:szCs w:val="5"/>
                <w:color w:val="auto"/>
              </w:rPr>
            </w:pPr>
          </w:p>
        </w:tc>
        <w:tc>
          <w:tcPr>
            <w:tcW w:w="140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40" w:type="dxa"/>
            <w:vAlign w:val="bottom"/>
          </w:tcPr>
          <w:p>
            <w:pPr>
              <w:ind w:left="60"/>
              <w:spacing w:after="0"/>
              <w:rPr>
                <w:sz w:val="20"/>
                <w:szCs w:val="20"/>
                <w:color w:val="auto"/>
              </w:rPr>
            </w:pPr>
            <w:r>
              <w:rPr>
                <w:rFonts w:ascii="Arial" w:cs="Arial" w:eastAsia="Arial" w:hAnsi="Arial"/>
                <w:sz w:val="18"/>
                <w:szCs w:val="18"/>
                <w:color w:val="0000FF"/>
                <w:w w:val="97"/>
              </w:rPr>
              <w:t>Employee Stock Option (Right to Buy)</w:t>
            </w:r>
          </w:p>
        </w:tc>
        <w:tc>
          <w:tcPr>
            <w:tcW w:w="1400" w:type="dxa"/>
            <w:vAlign w:val="bottom"/>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01/04/2021</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8"/>
              <w:spacing w:after="0"/>
              <w:rPr>
                <w:sz w:val="20"/>
                <w:szCs w:val="20"/>
                <w:color w:val="auto"/>
              </w:rPr>
            </w:pPr>
            <w:r>
              <w:rPr>
                <w:rFonts w:ascii="Arial" w:cs="Arial" w:eastAsia="Arial" w:hAnsi="Arial"/>
                <w:sz w:val="18"/>
                <w:szCs w:val="18"/>
                <w:color w:val="0000FF"/>
                <w:w w:val="93"/>
              </w:rPr>
              <w:t>270</w:t>
            </w:r>
          </w:p>
        </w:tc>
        <w:tc>
          <w:tcPr>
            <w:tcW w:w="880" w:type="dxa"/>
            <w:vAlign w:val="bottom"/>
          </w:tcPr>
          <w:p>
            <w:pPr>
              <w:jc w:val="center"/>
              <w:spacing w:after="0"/>
              <w:rPr>
                <w:sz w:val="20"/>
                <w:szCs w:val="20"/>
                <w:color w:val="auto"/>
              </w:rPr>
            </w:pPr>
            <w:r>
              <w:rPr>
                <w:rFonts w:ascii="Arial" w:cs="Arial" w:eastAsia="Arial" w:hAnsi="Arial"/>
                <w:sz w:val="18"/>
                <w:szCs w:val="18"/>
                <w:color w:val="0000FF"/>
                <w:w w:val="87"/>
              </w:rPr>
              <w:t>8.3732</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40" w:type="dxa"/>
            <w:vAlign w:val="bottom"/>
            <w:tcBorders>
              <w:bottom w:val="single" w:sz="8" w:color="2C2C2C"/>
            </w:tcBorders>
          </w:tcPr>
          <w:p>
            <w:pPr>
              <w:spacing w:after="0"/>
              <w:rPr>
                <w:sz w:val="5"/>
                <w:szCs w:val="5"/>
                <w:color w:val="auto"/>
              </w:rPr>
            </w:pPr>
          </w:p>
        </w:tc>
        <w:tc>
          <w:tcPr>
            <w:tcW w:w="140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40" w:type="dxa"/>
            <w:vAlign w:val="bottom"/>
          </w:tcPr>
          <w:p>
            <w:pPr>
              <w:ind w:left="60"/>
              <w:spacing w:after="0"/>
              <w:rPr>
                <w:sz w:val="20"/>
                <w:szCs w:val="20"/>
                <w:color w:val="auto"/>
              </w:rPr>
            </w:pPr>
            <w:r>
              <w:rPr>
                <w:rFonts w:ascii="Arial" w:cs="Arial" w:eastAsia="Arial" w:hAnsi="Arial"/>
                <w:sz w:val="18"/>
                <w:szCs w:val="18"/>
                <w:color w:val="0000FF"/>
                <w:w w:val="97"/>
              </w:rPr>
              <w:t>Employee Stock Option (Right to Buy)</w:t>
            </w:r>
          </w:p>
        </w:tc>
        <w:tc>
          <w:tcPr>
            <w:tcW w:w="1400" w:type="dxa"/>
            <w:vAlign w:val="bottom"/>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03/05/2022</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8"/>
              <w:spacing w:after="0"/>
              <w:rPr>
                <w:sz w:val="20"/>
                <w:szCs w:val="20"/>
                <w:color w:val="auto"/>
              </w:rPr>
            </w:pPr>
            <w:r>
              <w:rPr>
                <w:rFonts w:ascii="Arial" w:cs="Arial" w:eastAsia="Arial" w:hAnsi="Arial"/>
                <w:sz w:val="18"/>
                <w:szCs w:val="18"/>
                <w:color w:val="0000FF"/>
                <w:w w:val="87"/>
              </w:rPr>
              <w:t>20,000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14.55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40" w:type="dxa"/>
            <w:vAlign w:val="bottom"/>
            <w:tcBorders>
              <w:bottom w:val="single" w:sz="8" w:color="2C2C2C"/>
            </w:tcBorders>
          </w:tcPr>
          <w:p>
            <w:pPr>
              <w:spacing w:after="0"/>
              <w:rPr>
                <w:sz w:val="5"/>
                <w:szCs w:val="5"/>
                <w:color w:val="auto"/>
              </w:rPr>
            </w:pPr>
          </w:p>
        </w:tc>
        <w:tc>
          <w:tcPr>
            <w:tcW w:w="140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40" w:type="dxa"/>
            <w:vAlign w:val="bottom"/>
          </w:tcPr>
          <w:p>
            <w:pPr>
              <w:ind w:left="60"/>
              <w:spacing w:after="0"/>
              <w:rPr>
                <w:sz w:val="20"/>
                <w:szCs w:val="20"/>
                <w:color w:val="auto"/>
              </w:rPr>
            </w:pPr>
            <w:r>
              <w:rPr>
                <w:rFonts w:ascii="Arial" w:cs="Arial" w:eastAsia="Arial" w:hAnsi="Arial"/>
                <w:sz w:val="18"/>
                <w:szCs w:val="18"/>
                <w:color w:val="0000FF"/>
                <w:w w:val="97"/>
              </w:rPr>
              <w:t>Employee Stock Option (Right to Buy)</w:t>
            </w:r>
          </w:p>
        </w:tc>
        <w:tc>
          <w:tcPr>
            <w:tcW w:w="1400" w:type="dxa"/>
            <w:vAlign w:val="bottom"/>
            <w:gridSpan w:val="2"/>
          </w:tcPr>
          <w:p>
            <w:pPr>
              <w:jc w:val="right"/>
              <w:ind w:right="309"/>
              <w:spacing w:after="0"/>
              <w:rPr>
                <w:sz w:val="20"/>
                <w:szCs w:val="20"/>
                <w:color w:val="auto"/>
              </w:rPr>
            </w:pPr>
            <w:r>
              <w:rPr>
                <w:rFonts w:ascii="Arial" w:cs="Arial" w:eastAsia="Arial" w:hAnsi="Arial"/>
                <w:sz w:val="11"/>
                <w:szCs w:val="11"/>
                <w:color w:val="008000"/>
              </w:rPr>
              <w:t>(3)</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02/15/2023</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8"/>
              <w:spacing w:after="0"/>
              <w:rPr>
                <w:sz w:val="20"/>
                <w:szCs w:val="20"/>
                <w:color w:val="auto"/>
              </w:rPr>
            </w:pPr>
            <w:r>
              <w:rPr>
                <w:rFonts w:ascii="Arial" w:cs="Arial" w:eastAsia="Arial" w:hAnsi="Arial"/>
                <w:sz w:val="18"/>
                <w:szCs w:val="18"/>
                <w:color w:val="0000FF"/>
                <w:w w:val="87"/>
              </w:rPr>
              <w:t>55,000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16.73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40" w:type="dxa"/>
            <w:vAlign w:val="bottom"/>
            <w:tcBorders>
              <w:bottom w:val="single" w:sz="8" w:color="2C2C2C"/>
            </w:tcBorders>
          </w:tcPr>
          <w:p>
            <w:pPr>
              <w:spacing w:after="0"/>
              <w:rPr>
                <w:sz w:val="5"/>
                <w:szCs w:val="5"/>
                <w:color w:val="auto"/>
              </w:rPr>
            </w:pPr>
          </w:p>
        </w:tc>
        <w:tc>
          <w:tcPr>
            <w:tcW w:w="140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40" w:type="dxa"/>
            <w:vAlign w:val="bottom"/>
          </w:tcPr>
          <w:p>
            <w:pPr>
              <w:ind w:left="60"/>
              <w:spacing w:after="0"/>
              <w:rPr>
                <w:sz w:val="20"/>
                <w:szCs w:val="20"/>
                <w:color w:val="auto"/>
              </w:rPr>
            </w:pPr>
            <w:r>
              <w:rPr>
                <w:rFonts w:ascii="Arial" w:cs="Arial" w:eastAsia="Arial" w:hAnsi="Arial"/>
                <w:sz w:val="18"/>
                <w:szCs w:val="18"/>
                <w:color w:val="0000FF"/>
                <w:w w:val="97"/>
              </w:rPr>
              <w:t>Employee Stock Option (Right to Buy)</w:t>
            </w:r>
          </w:p>
        </w:tc>
        <w:tc>
          <w:tcPr>
            <w:tcW w:w="1400" w:type="dxa"/>
            <w:vAlign w:val="bottom"/>
            <w:gridSpan w:val="2"/>
          </w:tcPr>
          <w:p>
            <w:pPr>
              <w:jc w:val="right"/>
              <w:ind w:right="309"/>
              <w:spacing w:after="0"/>
              <w:rPr>
                <w:sz w:val="20"/>
                <w:szCs w:val="20"/>
                <w:color w:val="auto"/>
              </w:rPr>
            </w:pPr>
            <w:r>
              <w:rPr>
                <w:rFonts w:ascii="Arial" w:cs="Arial" w:eastAsia="Arial" w:hAnsi="Arial"/>
                <w:sz w:val="11"/>
                <w:szCs w:val="11"/>
                <w:color w:val="008000"/>
              </w:rPr>
              <w:t>(4)</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03/14/2024</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8"/>
              <w:spacing w:after="0"/>
              <w:rPr>
                <w:sz w:val="20"/>
                <w:szCs w:val="20"/>
                <w:color w:val="auto"/>
              </w:rPr>
            </w:pPr>
            <w:r>
              <w:rPr>
                <w:rFonts w:ascii="Arial" w:cs="Arial" w:eastAsia="Arial" w:hAnsi="Arial"/>
                <w:sz w:val="18"/>
                <w:szCs w:val="18"/>
                <w:color w:val="0000FF"/>
                <w:w w:val="87"/>
              </w:rPr>
              <w:t>14,000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47.55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40" w:type="dxa"/>
            <w:vAlign w:val="bottom"/>
            <w:tcBorders>
              <w:bottom w:val="single" w:sz="8" w:color="2C2C2C"/>
            </w:tcBorders>
          </w:tcPr>
          <w:p>
            <w:pPr>
              <w:spacing w:after="0"/>
              <w:rPr>
                <w:sz w:val="5"/>
                <w:szCs w:val="5"/>
                <w:color w:val="auto"/>
              </w:rPr>
            </w:pPr>
          </w:p>
        </w:tc>
        <w:tc>
          <w:tcPr>
            <w:tcW w:w="140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40" w:type="dxa"/>
            <w:vAlign w:val="bottom"/>
          </w:tcPr>
          <w:p>
            <w:pPr>
              <w:ind w:left="60"/>
              <w:spacing w:after="0"/>
              <w:rPr>
                <w:sz w:val="20"/>
                <w:szCs w:val="20"/>
                <w:color w:val="auto"/>
              </w:rPr>
            </w:pPr>
            <w:r>
              <w:rPr>
                <w:rFonts w:ascii="Arial" w:cs="Arial" w:eastAsia="Arial" w:hAnsi="Arial"/>
                <w:sz w:val="18"/>
                <w:szCs w:val="18"/>
                <w:color w:val="0000FF"/>
                <w:w w:val="97"/>
              </w:rPr>
              <w:t>Employee Stock Option (Right to Buy)</w:t>
            </w:r>
          </w:p>
        </w:tc>
        <w:tc>
          <w:tcPr>
            <w:tcW w:w="1400" w:type="dxa"/>
            <w:vAlign w:val="bottom"/>
            <w:gridSpan w:val="2"/>
          </w:tcPr>
          <w:p>
            <w:pPr>
              <w:jc w:val="right"/>
              <w:ind w:right="309"/>
              <w:spacing w:after="0"/>
              <w:rPr>
                <w:sz w:val="20"/>
                <w:szCs w:val="20"/>
                <w:color w:val="auto"/>
              </w:rPr>
            </w:pPr>
            <w:r>
              <w:rPr>
                <w:rFonts w:ascii="Arial" w:cs="Arial" w:eastAsia="Arial" w:hAnsi="Arial"/>
                <w:sz w:val="11"/>
                <w:szCs w:val="11"/>
                <w:color w:val="008000"/>
              </w:rPr>
              <w:t>(4)</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03/14/2024</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8"/>
              <w:spacing w:after="0"/>
              <w:rPr>
                <w:sz w:val="20"/>
                <w:szCs w:val="20"/>
                <w:color w:val="auto"/>
              </w:rPr>
            </w:pPr>
            <w:r>
              <w:rPr>
                <w:rFonts w:ascii="Arial" w:cs="Arial" w:eastAsia="Arial" w:hAnsi="Arial"/>
                <w:sz w:val="18"/>
                <w:szCs w:val="18"/>
                <w:color w:val="0000FF"/>
                <w:w w:val="87"/>
              </w:rPr>
              <w:t>12,000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47.55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40" w:type="dxa"/>
            <w:vAlign w:val="bottom"/>
            <w:tcBorders>
              <w:bottom w:val="single" w:sz="8" w:color="2C2C2C"/>
            </w:tcBorders>
          </w:tcPr>
          <w:p>
            <w:pPr>
              <w:spacing w:after="0"/>
              <w:rPr>
                <w:sz w:val="5"/>
                <w:szCs w:val="5"/>
                <w:color w:val="auto"/>
              </w:rPr>
            </w:pPr>
          </w:p>
        </w:tc>
        <w:tc>
          <w:tcPr>
            <w:tcW w:w="140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40" w:type="dxa"/>
            <w:vAlign w:val="bottom"/>
          </w:tcPr>
          <w:p>
            <w:pPr>
              <w:ind w:left="60"/>
              <w:spacing w:after="0"/>
              <w:rPr>
                <w:sz w:val="20"/>
                <w:szCs w:val="20"/>
                <w:color w:val="auto"/>
              </w:rPr>
            </w:pPr>
            <w:r>
              <w:rPr>
                <w:rFonts w:ascii="Arial" w:cs="Arial" w:eastAsia="Arial" w:hAnsi="Arial"/>
                <w:sz w:val="18"/>
                <w:szCs w:val="18"/>
                <w:color w:val="0000FF"/>
                <w:w w:val="97"/>
              </w:rPr>
              <w:t>Employee Stock Option (Right to Buy)</w:t>
            </w:r>
          </w:p>
        </w:tc>
        <w:tc>
          <w:tcPr>
            <w:tcW w:w="1400" w:type="dxa"/>
            <w:vAlign w:val="bottom"/>
            <w:gridSpan w:val="2"/>
          </w:tcPr>
          <w:p>
            <w:pPr>
              <w:jc w:val="right"/>
              <w:ind w:right="309"/>
              <w:spacing w:after="0"/>
              <w:rPr>
                <w:sz w:val="20"/>
                <w:szCs w:val="20"/>
                <w:color w:val="auto"/>
              </w:rPr>
            </w:pPr>
            <w:r>
              <w:rPr>
                <w:rFonts w:ascii="Arial" w:cs="Arial" w:eastAsia="Arial" w:hAnsi="Arial"/>
                <w:sz w:val="11"/>
                <w:szCs w:val="11"/>
                <w:color w:val="008000"/>
              </w:rPr>
              <w:t>(5)</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03/12/2025</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8"/>
              <w:spacing w:after="0"/>
              <w:rPr>
                <w:sz w:val="20"/>
                <w:szCs w:val="20"/>
                <w:color w:val="auto"/>
              </w:rPr>
            </w:pPr>
            <w:r>
              <w:rPr>
                <w:rFonts w:ascii="Arial" w:cs="Arial" w:eastAsia="Arial" w:hAnsi="Arial"/>
                <w:sz w:val="18"/>
                <w:szCs w:val="18"/>
                <w:color w:val="0000FF"/>
                <w:w w:val="87"/>
              </w:rPr>
              <w:t>12,000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41.14</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40" w:type="dxa"/>
            <w:vAlign w:val="bottom"/>
            <w:tcBorders>
              <w:bottom w:val="single" w:sz="8" w:color="2C2C2C"/>
            </w:tcBorders>
          </w:tcPr>
          <w:p>
            <w:pPr>
              <w:spacing w:after="0"/>
              <w:rPr>
                <w:sz w:val="5"/>
                <w:szCs w:val="5"/>
                <w:color w:val="auto"/>
              </w:rPr>
            </w:pPr>
          </w:p>
        </w:tc>
        <w:tc>
          <w:tcPr>
            <w:tcW w:w="140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40" w:type="dxa"/>
            <w:vAlign w:val="bottom"/>
          </w:tcPr>
          <w:p>
            <w:pPr>
              <w:ind w:left="60"/>
              <w:spacing w:after="0"/>
              <w:rPr>
                <w:sz w:val="20"/>
                <w:szCs w:val="20"/>
                <w:color w:val="auto"/>
              </w:rPr>
            </w:pPr>
            <w:r>
              <w:rPr>
                <w:rFonts w:ascii="Arial" w:cs="Arial" w:eastAsia="Arial" w:hAnsi="Arial"/>
                <w:sz w:val="18"/>
                <w:szCs w:val="18"/>
                <w:color w:val="0000FF"/>
              </w:rPr>
              <w:t>Restricted Stock Units</w:t>
            </w:r>
          </w:p>
        </w:tc>
        <w:tc>
          <w:tcPr>
            <w:tcW w:w="1400" w:type="dxa"/>
            <w:vAlign w:val="bottom"/>
            <w:gridSpan w:val="2"/>
          </w:tcPr>
          <w:p>
            <w:pPr>
              <w:jc w:val="right"/>
              <w:ind w:right="309"/>
              <w:spacing w:after="0"/>
              <w:rPr>
                <w:sz w:val="20"/>
                <w:szCs w:val="20"/>
                <w:color w:val="auto"/>
              </w:rPr>
            </w:pPr>
            <w:r>
              <w:rPr>
                <w:rFonts w:ascii="Arial" w:cs="Arial" w:eastAsia="Arial" w:hAnsi="Arial"/>
                <w:sz w:val="11"/>
                <w:szCs w:val="11"/>
                <w:color w:val="008000"/>
              </w:rPr>
              <w:t>(6)</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(7)</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8"/>
              <w:spacing w:after="0"/>
              <w:rPr>
                <w:sz w:val="20"/>
                <w:szCs w:val="20"/>
                <w:color w:val="auto"/>
              </w:rPr>
            </w:pPr>
            <w:r>
              <w:rPr>
                <w:rFonts w:ascii="Arial" w:cs="Arial" w:eastAsia="Arial" w:hAnsi="Arial"/>
                <w:sz w:val="18"/>
                <w:szCs w:val="18"/>
                <w:color w:val="0000FF"/>
                <w:w w:val="88"/>
              </w:rPr>
              <w:t>3,734</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0.00</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40" w:type="dxa"/>
            <w:vAlign w:val="bottom"/>
            <w:tcBorders>
              <w:bottom w:val="single" w:sz="8" w:color="2C2C2C"/>
            </w:tcBorders>
          </w:tcPr>
          <w:p>
            <w:pPr>
              <w:spacing w:after="0"/>
              <w:rPr>
                <w:sz w:val="5"/>
                <w:szCs w:val="5"/>
                <w:color w:val="auto"/>
              </w:rPr>
            </w:pPr>
          </w:p>
        </w:tc>
        <w:tc>
          <w:tcPr>
            <w:tcW w:w="140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40" w:type="dxa"/>
            <w:vAlign w:val="bottom"/>
          </w:tcPr>
          <w:p>
            <w:pPr>
              <w:ind w:left="60"/>
              <w:spacing w:after="0"/>
              <w:rPr>
                <w:sz w:val="20"/>
                <w:szCs w:val="20"/>
                <w:color w:val="auto"/>
              </w:rPr>
            </w:pPr>
            <w:r>
              <w:rPr>
                <w:rFonts w:ascii="Arial" w:cs="Arial" w:eastAsia="Arial" w:hAnsi="Arial"/>
                <w:sz w:val="18"/>
                <w:szCs w:val="18"/>
                <w:color w:val="0000FF"/>
              </w:rPr>
              <w:t>Restricted Stock Units</w:t>
            </w:r>
          </w:p>
        </w:tc>
        <w:tc>
          <w:tcPr>
            <w:tcW w:w="1400" w:type="dxa"/>
            <w:vAlign w:val="bottom"/>
            <w:gridSpan w:val="2"/>
          </w:tcPr>
          <w:p>
            <w:pPr>
              <w:jc w:val="right"/>
              <w:ind w:right="309"/>
              <w:spacing w:after="0"/>
              <w:rPr>
                <w:sz w:val="20"/>
                <w:szCs w:val="20"/>
                <w:color w:val="auto"/>
              </w:rPr>
            </w:pPr>
            <w:r>
              <w:rPr>
                <w:rFonts w:ascii="Arial" w:cs="Arial" w:eastAsia="Arial" w:hAnsi="Arial"/>
                <w:sz w:val="11"/>
                <w:szCs w:val="11"/>
                <w:color w:val="008000"/>
              </w:rPr>
              <w:t>(8)</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(7)</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8"/>
              <w:spacing w:after="0"/>
              <w:rPr>
                <w:sz w:val="20"/>
                <w:szCs w:val="20"/>
                <w:color w:val="auto"/>
              </w:rPr>
            </w:pPr>
            <w:r>
              <w:rPr>
                <w:rFonts w:ascii="Arial" w:cs="Arial" w:eastAsia="Arial" w:hAnsi="Arial"/>
                <w:sz w:val="18"/>
                <w:szCs w:val="18"/>
                <w:color w:val="0000FF"/>
                <w:w w:val="88"/>
              </w:rPr>
              <w:t>3,200</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0.00</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40" w:type="dxa"/>
            <w:vAlign w:val="bottom"/>
            <w:tcBorders>
              <w:bottom w:val="single" w:sz="8" w:color="2C2C2C"/>
            </w:tcBorders>
          </w:tcPr>
          <w:p>
            <w:pPr>
              <w:spacing w:after="0"/>
              <w:rPr>
                <w:sz w:val="5"/>
                <w:szCs w:val="5"/>
                <w:color w:val="auto"/>
              </w:rPr>
            </w:pPr>
          </w:p>
        </w:tc>
        <w:tc>
          <w:tcPr>
            <w:tcW w:w="140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40" w:type="dxa"/>
            <w:vAlign w:val="bottom"/>
          </w:tcPr>
          <w:p>
            <w:pPr>
              <w:ind w:left="60"/>
              <w:spacing w:after="0"/>
              <w:rPr>
                <w:sz w:val="20"/>
                <w:szCs w:val="20"/>
                <w:color w:val="auto"/>
              </w:rPr>
            </w:pPr>
            <w:r>
              <w:rPr>
                <w:rFonts w:ascii="Arial" w:cs="Arial" w:eastAsia="Arial" w:hAnsi="Arial"/>
                <w:sz w:val="18"/>
                <w:szCs w:val="18"/>
                <w:color w:val="0000FF"/>
              </w:rPr>
              <w:t>Restricted Stock Units</w:t>
            </w:r>
          </w:p>
        </w:tc>
        <w:tc>
          <w:tcPr>
            <w:tcW w:w="1400" w:type="dxa"/>
            <w:vAlign w:val="bottom"/>
            <w:gridSpan w:val="2"/>
          </w:tcPr>
          <w:p>
            <w:pPr>
              <w:jc w:val="right"/>
              <w:ind w:right="309"/>
              <w:spacing w:after="0"/>
              <w:rPr>
                <w:sz w:val="20"/>
                <w:szCs w:val="20"/>
                <w:color w:val="auto"/>
              </w:rPr>
            </w:pPr>
            <w:r>
              <w:rPr>
                <w:rFonts w:ascii="Arial" w:cs="Arial" w:eastAsia="Arial" w:hAnsi="Arial"/>
                <w:sz w:val="11"/>
                <w:szCs w:val="11"/>
                <w:color w:val="008000"/>
              </w:rPr>
              <w:t>(9)</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(7)</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8"/>
              <w:spacing w:after="0"/>
              <w:rPr>
                <w:sz w:val="20"/>
                <w:szCs w:val="20"/>
                <w:color w:val="auto"/>
              </w:rPr>
            </w:pPr>
            <w:r>
              <w:rPr>
                <w:rFonts w:ascii="Arial" w:cs="Arial" w:eastAsia="Arial" w:hAnsi="Arial"/>
                <w:sz w:val="18"/>
                <w:szCs w:val="18"/>
                <w:color w:val="0000FF"/>
                <w:w w:val="88"/>
              </w:rPr>
              <w:t>4,401</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0.00</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0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is fully vested.</w:t>
      </w:r>
    </w:p>
    <w:p>
      <w:pPr>
        <w:spacing w:after="0" w:line="41"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1/48th of the shares subject to the Option vested on January 1, 2012 and 1/48th of the shares subject to the Option vested on February 1, 2012 and each month thereafter, such that the Option will be fully vested on January 1, 2016.</w:t>
      </w:r>
    </w:p>
    <w:p>
      <w:pPr>
        <w:spacing w:after="0" w:line="30"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1/48th of the shares subject to the Option vested on January 1, 2013 and 1/48th of the shares subject to the Option vested on February 1, 2013 and each month thereafter, such that the Option will be fully vested on January 1, 2017.</w:t>
      </w:r>
    </w:p>
    <w:p>
      <w:pPr>
        <w:spacing w:after="0" w:line="30"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1/48th of the shares subject to the Option vested on January 1, 2014 and 1/48th of the shares subject to the Option vested on February 1, 2014 and each month thereafter, such that the Option will be fully vested on January 1, 2018.</w:t>
      </w:r>
    </w:p>
    <w:p>
      <w:pPr>
        <w:spacing w:after="0" w:line="30" w:lineRule="exact"/>
        <w:rPr>
          <w:rFonts w:ascii="Arial" w:cs="Arial" w:eastAsia="Arial" w:hAnsi="Arial"/>
          <w:sz w:val="14"/>
          <w:szCs w:val="14"/>
          <w:color w:val="008000"/>
        </w:rPr>
      </w:pPr>
    </w:p>
    <w:p>
      <w:pPr>
        <w:ind w:left="40" w:right="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2/48th of the shares subject to the Option vested on March 12, 2015 and 1/48th of the shares subject to the Option vest on April 1, 2015 and each month thereafter, such that the Option will be fully vested on January 1, 2019.</w:t>
      </w:r>
    </w:p>
    <w:p>
      <w:pPr>
        <w:spacing w:after="0" w:line="30" w:lineRule="exact"/>
        <w:rPr>
          <w:rFonts w:ascii="Arial" w:cs="Arial" w:eastAsia="Arial" w:hAnsi="Arial"/>
          <w:sz w:val="14"/>
          <w:szCs w:val="14"/>
          <w:color w:val="008000"/>
        </w:rPr>
      </w:pPr>
    </w:p>
    <w:p>
      <w:pPr>
        <w:jc w:val="both"/>
        <w:ind w:left="40" w:right="1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On March 14, 2014, the Reporting Person was originally granted 5,600 Restricted Stock Units of which 4/48th of the total number of shares underlying the Restricted Stock Units granted vested on May 20, 2014, and 3/48th of the total number of shares underlying the Restricted Stock Units granted vest every three months thereafter until fully vested, subject to recipient's continued status as a Service Provider as defined in the Company's 2011 Equity Incentive Plan through the applicable vest date.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Restricted Stock Unit represents the contingent right to receive one share of FLDM common stock upon vesting of the unit.</w:t>
      </w:r>
    </w:p>
    <w:p>
      <w:pPr>
        <w:spacing w:after="0" w:line="41" w:lineRule="exact"/>
        <w:rPr>
          <w:rFonts w:ascii="Arial" w:cs="Arial" w:eastAsia="Arial" w:hAnsi="Arial"/>
          <w:sz w:val="14"/>
          <w:szCs w:val="14"/>
          <w:color w:val="008000"/>
        </w:rPr>
      </w:pPr>
    </w:p>
    <w:p>
      <w:pPr>
        <w:jc w:val="both"/>
        <w:ind w:left="40" w:right="1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On March 14, 2014, the Reporting Person was originally granted 4,800 Restricted Stock Units of which 4/48th of the total number of shares underlying the Restricted Stock Units granted vested on May 20, 2014, and 3/48th of the total number of shares underlying the Restricted Stock Units granted vest every three months thereafter until fully vested, subject to recipient's continued status as a Service Provider as defined in the Company's 2011 Equity Incentive Plan through the applicable vest date.</w:t>
      </w:r>
    </w:p>
    <w:p>
      <w:pPr>
        <w:spacing w:after="0" w:line="30" w:lineRule="exact"/>
        <w:rPr>
          <w:rFonts w:ascii="Arial" w:cs="Arial" w:eastAsia="Arial" w:hAnsi="Arial"/>
          <w:sz w:val="14"/>
          <w:szCs w:val="14"/>
          <w:color w:val="008000"/>
        </w:rPr>
      </w:pPr>
    </w:p>
    <w:p>
      <w:pPr>
        <w:jc w:val="both"/>
        <w:ind w:left="40" w:right="1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On March 12, 2015, the Reporting Person was originally granted 4,800 Restricted Stock Units of which 4/48th of the total number of shares underlying the Restricted Stock Units granted vested on May 20, 2015, and 3/48th of the total number of shares underlying the Restricted Stock Units granted vest every three months thereafter until fully vested, subject to recipient's continued status as a Service Provider as defined in the Company's 2011 Equity Incentive Plan through the applicable vest date.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226" w:right="239" w:bottom="0" w:gutter="0" w:footer="0" w:header="0"/>
          <w:type w:val="continuous"/>
        </w:sectPr>
      </w:pPr>
    </w:p>
    <w:p>
      <w:pPr>
        <w:spacing w:after="0" w:line="58"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Sr. VP, R&amp;D &amp; Single-Cell Biology Marketing Exhibit List Exhibit 24 - Power of Attorney</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682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Valerie Barnett, attorney-in-</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08/17/2015</w:t>
            </w:r>
          </w:p>
        </w:tc>
        <w:tc>
          <w:tcPr>
            <w:tcW w:w="0" w:type="dxa"/>
            <w:vAlign w:val="bottom"/>
          </w:tcPr>
          <w:p>
            <w:pPr>
              <w:spacing w:after="0"/>
              <w:rPr>
                <w:sz w:val="1"/>
                <w:szCs w:val="1"/>
                <w:color w:val="auto"/>
              </w:rPr>
            </w:pPr>
          </w:p>
        </w:tc>
      </w:tr>
      <w:tr>
        <w:trPr>
          <w:trHeight w:val="88"/>
        </w:trPr>
        <w:tc>
          <w:tcPr>
            <w:tcW w:w="2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70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top w:val="single" w:sz="8" w:color="auto"/>
              <w:bottom w:val="single" w:sz="8" w:color="auto"/>
            </w:tcBorders>
            <w:vMerge w:val="continue"/>
          </w:tcPr>
          <w:p>
            <w:pPr>
              <w:spacing w:after="0"/>
              <w:rPr>
                <w:sz w:val="7"/>
                <w:szCs w:val="7"/>
                <w:color w:val="auto"/>
              </w:rPr>
            </w:pPr>
          </w:p>
        </w:tc>
        <w:tc>
          <w:tcPr>
            <w:tcW w:w="170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320"/>
          </w:cols>
          <w:pgMar w:left="280" w:top="122" w:right="1299" w:bottom="1440" w:gutter="0" w:footer="0" w:header="0"/>
        </w:sectPr>
      </w:pPr>
    </w:p>
    <w:bookmarkStart w:id="2" w:name="page3"/>
    <w:bookmarkEnd w:id="2"/>
    <w:p>
      <w:pPr>
        <w:jc w:val="center"/>
        <w:ind w:right="187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The undersigned, as a Section 16 reporting person of Fluidigm Corporation (the "Company"), hereby constitutes and appoints the officers of the Company and the responsible attorneys and paralegals of Wilson Sonsini Goodrich &amp; Rosati, P.C., and each of them, the undersigned's true and lawful attorney-in-fact to:</w:t>
      </w:r>
    </w:p>
    <w:p>
      <w:pPr>
        <w:spacing w:after="0" w:line="182" w:lineRule="exact"/>
        <w:rPr>
          <w:sz w:val="20"/>
          <w:szCs w:val="20"/>
          <w:color w:val="auto"/>
        </w:rPr>
      </w:pPr>
    </w:p>
    <w:p>
      <w:pPr>
        <w:ind w:left="960" w:right="1779" w:hanging="425"/>
        <w:spacing w:after="0" w:line="237"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Forms ID, 3,4 and 5 and other forms and all amendments thereto as such attorney-in-fact shall in his or her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211" w:lineRule="exact"/>
        <w:rPr>
          <w:rFonts w:ascii="Courier New" w:cs="Courier New" w:eastAsia="Courier New" w:hAnsi="Courier New"/>
          <w:sz w:val="18"/>
          <w:szCs w:val="18"/>
          <w:color w:val="auto"/>
        </w:rPr>
      </w:pPr>
    </w:p>
    <w:p>
      <w:pPr>
        <w:ind w:left="960" w:right="1999" w:hanging="425"/>
        <w:spacing w:after="0" w:line="237"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all acts necessary in order to file such forms with the Securities and Exchange Commission, any securities exchange or national association, the Company and such other person or agency as the attorney-in-fact shall deem appropriate.</w:t>
      </w:r>
    </w:p>
    <w:p>
      <w:pPr>
        <w:spacing w:after="0" w:line="207"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The undersigned hereby ratifies and confirms all that said attorney-in-fact and agents shall do or cause to be done by virtue hereof. The undersigned acknowledges that the foregoing attorney-in-fact, in serving in such capacity at the request of the undersigned, are not assuming, nor is the Company assuming, any of the undersigned's responsibilities to comply with Section 16 of the Securities Exchange Act of 1934 (as amended).</w:t>
      </w:r>
    </w:p>
    <w:p>
      <w:pPr>
        <w:spacing w:after="0" w:line="210"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ID, 3, 4 and 5 with respect to the undersigned's holdings of and transactions in securities issued by the Company, unless earlier revoked by the undersigned in a signed writing delivered to the Company and the foregoing attorney-in-fact.</w:t>
      </w:r>
    </w:p>
    <w:p>
      <w:pPr>
        <w:spacing w:after="0" w:line="209" w:lineRule="exact"/>
        <w:rPr>
          <w:sz w:val="20"/>
          <w:szCs w:val="20"/>
          <w:color w:val="auto"/>
        </w:rPr>
      </w:pPr>
    </w:p>
    <w:p>
      <w:pPr>
        <w:ind w:right="1999" w:firstLine="316"/>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12th day of August, 2015.</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ind w:right="2099" w:firstLine="316"/>
        <w:spacing w:after="0" w:line="236" w:lineRule="auto"/>
        <w:rPr>
          <w:sz w:val="20"/>
          <w:szCs w:val="20"/>
          <w:color w:val="auto"/>
        </w:rPr>
      </w:pPr>
      <w:r>
        <w:rPr>
          <w:rFonts w:ascii="Courier New" w:cs="Courier New" w:eastAsia="Courier New" w:hAnsi="Courier New"/>
          <w:sz w:val="18"/>
          <w:szCs w:val="18"/>
          <w:color w:val="auto"/>
        </w:rPr>
        <w:t>/s/ Marc Unger ------------------------- Marc Unger</w:t>
      </w:r>
    </w:p>
    <w:sectPr>
      <w:pgSz w:w="11900" w:h="16838" w:orient="portrait"/>
      <w:cols w:equalWidth="0" w:num="2">
        <w:col w:w="5160" w:space="320"/>
        <w:col w:w="473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51032" TargetMode="External"/><Relationship Id="rId12"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2019-12-08T00:10:37Z</dcterms:created>
  <dcterms:modified xsi:type="dcterms:W3CDTF">2019-12-08T00:10:37Z</dcterms:modified>
</cp:coreProperties>
</file>