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Legal Affairs &amp; GC</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08/13/2012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3,000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1.82</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52,545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08/13/2012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3,000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14.7662</w:t>
            </w:r>
            <w:r>
              <w:rPr>
                <w:rFonts w:ascii="Arial" w:cs="Arial" w:eastAsia="Arial" w:hAnsi="Arial"/>
                <w:sz w:val="22"/>
                <w:szCs w:val="22"/>
                <w:color w:val="008000"/>
                <w:w w:val="85"/>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49,545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3,000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08/13/2012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3,000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07/15/2013</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80"/>
              <w:spacing w:after="0" w:line="133" w:lineRule="exact"/>
              <w:rPr>
                <w:sz w:val="20"/>
                <w:szCs w:val="20"/>
                <w:color w:val="auto"/>
              </w:rPr>
            </w:pPr>
            <w:r>
              <w:rPr>
                <w:rFonts w:ascii="Arial" w:cs="Arial" w:eastAsia="Arial" w:hAnsi="Arial"/>
                <w:sz w:val="14"/>
                <w:szCs w:val="14"/>
                <w:color w:val="0000FF"/>
              </w:rPr>
              <w:t>412</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September 6,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$14.72 to $14.82,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April 1,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08/14/2012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2019-12-17T16:28:50Z</dcterms:created>
  <dcterms:modified xsi:type="dcterms:W3CDTF">2019-12-17T16:28:50Z</dcterms:modified>
</cp:coreProperties>
</file>