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851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5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Kreger Bradley Allen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4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Operations</w:t>
      </w:r>
    </w:p>
    <w:p>
      <w:pPr>
        <w:spacing w:after="0" w:line="5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-2487295</wp:posOffset>
            </wp:positionH>
            <wp:positionV relativeFrom="paragraph">
              <wp:posOffset>260985</wp:posOffset>
            </wp:positionV>
            <wp:extent cx="6969760" cy="8648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7386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738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vest over three years, with 1/2 of the total number of shares vesting on May 20, 2021 and 1/4 of the total number of shares vesting on each of May 20, 2022 and May 20, 2023.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Bradley Kreger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8255</wp:posOffset>
            </wp:positionV>
            <wp:extent cx="1307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1116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05/26/2020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8255</wp:posOffset>
            </wp:positionV>
            <wp:extent cx="4787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9205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2020-05-26T08:33:17Z</dcterms:created>
  <dcterms:modified xsi:type="dcterms:W3CDTF">2020-05-26T08:33:17Z</dcterms:modified>
</cp:coreProperties>
</file>