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January 11, 2022</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$0.001 par value per share</w:t>
            </w:r>
          </w:p>
        </w:tc>
        <w:tc>
          <w:tcPr>
            <w:tcW w:w="2360" w:type="dxa"/>
            <w:vAlign w:val="bottom"/>
          </w:tcPr>
          <w:p>
            <w:pPr>
              <w:jc w:val="center"/>
              <w:ind w:right="50"/>
              <w:spacing w:after="0"/>
              <w:rPr>
                <w:sz w:val="20"/>
                <w:szCs w:val="20"/>
                <w:color w:val="auto"/>
              </w:rPr>
            </w:pPr>
            <w:r>
              <w:rPr>
                <w:rFonts w:ascii="Arial" w:cs="Arial" w:eastAsia="Arial" w:hAnsi="Arial"/>
                <w:sz w:val="18"/>
                <w:szCs w:val="18"/>
                <w:color w:val="auto"/>
              </w:rPr>
              <w:t>FLDM</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160" w:firstLine="389"/>
        <w:spacing w:after="0" w:line="277" w:lineRule="auto"/>
        <w:rPr>
          <w:sz w:val="20"/>
          <w:szCs w:val="20"/>
          <w:color w:val="auto"/>
        </w:rPr>
      </w:pPr>
      <w:r>
        <w:rPr>
          <w:rFonts w:ascii="Arial" w:cs="Arial" w:eastAsia="Arial" w:hAnsi="Arial"/>
          <w:sz w:val="18"/>
          <w:szCs w:val="18"/>
          <w:color w:val="auto"/>
        </w:rPr>
        <w:t>On January 11, 2022, Fluidigm Corporation issued a press release announcing preliminary financial results for the fourth quarter and full year ended December 31, 2021. A copy of the press release is furnished herewith as Exhibit 99.1.</w:t>
      </w:r>
    </w:p>
    <w:p>
      <w:pPr>
        <w:spacing w:after="0" w:line="143"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ind w:left="20" w:right="9120" w:hanging="12"/>
        <w:spacing w:after="0" w:line="501" w:lineRule="auto"/>
        <w:tabs>
          <w:tab w:leader="none" w:pos="27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INDEX </w:t>
      </w:r>
      <w:r>
        <w:rPr>
          <w:rFonts w:ascii="Arial" w:cs="Arial" w:eastAsia="Arial" w:hAnsi="Arial"/>
          <w:sz w:val="18"/>
          <w:szCs w:val="18"/>
          <w:b w:val="1"/>
          <w:bCs w:val="1"/>
          <w:u w:val="single" w:color="auto"/>
          <w:color w:val="auto"/>
        </w:rPr>
        <w:t>Exhibit No. Description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3"/>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460" w:type="dxa"/>
            <w:vAlign w:val="bottom"/>
            <w:gridSpan w:val="3"/>
          </w:tcPr>
          <w:p>
            <w:pPr>
              <w:ind w:left="460"/>
              <w:spacing w:after="0"/>
              <w:rPr>
                <w:rFonts w:ascii="Arial" w:cs="Arial" w:eastAsia="Arial" w:hAnsi="Arial"/>
                <w:sz w:val="18"/>
                <w:szCs w:val="18"/>
                <w:color w:val="0000EE"/>
              </w:rPr>
            </w:pPr>
            <w:hyperlink w:anchor="page4">
              <w:r>
                <w:rPr>
                  <w:rFonts w:ascii="Arial" w:cs="Arial" w:eastAsia="Arial" w:hAnsi="Arial"/>
                  <w:sz w:val="18"/>
                  <w:szCs w:val="18"/>
                  <w:color w:val="0000EE"/>
                </w:rPr>
                <w:t>Fluidigm Corporation Press Release dated January 11, 2022.</w:t>
              </w:r>
            </w:hyperlink>
          </w:p>
        </w:tc>
      </w:tr>
      <w:tr>
        <w:trPr>
          <w:trHeight w:val="20"/>
        </w:trPr>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77"/>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440" w:type="dxa"/>
            <w:vAlign w:val="bottom"/>
          </w:tcPr>
          <w:p>
            <w:pPr>
              <w:spacing w:after="0"/>
              <w:rPr>
                <w:sz w:val="24"/>
                <w:szCs w:val="24"/>
                <w:color w:val="auto"/>
              </w:rPr>
            </w:pPr>
          </w:p>
        </w:tc>
        <w:tc>
          <w:tcPr>
            <w:tcW w:w="10460" w:type="dxa"/>
            <w:vAlign w:val="bottom"/>
            <w:gridSpan w:val="3"/>
          </w:tcPr>
          <w:p>
            <w:pPr>
              <w:ind w:left="4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5640" w:type="dxa"/>
            <w:vAlign w:val="bottom"/>
          </w:tcPr>
          <w:p>
            <w:pPr>
              <w:spacing w:after="0"/>
              <w:rPr>
                <w:sz w:val="22"/>
                <w:szCs w:val="22"/>
                <w:color w:val="auto"/>
              </w:rPr>
            </w:pPr>
          </w:p>
        </w:tc>
      </w:tr>
      <w:tr>
        <w:trPr>
          <w:trHeight w:val="68"/>
        </w:trPr>
        <w:tc>
          <w:tcPr>
            <w:tcW w:w="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360" w:type="dxa"/>
            <w:vAlign w:val="bottom"/>
            <w:shd w:val="clear" w:color="auto" w:fill="000000"/>
          </w:tcPr>
          <w:p>
            <w:pPr>
              <w:spacing w:after="0"/>
              <w:rPr>
                <w:sz w:val="5"/>
                <w:szCs w:val="5"/>
                <w:color w:val="auto"/>
              </w:rPr>
            </w:pPr>
          </w:p>
        </w:tc>
        <w:tc>
          <w:tcPr>
            <w:tcW w:w="56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880" w:type="dxa"/>
            <w:vAlign w:val="bottom"/>
            <w:gridSpan w:val="3"/>
          </w:tcPr>
          <w:p>
            <w:pPr>
              <w:ind w:left="1900"/>
              <w:spacing w:after="0"/>
              <w:rPr>
                <w:sz w:val="20"/>
                <w:szCs w:val="20"/>
                <w:color w:val="auto"/>
              </w:rPr>
            </w:pPr>
            <w:r>
              <w:rPr>
                <w:rFonts w:ascii="Arial" w:cs="Arial" w:eastAsia="Arial" w:hAnsi="Arial"/>
                <w:sz w:val="18"/>
                <w:szCs w:val="18"/>
                <w:b w:val="1"/>
                <w:bCs w:val="1"/>
                <w:color w:val="auto"/>
              </w:rPr>
              <w:t>Fluidigm Corporation</w:t>
            </w:r>
          </w:p>
        </w:tc>
      </w:tr>
      <w:tr>
        <w:trPr>
          <w:trHeight w:val="688"/>
        </w:trPr>
        <w:tc>
          <w:tcPr>
            <w:tcW w:w="3560" w:type="dxa"/>
            <w:vAlign w:val="bottom"/>
          </w:tcPr>
          <w:p>
            <w:pPr>
              <w:spacing w:after="0"/>
              <w:rPr>
                <w:sz w:val="20"/>
                <w:szCs w:val="20"/>
                <w:color w:val="auto"/>
              </w:rPr>
            </w:pPr>
            <w:r>
              <w:rPr>
                <w:rFonts w:ascii="Arial" w:cs="Arial" w:eastAsia="Arial" w:hAnsi="Arial"/>
                <w:sz w:val="18"/>
                <w:szCs w:val="18"/>
                <w:color w:val="auto"/>
              </w:rPr>
              <w:t>Date: January 11, 2022</w:t>
            </w:r>
          </w:p>
        </w:tc>
        <w:tc>
          <w:tcPr>
            <w:tcW w:w="3880" w:type="dxa"/>
            <w:vAlign w:val="bottom"/>
            <w:gridSpan w:val="3"/>
          </w:tcPr>
          <w:p>
            <w:pPr>
              <w:ind w:left="1900"/>
              <w:spacing w:after="0"/>
              <w:rPr>
                <w:sz w:val="20"/>
                <w:szCs w:val="20"/>
                <w:color w:val="auto"/>
              </w:rPr>
            </w:pPr>
            <w:r>
              <w:rPr>
                <w:rFonts w:ascii="Arial" w:cs="Arial" w:eastAsia="Arial" w:hAnsi="Arial"/>
                <w:sz w:val="18"/>
                <w:szCs w:val="18"/>
                <w:color w:val="auto"/>
              </w:rPr>
              <w:t>By: /s/ Vikram Jog</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Fluidigm Announces Preliminary Revenue Exceeding Guidance for the Fourth Quarter and Full Year 2021</w:t>
      </w:r>
    </w:p>
    <w:p>
      <w:pPr>
        <w:spacing w:after="0" w:line="136" w:lineRule="exact"/>
        <w:rPr>
          <w:sz w:val="20"/>
          <w:szCs w:val="20"/>
          <w:color w:val="auto"/>
        </w:rPr>
      </w:pPr>
    </w:p>
    <w:p>
      <w:pPr>
        <w:ind w:left="2900"/>
        <w:spacing w:after="0"/>
        <w:rPr>
          <w:sz w:val="20"/>
          <w:szCs w:val="20"/>
          <w:color w:val="auto"/>
        </w:rPr>
      </w:pPr>
      <w:r>
        <w:rPr>
          <w:rFonts w:ascii="Arial" w:cs="Arial" w:eastAsia="Arial" w:hAnsi="Arial"/>
          <w:sz w:val="22"/>
          <w:szCs w:val="22"/>
          <w:b w:val="1"/>
          <w:bCs w:val="1"/>
          <w:i w:val="1"/>
          <w:iCs w:val="1"/>
          <w:color w:val="auto"/>
        </w:rPr>
        <w:t>Fourth quarter preliminary revenue of $38.0 to $38.3 million</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b w:val="1"/>
          <w:bCs w:val="1"/>
          <w:i w:val="1"/>
          <w:iCs w:val="1"/>
          <w:color w:val="auto"/>
        </w:rPr>
        <w:t>Full year 2021 preliminary revenue of $130.3 to $130.6 million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9"/>
          <w:szCs w:val="19"/>
          <w:b w:val="1"/>
          <w:bCs w:val="1"/>
          <w:i w:val="1"/>
          <w:iCs w:val="1"/>
          <w:color w:val="auto"/>
        </w:rPr>
        <w:t>Base product and service revenue growth of approximately 13% for fourth quarter and 12% for full year as new Biomark</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OEM and CyTOF XT instruments contributed to revenue</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22"/>
          <w:szCs w:val="22"/>
          <w:color w:val="auto"/>
        </w:rPr>
        <w:t>SOUTH SAN FRANCISCO, Calif., Jan. 11, 2022 (GLOBE NEWSWIRE) -- Fluidigm Corporation (NASDAQ: FLDM) today announced preliminary revenue for the fourth quarter and full year ended December 31, 2021, exceeding the company’s guidance for those periods.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Revenue Highlights</w:t>
      </w:r>
    </w:p>
    <w:p>
      <w:pPr>
        <w:spacing w:after="0" w:line="212" w:lineRule="exact"/>
        <w:rPr>
          <w:sz w:val="20"/>
          <w:szCs w:val="20"/>
          <w:color w:val="auto"/>
        </w:rPr>
      </w:pPr>
    </w:p>
    <w:p>
      <w:pPr>
        <w:ind w:left="540" w:right="400"/>
        <w:spacing w:after="0" w:line="239" w:lineRule="auto"/>
        <w:rPr>
          <w:sz w:val="20"/>
          <w:szCs w:val="20"/>
          <w:color w:val="auto"/>
        </w:rPr>
      </w:pPr>
      <w:r>
        <w:rPr>
          <w:rFonts w:ascii="Arial" w:cs="Arial" w:eastAsia="Arial" w:hAnsi="Arial"/>
          <w:sz w:val="22"/>
          <w:szCs w:val="22"/>
          <w:color w:val="auto"/>
        </w:rPr>
        <w:t>Fourth quarter 2021 total revenue of $38.0 to $38.3 million, exceeding the company’s prior guidance range of $31–$34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80"/>
        <w:spacing w:after="0" w:line="230" w:lineRule="auto"/>
        <w:rPr>
          <w:sz w:val="20"/>
          <w:szCs w:val="20"/>
          <w:color w:val="auto"/>
        </w:rPr>
      </w:pPr>
      <w:r>
        <w:rPr>
          <w:rFonts w:ascii="Arial" w:cs="Arial" w:eastAsia="Arial" w:hAnsi="Arial"/>
          <w:sz w:val="22"/>
          <w:szCs w:val="22"/>
          <w:color w:val="auto"/>
        </w:rPr>
        <w:t>Base product and service revenue (excluding COVID-19 testing revenue) of $35.1 to $35.4 million, or a year-over-year growth of approximately 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Arial" w:cs="Arial" w:eastAsia="Arial" w:hAnsi="Arial"/>
          <w:sz w:val="22"/>
          <w:szCs w:val="22"/>
          <w:color w:val="auto"/>
        </w:rPr>
        <w:t>Mass Cytometry product and service revenue of $21.0 to $21.2 million, or a year-over-year growth of approximately 8%–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40"/>
        <w:spacing w:after="0" w:line="236" w:lineRule="auto"/>
        <w:rPr>
          <w:sz w:val="20"/>
          <w:szCs w:val="20"/>
          <w:color w:val="auto"/>
        </w:rPr>
      </w:pPr>
      <w:r>
        <w:rPr>
          <w:rFonts w:ascii="Arial" w:cs="Arial" w:eastAsia="Arial" w:hAnsi="Arial"/>
          <w:sz w:val="22"/>
          <w:szCs w:val="22"/>
          <w:color w:val="auto"/>
        </w:rPr>
        <w:t>Base Microfluidics product and service revenue of $14.1 to $14.2 million (excluding COVID-19 testing revenue of approximately $2.7 million), or a year-over-year growth of approximately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Revenue Highlights</w:t>
      </w:r>
    </w:p>
    <w:p>
      <w:pPr>
        <w:spacing w:after="0" w:line="212" w:lineRule="exact"/>
        <w:rPr>
          <w:sz w:val="20"/>
          <w:szCs w:val="20"/>
          <w:color w:val="auto"/>
        </w:rPr>
      </w:pPr>
    </w:p>
    <w:p>
      <w:pPr>
        <w:ind w:left="540" w:right="440"/>
        <w:spacing w:after="0" w:line="239" w:lineRule="auto"/>
        <w:rPr>
          <w:sz w:val="20"/>
          <w:szCs w:val="20"/>
          <w:color w:val="auto"/>
        </w:rPr>
      </w:pPr>
      <w:r>
        <w:rPr>
          <w:rFonts w:ascii="Arial" w:cs="Arial" w:eastAsia="Arial" w:hAnsi="Arial"/>
          <w:sz w:val="22"/>
          <w:szCs w:val="22"/>
          <w:color w:val="auto"/>
        </w:rPr>
        <w:t>Full year 2021 total revenue of $130.3 to $130.6 million, exceeding the company’s prior guidance range of $123–$127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30" w:lineRule="auto"/>
        <w:rPr>
          <w:sz w:val="20"/>
          <w:szCs w:val="20"/>
          <w:color w:val="auto"/>
        </w:rPr>
      </w:pPr>
      <w:r>
        <w:rPr>
          <w:rFonts w:ascii="Arial" w:cs="Arial" w:eastAsia="Arial" w:hAnsi="Arial"/>
          <w:sz w:val="22"/>
          <w:szCs w:val="22"/>
          <w:color w:val="auto"/>
        </w:rPr>
        <w:t>Base product and service revenue (excluding COVID-19 testing revenue) of $111.9 to $112.2 million, or a year-over-year growth of approximately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0"/>
        <w:spacing w:after="0" w:line="243" w:lineRule="auto"/>
        <w:rPr>
          <w:sz w:val="20"/>
          <w:szCs w:val="20"/>
          <w:color w:val="auto"/>
        </w:rPr>
      </w:pPr>
      <w:r>
        <w:rPr>
          <w:rFonts w:ascii="Arial" w:cs="Arial" w:eastAsia="Arial" w:hAnsi="Arial"/>
          <w:sz w:val="21"/>
          <w:szCs w:val="21"/>
          <w:color w:val="auto"/>
        </w:rPr>
        <w:t>Mass Cytometry product and service revenue of $67.5 to $67.7 million, or a year-over-year growth of approximately 9%. Base Microfluidics product and service revenue of $44.4 to $44.5 million (excluding COVID-19 testing revenue of approximately $14.1 million), or a year-over-year growth of approximately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-415925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-261620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80"/>
        <w:spacing w:after="0" w:line="200" w:lineRule="auto"/>
        <w:rPr>
          <w:sz w:val="20"/>
          <w:szCs w:val="20"/>
          <w:color w:val="auto"/>
        </w:rPr>
      </w:pPr>
      <w:r>
        <w:rPr>
          <w:rFonts w:ascii="Arial" w:cs="Arial" w:eastAsia="Arial" w:hAnsi="Arial"/>
          <w:sz w:val="22"/>
          <w:szCs w:val="22"/>
          <w:color w:val="auto"/>
        </w:rPr>
        <w:t>New instrument platforms launched in 2021, including CyTOF</w:t>
      </w:r>
      <w:r>
        <w:rPr>
          <w:rFonts w:ascii="Arial" w:cs="Arial" w:eastAsia="Arial" w:hAnsi="Arial"/>
          <w:sz w:val="35"/>
          <w:szCs w:val="35"/>
          <w:color w:val="auto"/>
          <w:vertAlign w:val="superscript"/>
        </w:rPr>
        <w:t>®</w:t>
      </w:r>
      <w:r>
        <w:rPr>
          <w:rFonts w:ascii="Arial" w:cs="Arial" w:eastAsia="Arial" w:hAnsi="Arial"/>
          <w:sz w:val="22"/>
          <w:szCs w:val="22"/>
          <w:color w:val="auto"/>
        </w:rPr>
        <w:t xml:space="preserve"> XT, contributed approximately $10 million to base product and 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-265430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“Core demand for our products remained healthy during the quarter. Supply chain issues were partially resolved, and we were able to meet a significant portion of this demand,” said Chris Linthwaite, President and CEO. “We remain focused on managing our global supply chain, and we are encouraged by customer adoption of our new products and overall growth in our base business.”</w:t>
      </w:r>
    </w:p>
    <w:p>
      <w:pPr>
        <w:spacing w:after="0" w:line="192" w:lineRule="exact"/>
        <w:rPr>
          <w:sz w:val="20"/>
          <w:szCs w:val="20"/>
          <w:color w:val="auto"/>
        </w:rPr>
      </w:pPr>
    </w:p>
    <w:p>
      <w:pPr>
        <w:jc w:val="both"/>
        <w:ind w:right="40"/>
        <w:spacing w:after="0" w:line="234" w:lineRule="auto"/>
        <w:rPr>
          <w:sz w:val="20"/>
          <w:szCs w:val="20"/>
          <w:color w:val="auto"/>
        </w:rPr>
      </w:pPr>
      <w:r>
        <w:rPr>
          <w:rFonts w:ascii="Arial" w:cs="Arial" w:eastAsia="Arial" w:hAnsi="Arial"/>
          <w:sz w:val="20"/>
          <w:szCs w:val="20"/>
          <w:color w:val="auto"/>
        </w:rPr>
        <w:t>These financial results are preliminary and subject to completion of Fluidigm</w:t>
      </w:r>
      <w:r>
        <w:rPr>
          <w:rFonts w:ascii="Arial" w:cs="Arial" w:eastAsia="Arial" w:hAnsi="Arial"/>
          <w:sz w:val="32"/>
          <w:szCs w:val="32"/>
          <w:color w:val="auto"/>
          <w:vertAlign w:val="superscript"/>
        </w:rPr>
        <w:t>®</w:t>
      </w:r>
      <w:r>
        <w:rPr>
          <w:rFonts w:ascii="Arial" w:cs="Arial" w:eastAsia="Arial" w:hAnsi="Arial"/>
          <w:sz w:val="20"/>
          <w:szCs w:val="20"/>
          <w:color w:val="auto"/>
        </w:rPr>
        <w:t xml:space="preserve"> financial statements for the quarter and fiscal year ended December 31, 2021, and the audit of those financial statements by the company’s independent registered public accounting firm. The company plans to report financial results for the period ended December 31, 2021, in February 2022.</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anticipated financial results and supply chain management.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risks related to our cash management plans and financing alternatives; and interruptions or delays in the supply of components or materials for, or manufacturing of, Fluidigm products. Information on these and additional risks and uncertainties and other information affecting Fluidigm's business and operating results is contained in its Annual Report on Form 10-K for the year ended December 31, 2020,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500"/>
        <w:spacing w:after="0" w:line="275" w:lineRule="auto"/>
        <w:rPr>
          <w:sz w:val="20"/>
          <w:szCs w:val="20"/>
          <w:color w:val="auto"/>
        </w:rPr>
      </w:pPr>
      <w:r>
        <w:rPr>
          <w:rFonts w:ascii="Arial" w:cs="Arial" w:eastAsia="Arial" w:hAnsi="Arial"/>
          <w:sz w:val="19"/>
          <w:szCs w:val="19"/>
          <w:color w:val="auto"/>
        </w:rPr>
        <w:t>Fluidigm (Nasdaq:FLDM) focuses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ectPr>
          <w:pgSz w:w="11900" w:h="16838" w:orient="portrait"/>
          <w:cols w:equalWidth="0" w:num="1">
            <w:col w:w="11240"/>
          </w:cols>
          <w:pgMar w:left="320" w:top="112" w:right="339" w:bottom="0" w:gutter="0" w:footer="0" w:header="0"/>
        </w:sectPr>
      </w:pPr>
    </w:p>
    <w:bookmarkStart w:id="4" w:name="page5"/>
    <w:bookmarkEnd w:id="4"/>
    <w:p>
      <w:pPr>
        <w:ind w:right="160"/>
        <w:spacing w:after="0" w:line="297" w:lineRule="auto"/>
        <w:rPr>
          <w:sz w:val="20"/>
          <w:szCs w:val="20"/>
          <w:color w:val="auto"/>
        </w:rPr>
      </w:pPr>
      <w:r>
        <w:rPr>
          <w:rFonts w:ascii="Arial" w:cs="Arial" w:eastAsia="Arial" w:hAnsi="Arial"/>
          <w:sz w:val="19"/>
          <w:szCs w:val="19"/>
          <w:color w:val="auto"/>
        </w:rPr>
        <w:t xml:space="preserve">Fluidigm, the Fluidigm logo, Biomark™, CyTOF, and CyTOF XT™ are trademarks and/or registered trademarks of Fluidigm Corporation or its affiliates in the United States and/or other countries. All other trademarks are the sole property of their respective owners. Fluidigm products are provided for </w:t>
      </w:r>
      <w:r>
        <w:rPr>
          <w:rFonts w:ascii="Arial" w:cs="Arial" w:eastAsia="Arial" w:hAnsi="Arial"/>
          <w:sz w:val="19"/>
          <w:szCs w:val="19"/>
          <w:b w:val="1"/>
          <w:bCs w:val="1"/>
          <w:color w:val="auto"/>
        </w:rPr>
        <w:t>Research Use Only</w:t>
      </w:r>
      <w:r>
        <w:rPr>
          <w:rFonts w:ascii="Arial" w:cs="Arial" w:eastAsia="Arial" w:hAnsi="Arial"/>
          <w:sz w:val="19"/>
          <w:szCs w:val="19"/>
          <w:color w:val="auto"/>
        </w:rPr>
        <w:t>. Not for use in diagnostic procedures.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We use our website (fluidigm.com), investor site (investors.fluidigm.com), corporate Twitter account (@fluidigm), Facebook page (facebook.com/Fluidigm), and LinkedIn page (linkedin.com/company/fluidigm-corporation)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w:t>
      </w:r>
    </w:p>
    <w:p>
      <w:pPr>
        <w:spacing w:after="0" w:line="238" w:lineRule="auto"/>
        <w:rPr>
          <w:sz w:val="20"/>
          <w:szCs w:val="20"/>
          <w:color w:val="auto"/>
        </w:rPr>
      </w:pPr>
      <w:r>
        <w:rPr>
          <w:rFonts w:ascii="Arial" w:cs="Arial" w:eastAsia="Arial" w:hAnsi="Arial"/>
          <w:sz w:val="22"/>
          <w:szCs w:val="22"/>
          <w:color w:val="auto"/>
        </w:rPr>
        <w:t>Investors:</w:t>
      </w:r>
    </w:p>
    <w:p>
      <w:pPr>
        <w:spacing w:after="0" w:line="230" w:lineRule="auto"/>
        <w:rPr>
          <w:sz w:val="20"/>
          <w:szCs w:val="20"/>
          <w:color w:val="auto"/>
        </w:rPr>
      </w:pPr>
      <w:r>
        <w:rPr>
          <w:rFonts w:ascii="Arial" w:cs="Arial" w:eastAsia="Arial" w:hAnsi="Arial"/>
          <w:sz w:val="22"/>
          <w:szCs w:val="22"/>
          <w:color w:val="auto"/>
        </w:rPr>
        <w:t>Peter DeNardo</w:t>
      </w:r>
    </w:p>
    <w:p>
      <w:pPr>
        <w:spacing w:after="0" w:line="231" w:lineRule="auto"/>
        <w:rPr>
          <w:sz w:val="20"/>
          <w:szCs w:val="20"/>
          <w:color w:val="auto"/>
        </w:rPr>
      </w:pPr>
      <w:r>
        <w:rPr>
          <w:rFonts w:ascii="Arial" w:cs="Arial" w:eastAsia="Arial" w:hAnsi="Arial"/>
          <w:sz w:val="22"/>
          <w:szCs w:val="22"/>
          <w:color w:val="auto"/>
        </w:rPr>
        <w:t>415 389 6400</w:t>
      </w:r>
    </w:p>
    <w:p>
      <w:pPr>
        <w:spacing w:after="0"/>
        <w:rPr>
          <w:sz w:val="20"/>
          <w:szCs w:val="20"/>
          <w:color w:val="auto"/>
        </w:rPr>
      </w:pPr>
      <w:r>
        <w:rPr>
          <w:rFonts w:ascii="Arial" w:cs="Arial" w:eastAsia="Arial" w:hAnsi="Arial"/>
          <w:sz w:val="22"/>
          <w:szCs w:val="22"/>
          <w:color w:val="auto"/>
        </w:rPr>
        <w:t>IR@fluidigm.com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Corporate Communications</w:t>
      </w:r>
    </w:p>
    <w:p>
      <w:pPr>
        <w:spacing w:after="0" w:line="231" w:lineRule="auto"/>
        <w:rPr>
          <w:sz w:val="20"/>
          <w:szCs w:val="20"/>
          <w:color w:val="auto"/>
        </w:rPr>
      </w:pPr>
      <w:r>
        <w:rPr>
          <w:rFonts w:ascii="Arial" w:cs="Arial" w:eastAsia="Arial" w:hAnsi="Arial"/>
          <w:sz w:val="22"/>
          <w:szCs w:val="22"/>
          <w:color w:val="auto"/>
        </w:rPr>
        <w:t>650 243 6621</w:t>
      </w:r>
    </w:p>
    <w:p>
      <w:pPr>
        <w:spacing w:after="0"/>
        <w:rPr>
          <w:sz w:val="20"/>
          <w:szCs w:val="20"/>
          <w:color w:val="auto"/>
        </w:rPr>
      </w:pPr>
      <w:r>
        <w:rPr>
          <w:rFonts w:ascii="Arial" w:cs="Arial" w:eastAsia="Arial" w:hAnsi="Arial"/>
          <w:sz w:val="22"/>
          <w:szCs w:val="22"/>
          <w:color w:val="auto"/>
        </w:rPr>
        <w:t>mark.spearman@fluidigm.com</w:t>
      </w:r>
    </w:p>
    <w:sectPr>
      <w:pgSz w:w="11900" w:h="16838" w:orient="portrait"/>
      <w:cols w:equalWidth="0" w:num="1">
        <w:col w:w="11060"/>
      </w:cols>
      <w:pgMar w:left="32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2022-01-11T07:18:57Z</dcterms:created>
  <dcterms:modified xsi:type="dcterms:W3CDTF">2022-01-11T07:18:57Z</dcterms:modified>
</cp:coreProperties>
</file>