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7"/>
        </w:trPr>
        <w:tc>
          <w:tcPr>
            <w:tcW w:w="8560" w:type="dxa"/>
            <w:vAlign w:val="bottom"/>
            <w:vMerge w:val="restart"/>
          </w:tcPr>
          <w:p>
            <w:pPr>
              <w:jc w:val="center"/>
              <w:ind w:left="2761"/>
              <w:spacing w:after="0"/>
              <w:rPr>
                <w:sz w:val="20"/>
                <w:szCs w:val="20"/>
                <w:color w:val="auto"/>
              </w:rPr>
            </w:pPr>
            <w:r>
              <w:rPr>
                <w:rFonts w:ascii="Arial" w:cs="Arial" w:eastAsia="Arial" w:hAnsi="Arial"/>
                <w:sz w:val="22"/>
                <w:szCs w:val="22"/>
                <w:b w:val="1"/>
                <w:bCs w:val="1"/>
                <w:color w:val="auto"/>
                <w:w w:val="97"/>
              </w:rPr>
              <w:t>UNITED STATES</w:t>
            </w:r>
          </w:p>
        </w:tc>
        <w:tc>
          <w:tcPr>
            <w:tcW w:w="2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560" w:type="dxa"/>
            <w:vAlign w:val="bottom"/>
            <w:vMerge w:val="continue"/>
          </w:tcPr>
          <w:p>
            <w:pPr>
              <w:spacing w:after="0"/>
              <w:rPr>
                <w:sz w:val="17"/>
                <w:szCs w:val="17"/>
                <w:color w:val="auto"/>
              </w:rPr>
            </w:pPr>
          </w:p>
        </w:tc>
        <w:tc>
          <w:tcPr>
            <w:tcW w:w="2860" w:type="dxa"/>
            <w:vAlign w:val="bottom"/>
            <w:tcBorders>
              <w:left w:val="single" w:sz="8" w:color="auto"/>
              <w:right w:val="single" w:sz="8" w:color="auto"/>
            </w:tcBorders>
          </w:tcPr>
          <w:p>
            <w:pPr>
              <w:ind w:left="740"/>
              <w:spacing w:after="0" w:line="195"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7"/>
        </w:trPr>
        <w:tc>
          <w:tcPr>
            <w:tcW w:w="8560" w:type="dxa"/>
            <w:vAlign w:val="bottom"/>
            <w:vMerge w:val="restart"/>
          </w:tcPr>
          <w:p>
            <w:pPr>
              <w:jc w:val="center"/>
              <w:ind w:left="2761"/>
              <w:spacing w:after="0"/>
              <w:rPr>
                <w:sz w:val="20"/>
                <w:szCs w:val="20"/>
                <w:color w:val="auto"/>
              </w:rPr>
            </w:pPr>
            <w:r>
              <w:rPr>
                <w:rFonts w:ascii="Arial" w:cs="Arial" w:eastAsia="Arial" w:hAnsi="Arial"/>
                <w:sz w:val="22"/>
                <w:szCs w:val="22"/>
                <w:b w:val="1"/>
                <w:bCs w:val="1"/>
                <w:color w:val="auto"/>
                <w:w w:val="99"/>
              </w:rPr>
              <w:t>SECURITIES AND EXCHANGE COMMISSION</w:t>
            </w:r>
          </w:p>
        </w:tc>
        <w:tc>
          <w:tcPr>
            <w:tcW w:w="2860" w:type="dxa"/>
            <w:vAlign w:val="bottom"/>
            <w:tcBorders>
              <w:left w:val="single" w:sz="8" w:color="auto"/>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560" w:type="dxa"/>
            <w:vAlign w:val="bottom"/>
            <w:vMerge w:val="continue"/>
          </w:tcPr>
          <w:p>
            <w:pPr>
              <w:spacing w:after="0"/>
              <w:rPr>
                <w:sz w:val="17"/>
                <w:szCs w:val="17"/>
                <w:color w:val="auto"/>
              </w:rPr>
            </w:pPr>
          </w:p>
        </w:tc>
        <w:tc>
          <w:tcPr>
            <w:tcW w:w="2860" w:type="dxa"/>
            <w:vAlign w:val="bottom"/>
            <w:tcBorders>
              <w:left w:val="single" w:sz="8" w:color="auto"/>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OMB Number: 3235-0145</w:t>
            </w:r>
          </w:p>
        </w:tc>
        <w:tc>
          <w:tcPr>
            <w:tcW w:w="0" w:type="dxa"/>
            <w:vAlign w:val="bottom"/>
          </w:tcPr>
          <w:p>
            <w:pPr>
              <w:spacing w:after="0"/>
              <w:rPr>
                <w:sz w:val="1"/>
                <w:szCs w:val="1"/>
                <w:color w:val="auto"/>
              </w:rPr>
            </w:pPr>
          </w:p>
        </w:tc>
      </w:tr>
      <w:tr>
        <w:trPr>
          <w:trHeight w:val="220"/>
        </w:trPr>
        <w:tc>
          <w:tcPr>
            <w:tcW w:w="8560" w:type="dxa"/>
            <w:vAlign w:val="bottom"/>
          </w:tcPr>
          <w:p>
            <w:pPr>
              <w:jc w:val="center"/>
              <w:ind w:left="2761"/>
              <w:spacing w:after="0"/>
              <w:rPr>
                <w:sz w:val="20"/>
                <w:szCs w:val="20"/>
                <w:color w:val="auto"/>
              </w:rPr>
            </w:pPr>
            <w:r>
              <w:rPr>
                <w:rFonts w:ascii="Arial" w:cs="Arial" w:eastAsia="Arial" w:hAnsi="Arial"/>
                <w:sz w:val="18"/>
                <w:szCs w:val="18"/>
                <w:b w:val="1"/>
                <w:bCs w:val="1"/>
                <w:color w:val="auto"/>
                <w:w w:val="91"/>
              </w:rPr>
              <w:t>Washington, D.C. 20549</w:t>
            </w:r>
          </w:p>
        </w:tc>
        <w:tc>
          <w:tcPr>
            <w:tcW w:w="2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Expires: February 28, 2009</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2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Estimated average burden</w:t>
            </w:r>
          </w:p>
        </w:tc>
        <w:tc>
          <w:tcPr>
            <w:tcW w:w="0" w:type="dxa"/>
            <w:vAlign w:val="bottom"/>
          </w:tcPr>
          <w:p>
            <w:pPr>
              <w:spacing w:after="0"/>
              <w:rPr>
                <w:sz w:val="1"/>
                <w:szCs w:val="1"/>
                <w:color w:val="auto"/>
              </w:rPr>
            </w:pPr>
          </w:p>
        </w:tc>
      </w:tr>
      <w:tr>
        <w:trPr>
          <w:trHeight w:val="230"/>
        </w:trPr>
        <w:tc>
          <w:tcPr>
            <w:tcW w:w="8560" w:type="dxa"/>
            <w:vAlign w:val="bottom"/>
          </w:tcPr>
          <w:p>
            <w:pPr>
              <w:spacing w:after="0"/>
              <w:rPr>
                <w:sz w:val="20"/>
                <w:szCs w:val="20"/>
                <w:color w:val="auto"/>
              </w:rPr>
            </w:pPr>
          </w:p>
        </w:tc>
        <w:tc>
          <w:tcPr>
            <w:tcW w:w="2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hours per response. . . . . . . .10.4</w:t>
            </w:r>
          </w:p>
        </w:tc>
        <w:tc>
          <w:tcPr>
            <w:tcW w:w="0" w:type="dxa"/>
            <w:vAlign w:val="bottom"/>
          </w:tcPr>
          <w:p>
            <w:pPr>
              <w:spacing w:after="0"/>
              <w:rPr>
                <w:sz w:val="1"/>
                <w:szCs w:val="1"/>
                <w:color w:val="auto"/>
              </w:rPr>
            </w:pPr>
          </w:p>
        </w:tc>
      </w:tr>
      <w:tr>
        <w:trPr>
          <w:trHeight w:val="463"/>
        </w:trPr>
        <w:tc>
          <w:tcPr>
            <w:tcW w:w="8560" w:type="dxa"/>
            <w:vAlign w:val="bottom"/>
          </w:tcPr>
          <w:p>
            <w:pPr>
              <w:jc w:val="center"/>
              <w:ind w:left="2761"/>
              <w:spacing w:after="0"/>
              <w:rPr>
                <w:sz w:val="20"/>
                <w:szCs w:val="20"/>
                <w:color w:val="auto"/>
              </w:rPr>
            </w:pPr>
            <w:r>
              <w:rPr>
                <w:rFonts w:ascii="Arial" w:cs="Arial" w:eastAsia="Arial" w:hAnsi="Arial"/>
                <w:sz w:val="22"/>
                <w:szCs w:val="22"/>
                <w:b w:val="1"/>
                <w:bCs w:val="1"/>
                <w:color w:val="auto"/>
                <w:w w:val="96"/>
              </w:rPr>
              <w:t>SCHEDULE 13G</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8560" w:type="dxa"/>
            <w:vAlign w:val="bottom"/>
          </w:tcPr>
          <w:p>
            <w:pPr>
              <w:jc w:val="center"/>
              <w:ind w:left="2781"/>
              <w:spacing w:after="0"/>
              <w:rPr>
                <w:sz w:val="20"/>
                <w:szCs w:val="20"/>
                <w:color w:val="auto"/>
              </w:rPr>
            </w:pPr>
            <w:r>
              <w:rPr>
                <w:rFonts w:ascii="Arial" w:cs="Arial" w:eastAsia="Arial" w:hAnsi="Arial"/>
                <w:sz w:val="18"/>
                <w:szCs w:val="18"/>
                <w:b w:val="1"/>
                <w:bCs w:val="1"/>
                <w:color w:val="auto"/>
                <w:w w:val="89"/>
              </w:rPr>
              <w:t>Under the Securities Exchange Act of 1934</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560" w:type="dxa"/>
            <w:vAlign w:val="bottom"/>
          </w:tcPr>
          <w:p>
            <w:pPr>
              <w:jc w:val="center"/>
              <w:ind w:left="2781"/>
              <w:spacing w:after="0"/>
              <w:rPr>
                <w:sz w:val="20"/>
                <w:szCs w:val="20"/>
                <w:color w:val="auto"/>
              </w:rPr>
            </w:pPr>
            <w:r>
              <w:rPr>
                <w:rFonts w:ascii="Arial" w:cs="Arial" w:eastAsia="Arial" w:hAnsi="Arial"/>
                <w:sz w:val="18"/>
                <w:szCs w:val="18"/>
                <w:b w:val="1"/>
                <w:bCs w:val="1"/>
                <w:color w:val="auto"/>
                <w:w w:val="92"/>
              </w:rPr>
              <w:t>(Amendment No. 5)*</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8560" w:type="dxa"/>
            <w:vAlign w:val="bottom"/>
            <w:tcBorders>
              <w:bottom w:val="single" w:sz="8" w:color="auto"/>
            </w:tcBorders>
          </w:tcPr>
          <w:p>
            <w:pPr>
              <w:jc w:val="center"/>
              <w:ind w:left="2761"/>
              <w:spacing w:after="0"/>
              <w:rPr>
                <w:sz w:val="20"/>
                <w:szCs w:val="20"/>
                <w:color w:val="auto"/>
              </w:rPr>
            </w:pPr>
            <w:r>
              <w:rPr>
                <w:rFonts w:ascii="Arial" w:cs="Arial" w:eastAsia="Arial" w:hAnsi="Arial"/>
                <w:sz w:val="32"/>
                <w:szCs w:val="32"/>
                <w:b w:val="1"/>
                <w:bCs w:val="1"/>
                <w:color w:val="auto"/>
                <w:w w:val="94"/>
              </w:rPr>
              <w:t>Fluidigm Corp.</w:t>
            </w:r>
          </w:p>
        </w:tc>
        <w:tc>
          <w:tcPr>
            <w:tcW w:w="2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560" w:type="dxa"/>
            <w:vAlign w:val="bottom"/>
          </w:tcPr>
          <w:p>
            <w:pPr>
              <w:jc w:val="center"/>
              <w:ind w:left="2761"/>
              <w:spacing w:after="0"/>
              <w:rPr>
                <w:sz w:val="20"/>
                <w:szCs w:val="20"/>
                <w:color w:val="auto"/>
              </w:rPr>
            </w:pPr>
            <w:r>
              <w:rPr>
                <w:rFonts w:ascii="Arial" w:cs="Arial" w:eastAsia="Arial" w:hAnsi="Arial"/>
                <w:sz w:val="18"/>
                <w:szCs w:val="18"/>
                <w:color w:val="auto"/>
                <w:w w:val="90"/>
              </w:rPr>
              <w:t>(Name of Issuer)</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560" w:type="dxa"/>
            <w:vAlign w:val="bottom"/>
          </w:tcPr>
          <w:p>
            <w:pPr>
              <w:jc w:val="center"/>
              <w:ind w:left="2761"/>
              <w:spacing w:after="0"/>
              <w:rPr>
                <w:sz w:val="20"/>
                <w:szCs w:val="20"/>
                <w:color w:val="auto"/>
              </w:rPr>
            </w:pPr>
            <w:r>
              <w:rPr>
                <w:rFonts w:ascii="Arial" w:cs="Arial" w:eastAsia="Arial" w:hAnsi="Arial"/>
                <w:sz w:val="18"/>
                <w:szCs w:val="18"/>
                <w:b w:val="1"/>
                <w:bCs w:val="1"/>
                <w:color w:val="auto"/>
                <w:w w:val="89"/>
              </w:rPr>
              <w:t>Common</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5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560" w:type="dxa"/>
            <w:vAlign w:val="bottom"/>
          </w:tcPr>
          <w:p>
            <w:pPr>
              <w:jc w:val="center"/>
              <w:ind w:left="2781"/>
              <w:spacing w:after="0"/>
              <w:rPr>
                <w:sz w:val="20"/>
                <w:szCs w:val="20"/>
                <w:color w:val="auto"/>
              </w:rPr>
            </w:pPr>
            <w:r>
              <w:rPr>
                <w:rFonts w:ascii="Arial" w:cs="Arial" w:eastAsia="Arial" w:hAnsi="Arial"/>
                <w:sz w:val="18"/>
                <w:szCs w:val="18"/>
                <w:color w:val="auto"/>
                <w:w w:val="92"/>
              </w:rPr>
              <w:t>(Title of Class of Securities)</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560" w:type="dxa"/>
            <w:vAlign w:val="bottom"/>
          </w:tcPr>
          <w:p>
            <w:pPr>
              <w:jc w:val="center"/>
              <w:ind w:left="2761"/>
              <w:spacing w:after="0"/>
              <w:rPr>
                <w:sz w:val="20"/>
                <w:szCs w:val="20"/>
                <w:color w:val="auto"/>
              </w:rPr>
            </w:pPr>
            <w:r>
              <w:rPr>
                <w:rFonts w:ascii="Arial" w:cs="Arial" w:eastAsia="Arial" w:hAnsi="Arial"/>
                <w:sz w:val="18"/>
                <w:szCs w:val="18"/>
                <w:b w:val="1"/>
                <w:bCs w:val="1"/>
                <w:color w:val="auto"/>
                <w:w w:val="89"/>
              </w:rPr>
              <w:t>34385P108</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5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560" w:type="dxa"/>
            <w:vAlign w:val="bottom"/>
          </w:tcPr>
          <w:p>
            <w:pPr>
              <w:jc w:val="center"/>
              <w:ind w:left="2761"/>
              <w:spacing w:after="0"/>
              <w:rPr>
                <w:sz w:val="20"/>
                <w:szCs w:val="20"/>
                <w:color w:val="auto"/>
              </w:rPr>
            </w:pPr>
            <w:r>
              <w:rPr>
                <w:rFonts w:ascii="Arial" w:cs="Arial" w:eastAsia="Arial" w:hAnsi="Arial"/>
                <w:sz w:val="18"/>
                <w:szCs w:val="18"/>
                <w:color w:val="auto"/>
                <w:w w:val="92"/>
              </w:rPr>
              <w:t>(CUSIP Number)</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8560" w:type="dxa"/>
            <w:vAlign w:val="bottom"/>
            <w:tcBorders>
              <w:bottom w:val="single" w:sz="8" w:color="auto"/>
            </w:tcBorders>
          </w:tcPr>
          <w:p>
            <w:pPr>
              <w:jc w:val="center"/>
              <w:ind w:left="2761"/>
              <w:spacing w:after="0"/>
              <w:rPr>
                <w:sz w:val="20"/>
                <w:szCs w:val="20"/>
                <w:color w:val="auto"/>
              </w:rPr>
            </w:pPr>
            <w:r>
              <w:rPr>
                <w:rFonts w:ascii="Arial" w:cs="Arial" w:eastAsia="Arial" w:hAnsi="Arial"/>
                <w:sz w:val="18"/>
                <w:szCs w:val="18"/>
                <w:b w:val="1"/>
                <w:bCs w:val="1"/>
                <w:color w:val="auto"/>
                <w:w w:val="90"/>
              </w:rPr>
              <w:t>December 31, 2016</w:t>
            </w:r>
          </w:p>
        </w:tc>
        <w:tc>
          <w:tcPr>
            <w:tcW w:w="2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560" w:type="dxa"/>
            <w:vAlign w:val="bottom"/>
          </w:tcPr>
          <w:p>
            <w:pPr>
              <w:jc w:val="center"/>
              <w:ind w:left="2761"/>
              <w:spacing w:after="0"/>
              <w:rPr>
                <w:sz w:val="20"/>
                <w:szCs w:val="20"/>
                <w:color w:val="auto"/>
              </w:rPr>
            </w:pPr>
            <w:r>
              <w:rPr>
                <w:rFonts w:ascii="Arial" w:cs="Arial" w:eastAsia="Arial" w:hAnsi="Arial"/>
                <w:sz w:val="18"/>
                <w:szCs w:val="18"/>
                <w:color w:val="auto"/>
                <w:w w:val="92"/>
              </w:rPr>
              <w:t>(Date of Event Which Requires Filing of this Statement)</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0" w:lineRule="exact"/>
        <w:rPr>
          <w:sz w:val="24"/>
          <w:szCs w:val="24"/>
          <w:color w:val="auto"/>
        </w:rPr>
      </w:pPr>
    </w:p>
    <w:p>
      <w:pPr>
        <w:ind w:right="26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SEC 1745 (3-06)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34385P108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right="6180"/>
        <w:spacing w:after="0" w:line="290" w:lineRule="auto"/>
        <w:rPr>
          <w:rFonts w:ascii="Arial" w:cs="Arial" w:eastAsia="Arial" w:hAnsi="Arial"/>
          <w:sz w:val="18"/>
          <w:szCs w:val="18"/>
          <w:color w:val="auto"/>
        </w:rPr>
      </w:pPr>
      <w:r>
        <w:rPr>
          <w:rFonts w:ascii="Arial" w:cs="Arial" w:eastAsia="Arial" w:hAnsi="Arial"/>
          <w:sz w:val="17"/>
          <w:szCs w:val="17"/>
          <w:color w:val="auto"/>
        </w:rPr>
        <w:t>I.R.S. Identification Nos. of above persons (entities only). PRIMECAP Management Company 95-3868081</w:t>
      </w:r>
    </w:p>
    <w:p>
      <w:pPr>
        <w:spacing w:after="0" w:line="377"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177 E. Colorado Blvd., 11th Floor, Pasadena, CA 91105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-508000</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-919480</wp:posOffset>
            </wp:positionV>
            <wp:extent cx="58743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-1134110</wp:posOffset>
            </wp:positionV>
            <wp:extent cx="58743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-1751330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Number of</w:t>
            </w:r>
          </w:p>
        </w:tc>
        <w:tc>
          <w:tcPr>
            <w:tcW w:w="128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Shares</w:t>
            </w:r>
          </w:p>
        </w:tc>
        <w:tc>
          <w:tcPr>
            <w:tcW w:w="128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2,892,532</w:t>
            </w:r>
          </w:p>
        </w:tc>
        <w:tc>
          <w:tcPr>
            <w:tcW w:w="0" w:type="dxa"/>
            <w:vAlign w:val="bottom"/>
          </w:tcPr>
          <w:p>
            <w:pPr>
              <w:spacing w:after="0"/>
              <w:rPr>
                <w:sz w:val="1"/>
                <w:szCs w:val="1"/>
                <w:color w:val="auto"/>
              </w:rPr>
            </w:pPr>
          </w:p>
        </w:tc>
      </w:tr>
      <w:tr>
        <w:trPr>
          <w:trHeight w:val="68"/>
        </w:trPr>
        <w:tc>
          <w:tcPr>
            <w:tcW w:w="1360" w:type="dxa"/>
            <w:vAlign w:val="bottom"/>
            <w:vMerge w:val="restart"/>
          </w:tcPr>
          <w:p>
            <w:pPr>
              <w:spacing w:after="0"/>
              <w:rPr>
                <w:sz w:val="20"/>
                <w:szCs w:val="20"/>
                <w:color w:val="auto"/>
              </w:rPr>
            </w:pPr>
            <w:r>
              <w:rPr>
                <w:rFonts w:ascii="Arial" w:cs="Arial" w:eastAsia="Arial" w:hAnsi="Arial"/>
                <w:sz w:val="18"/>
                <w:szCs w:val="18"/>
                <w:color w:val="auto"/>
              </w:rPr>
              <w:t>Beneficially by</w:t>
            </w:r>
          </w:p>
        </w:tc>
        <w:tc>
          <w:tcPr>
            <w:tcW w:w="128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60" w:type="dxa"/>
            <w:vAlign w:val="bottom"/>
            <w:vMerge w:val="continue"/>
          </w:tcPr>
          <w:p>
            <w:pPr>
              <w:spacing w:after="0"/>
              <w:rPr>
                <w:sz w:val="11"/>
                <w:szCs w:val="11"/>
                <w:color w:val="auto"/>
              </w:rPr>
            </w:pPr>
          </w:p>
        </w:tc>
        <w:tc>
          <w:tcPr>
            <w:tcW w:w="128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Owned by</w:t>
            </w:r>
          </w:p>
        </w:tc>
        <w:tc>
          <w:tcPr>
            <w:tcW w:w="128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Each</w:t>
            </w:r>
          </w:p>
        </w:tc>
        <w:tc>
          <w:tcPr>
            <w:tcW w:w="128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Reporting</w:t>
            </w:r>
          </w:p>
        </w:tc>
        <w:tc>
          <w:tcPr>
            <w:tcW w:w="128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6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28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36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6" w:right="239" w:bottom="0" w:gutter="0" w:footer="0" w:header="0"/>
        </w:sectPr>
      </w:pPr>
    </w:p>
    <w:bookmarkStart w:id="1" w:name="page2"/>
    <w:bookmarkEnd w:id="1"/>
    <w:p>
      <w:pPr>
        <w:ind w:left="2700" w:right="680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Dispositive Power 4,295,532</w:t>
      </w:r>
    </w:p>
    <w:p>
      <w:pPr>
        <w:spacing w:after="0" w:line="386" w:lineRule="exact"/>
        <w:rPr>
          <w:rFonts w:ascii="Arial" w:cs="Arial" w:eastAsia="Arial" w:hAnsi="Arial"/>
          <w:sz w:val="18"/>
          <w:szCs w:val="18"/>
          <w:color w:val="auto"/>
        </w:rPr>
      </w:pPr>
    </w:p>
    <w:p>
      <w:pPr>
        <w:ind w:left="2700" w:right="662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386" w:lineRule="exact"/>
        <w:rPr>
          <w:rFonts w:ascii="Arial" w:cs="Arial" w:eastAsia="Arial" w:hAnsi="Arial"/>
          <w:sz w:val="18"/>
          <w:szCs w:val="18"/>
          <w:color w:val="auto"/>
        </w:rPr>
      </w:pPr>
    </w:p>
    <w:p>
      <w:pPr>
        <w:ind w:left="1000" w:right="540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4,295,532</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40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14.79%</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-2017395</wp:posOffset>
            </wp:positionV>
            <wp:extent cx="5531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-2566035</wp:posOffset>
            </wp:positionV>
            <wp:extent cx="5531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jc w:val="both"/>
        <w:ind w:left="1440" w:right="8640" w:hanging="493"/>
        <w:spacing w:after="0" w:line="342" w:lineRule="auto"/>
        <w:tabs>
          <w:tab w:leader="none" w:pos="1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Name of Issuer Fluidigm Corp.</w:t>
      </w:r>
    </w:p>
    <w:p>
      <w:pPr>
        <w:spacing w:after="0" w:line="29" w:lineRule="exact"/>
        <w:rPr>
          <w:rFonts w:ascii="Arial" w:cs="Arial" w:eastAsia="Arial" w:hAnsi="Arial"/>
          <w:sz w:val="16"/>
          <w:szCs w:val="16"/>
          <w:color w:val="auto"/>
        </w:rPr>
      </w:pPr>
    </w:p>
    <w:p>
      <w:pPr>
        <w:ind w:left="1440" w:hanging="493"/>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7000 Shoreline Court, #100, South San Francisco, CA 94080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40005</wp:posOffset>
            </wp:positionV>
            <wp:extent cx="63290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-311150</wp:posOffset>
            </wp:positionV>
            <wp:extent cx="63290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PRIMECAP Management Company</w:t>
      </w:r>
    </w:p>
    <w:p>
      <w:pPr>
        <w:spacing w:after="0" w:line="116" w:lineRule="exact"/>
        <w:rPr>
          <w:rFonts w:ascii="Arial" w:cs="Arial" w:eastAsia="Arial" w:hAnsi="Arial"/>
          <w:sz w:val="18"/>
          <w:szCs w:val="18"/>
          <w:color w:val="auto"/>
        </w:rPr>
      </w:pPr>
    </w:p>
    <w:p>
      <w:pPr>
        <w:ind w:left="1440" w:right="548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177 E. Colorado Blvd., 11th Floor, Pasadena, CA 91105</w:t>
      </w:r>
    </w:p>
    <w:p>
      <w:pPr>
        <w:spacing w:after="0" w:line="29" w:lineRule="exact"/>
        <w:rPr>
          <w:rFonts w:ascii="Arial" w:cs="Arial" w:eastAsia="Arial" w:hAnsi="Arial"/>
          <w:sz w:val="16"/>
          <w:szCs w:val="16"/>
          <w:color w:val="auto"/>
        </w:rPr>
      </w:pPr>
    </w:p>
    <w:p>
      <w:pPr>
        <w:ind w:left="1440" w:right="894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Citizenship U.S.A.</w:t>
      </w:r>
    </w:p>
    <w:p>
      <w:pPr>
        <w:spacing w:after="0" w:line="29" w:lineRule="exact"/>
        <w:rPr>
          <w:rFonts w:ascii="Arial" w:cs="Arial" w:eastAsia="Arial" w:hAnsi="Arial"/>
          <w:sz w:val="16"/>
          <w:szCs w:val="16"/>
          <w:color w:val="auto"/>
        </w:rPr>
      </w:pPr>
    </w:p>
    <w:p>
      <w:pPr>
        <w:ind w:left="1440" w:right="7840" w:hanging="493"/>
        <w:spacing w:after="0" w:line="277" w:lineRule="auto"/>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75" w:lineRule="exact"/>
        <w:rPr>
          <w:rFonts w:ascii="Arial" w:cs="Arial" w:eastAsia="Arial" w:hAnsi="Arial"/>
          <w:sz w:val="18"/>
          <w:szCs w:val="18"/>
          <w:color w:val="auto"/>
        </w:rPr>
      </w:pPr>
    </w:p>
    <w:p>
      <w:pPr>
        <w:ind w:left="1440" w:right="860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CUSIP Number 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-717550</wp:posOffset>
            </wp:positionV>
            <wp:extent cx="6329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-1069340</wp:posOffset>
            </wp:positionV>
            <wp:extent cx="6329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-1421130</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960" w:hanging="1013"/>
        <w:spacing w:after="0" w:line="277" w:lineRule="auto"/>
        <w:tabs>
          <w:tab w:leader="none" w:pos="1447" w:val="left"/>
        </w:tabs>
        <w:numPr>
          <w:ilvl w:val="0"/>
          <w:numId w:val="7"/>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ectPr>
          <w:pgSz w:w="11900" w:h="16838" w:orient="portrait"/>
          <w:cols w:equalWidth="0" w:num="1">
            <w:col w:w="11200"/>
          </w:cols>
          <w:pgMar w:left="300" w:top="179" w:right="399" w:bottom="0" w:gutter="0" w:footer="0" w:header="0"/>
        </w:sectPr>
      </w:pP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88900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300" w:top="179" w:right="399" w:bottom="0" w:gutter="0" w:footer="0" w:header="0"/>
          <w:type w:val="continuous"/>
        </w:sectPr>
      </w:pPr>
    </w:p>
    <w:bookmarkStart w:id="2" w:name="page3"/>
    <w:bookmarkEnd w:id="2"/>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600" w:right="7620" w:hanging="394"/>
        <w:spacing w:after="0" w:line="340" w:lineRule="auto"/>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 4,295,532.</w:t>
      </w:r>
    </w:p>
    <w:p>
      <w:pPr>
        <w:spacing w:after="0" w:line="129" w:lineRule="exact"/>
        <w:rPr>
          <w:rFonts w:ascii="Arial" w:cs="Arial" w:eastAsia="Arial" w:hAnsi="Arial"/>
          <w:sz w:val="18"/>
          <w:szCs w:val="18"/>
          <w:color w:val="auto"/>
        </w:rPr>
      </w:pPr>
    </w:p>
    <w:p>
      <w:pPr>
        <w:ind w:left="1600" w:hanging="400"/>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14.79%.</w:t>
      </w:r>
    </w:p>
    <w:p>
      <w:pPr>
        <w:spacing w:after="0" w:line="238" w:lineRule="exact"/>
        <w:rPr>
          <w:rFonts w:ascii="Arial" w:cs="Arial" w:eastAsia="Arial" w:hAnsi="Arial"/>
          <w:sz w:val="18"/>
          <w:szCs w:val="18"/>
          <w:color w:val="auto"/>
        </w:rPr>
      </w:pPr>
    </w:p>
    <w:p>
      <w:pPr>
        <w:ind w:left="1600" w:hanging="394"/>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255270</wp:posOffset>
            </wp:positionV>
            <wp:extent cx="62344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-198755</wp:posOffset>
            </wp:positionV>
            <wp:extent cx="62344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-653415</wp:posOffset>
            </wp:positionV>
            <wp:extent cx="62344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right="6260" w:hanging="453"/>
        <w:spacing w:after="0" w:line="340" w:lineRule="auto"/>
        <w:tabs>
          <w:tab w:leader="none" w:pos="2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2,892,532.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6080" w:hanging="478"/>
        <w:spacing w:after="0" w:line="340" w:lineRule="auto"/>
        <w:tabs>
          <w:tab w:leader="none" w:pos="2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5340" w:hanging="503"/>
        <w:spacing w:after="0" w:line="340" w:lineRule="auto"/>
        <w:tabs>
          <w:tab w:leader="none" w:pos="2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4,295,532.</w:t>
      </w:r>
    </w:p>
    <w:p>
      <w:pPr>
        <w:spacing w:after="0" w:line="129" w:lineRule="exact"/>
        <w:rPr>
          <w:rFonts w:ascii="Arial" w:cs="Arial" w:eastAsia="Arial" w:hAnsi="Arial"/>
          <w:sz w:val="18"/>
          <w:szCs w:val="18"/>
          <w:color w:val="auto"/>
        </w:rPr>
      </w:pPr>
    </w:p>
    <w:p>
      <w:pPr>
        <w:ind w:left="2220" w:right="5160" w:hanging="498"/>
        <w:spacing w:after="0" w:line="340" w:lineRule="auto"/>
        <w:tabs>
          <w:tab w:leader="none" w:pos="2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-440055</wp:posOffset>
            </wp:positionV>
            <wp:extent cx="58400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96" w:lineRule="exact"/>
        <w:rPr>
          <w:sz w:val="20"/>
          <w:szCs w:val="20"/>
          <w:color w:val="auto"/>
        </w:rPr>
      </w:pPr>
    </w:p>
    <w:p>
      <w:pPr>
        <w:ind w:left="1120"/>
        <w:spacing w:after="0"/>
        <w:rPr>
          <w:sz w:val="20"/>
          <w:szCs w:val="20"/>
          <w:color w:val="auto"/>
        </w:rPr>
      </w:pPr>
      <w:r>
        <w:rPr>
          <w:rFonts w:ascii="Arial" w:cs="Arial" w:eastAsia="Arial" w:hAnsi="Arial"/>
          <w:sz w:val="17"/>
          <w:szCs w:val="17"/>
          <w:i w:val="1"/>
          <w:iCs w:val="1"/>
          <w:color w:val="auto"/>
        </w:rPr>
        <w:t xml:space="preserve">Instruction. </w:t>
      </w:r>
      <w:r>
        <w:rPr>
          <w:rFonts w:ascii="Arial" w:cs="Arial" w:eastAsia="Arial" w:hAnsi="Arial"/>
          <w:sz w:val="17"/>
          <w:szCs w:val="17"/>
          <w:color w:val="auto"/>
        </w:rPr>
        <w:t>For computations regarding securities which represent a right to acquire an underlying security</w:t>
      </w:r>
      <w:r>
        <w:rPr>
          <w:rFonts w:ascii="Arial" w:cs="Arial" w:eastAsia="Arial" w:hAnsi="Arial"/>
          <w:sz w:val="17"/>
          <w:szCs w:val="17"/>
          <w:i w:val="1"/>
          <w:iCs w:val="1"/>
          <w:color w:val="auto"/>
        </w:rPr>
        <w:t xml:space="preserve"> see </w:t>
      </w:r>
      <w:r>
        <w:rPr>
          <w:rFonts w:ascii="Arial" w:cs="Arial" w:eastAsia="Arial" w:hAnsi="Arial"/>
          <w:sz w:val="17"/>
          <w:szCs w:val="17"/>
          <w:color w:val="auto"/>
        </w:rPr>
        <w:t>§240.13d-3(d)(1).</w:t>
      </w:r>
    </w:p>
    <w:p>
      <w:pPr>
        <w:spacing w:after="0" w:line="200" w:lineRule="exact"/>
        <w:rPr>
          <w:sz w:val="20"/>
          <w:szCs w:val="20"/>
          <w:color w:val="auto"/>
        </w:rPr>
      </w:pPr>
    </w:p>
    <w:p>
      <w:pPr>
        <w:spacing w:after="0" w:line="30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39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3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3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337" w:lineRule="exact"/>
        <w:rPr>
          <w:sz w:val="20"/>
          <w:szCs w:val="20"/>
          <w:color w:val="auto"/>
        </w:rPr>
      </w:pPr>
    </w:p>
    <w:p>
      <w:pPr>
        <w:ind w:left="1100" w:hanging="774"/>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§240.13d-1(b):</w:t>
      </w:r>
    </w:p>
    <w:p>
      <w:pPr>
        <w:spacing w:after="0" w:line="225" w:lineRule="exact"/>
        <w:rPr>
          <w:sz w:val="20"/>
          <w:szCs w:val="20"/>
          <w:color w:val="auto"/>
        </w:rPr>
      </w:pPr>
    </w:p>
    <w:p>
      <w:pPr>
        <w:ind w:left="1300" w:right="140"/>
        <w:spacing w:after="0" w:line="34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w:t>
      </w:r>
    </w:p>
    <w:p>
      <w:pPr>
        <w:sectPr>
          <w:pgSz w:w="11900" w:h="16838" w:orient="portrait"/>
          <w:cols w:equalWidth="0" w:num="1">
            <w:col w:w="11280"/>
          </w:cols>
          <w:pgMar w:left="300" w:top="634" w:right="319" w:bottom="0" w:gutter="0" w:footer="0" w:header="0"/>
        </w:sectPr>
      </w:pPr>
    </w:p>
    <w:bookmarkStart w:id="3" w:name="page4"/>
    <w:bookmarkEnd w:id="3"/>
    <w:p>
      <w:pPr>
        <w:ind w:left="1360" w:right="520"/>
        <w:spacing w:after="0" w:line="277" w:lineRule="auto"/>
        <w:rPr>
          <w:sz w:val="20"/>
          <w:szCs w:val="20"/>
          <w:color w:val="auto"/>
        </w:rPr>
      </w:pPr>
      <w:r>
        <w:rPr>
          <w:rFonts w:ascii="Arial" w:cs="Arial" w:eastAsia="Arial" w:hAnsi="Arial"/>
          <w:sz w:val="18"/>
          <w:szCs w:val="18"/>
          <w:color w:val="auto"/>
        </w:rPr>
        <w:t>control of the issuer of the securities and were not acquired and are not held in connection with or as a participant in any transaction having that purpose or effect.</w:t>
      </w:r>
    </w:p>
    <w:p>
      <w:pPr>
        <w:spacing w:after="0" w:line="170" w:lineRule="exact"/>
        <w:rPr>
          <w:sz w:val="20"/>
          <w:szCs w:val="20"/>
          <w:color w:val="auto"/>
        </w:rPr>
      </w:pPr>
    </w:p>
    <w:p>
      <w:pPr>
        <w:ind w:left="1180" w:hanging="794"/>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225" w:lineRule="exact"/>
        <w:rPr>
          <w:sz w:val="20"/>
          <w:szCs w:val="20"/>
          <w:color w:val="auto"/>
        </w:rPr>
      </w:pPr>
    </w:p>
    <w:p>
      <w:pPr>
        <w:jc w:val="both"/>
        <w:ind w:left="1360" w:right="8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8, 2017</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/s/ Karen Chen</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Karen Chen, CCO</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§240.13d-7 for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for whom copies are to be sent.</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5487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154305"/>
                    </a:xfrm>
                    <a:prstGeom prst="rect">
                      <a:avLst/>
                    </a:prstGeom>
                    <a:noFill/>
                  </pic:spPr>
                </pic:pic>
              </a:graphicData>
            </a:graphic>
          </wp:anchor>
        </w:drawing>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1."/>
      <w:numFmt w:val="decimal"/>
      <w:start w:val="1"/>
    </w:lvl>
    <w:lvl w:ilvl="1">
      <w:lvlJc w:val="left"/>
      <w:lvlText w:val="(%2)"/>
      <w:numFmt w:val="lowerLetter"/>
      <w:start w:val="1"/>
    </w:lvl>
  </w:abstractNum>
  <w:abstractNum w:abstractNumId="2">
    <w:nsid w:val="7545E146"/>
    <w:multiLevelType w:val="hybridMultilevel"/>
    <w:lvl w:ilvl="0">
      <w:lvlJc w:val="left"/>
      <w:lvlText w:val="%1"/>
      <w:numFmt w:val="decimal"/>
      <w:start w:val="1"/>
    </w:lvl>
    <w:lvl w:ilvl="1">
      <w:lvlJc w:val="left"/>
      <w:lvlText w:val="%2."/>
      <w:numFmt w:val="decimal"/>
      <w:start w:val="7"/>
    </w:lvl>
  </w:abstractNum>
  <w:abstractNum w:abstractNumId="3">
    <w:nsid w:val="515F007C"/>
    <w:multiLevelType w:val="hybridMultilevel"/>
    <w:lvl w:ilvl="0">
      <w:lvlJc w:val="left"/>
      <w:lvlText w:val="%1."/>
      <w:numFmt w:val="decimal"/>
      <w:start w:val="9"/>
    </w:lvl>
    <w:lvl w:ilvl="1">
      <w:lvlJc w:val="left"/>
      <w:lvlText w:val="%2"/>
      <w:numFmt w:val="decimal"/>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Roman"/>
      <w:start w:val="1"/>
    </w:lvl>
  </w:abstractNum>
  <w:abstractNum w:abstractNumId="9">
    <w:nsid w:val="1190CDE7"/>
    <w:multiLevelType w:val="hybridMultilevel"/>
    <w:lvl w:ilvl="0">
      <w:lvlJc w:val="left"/>
      <w:lvlText w:val="(%1)"/>
      <w:numFmt w:val="lowerRoman"/>
      <w:start w:val="2"/>
    </w:lvl>
  </w:abstractNum>
  <w:abstractNum w:abstractNumId="10">
    <w:nsid w:val="66EF438D"/>
    <w:multiLevelType w:val="hybridMultilevel"/>
    <w:lvl w:ilvl="0">
      <w:lvlJc w:val="left"/>
      <w:lvlText w:val="(%1)"/>
      <w:numFmt w:val="lowerRoman"/>
      <w:start w:val="3"/>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2019-12-06T17:13:26Z</dcterms:created>
  <dcterms:modified xsi:type="dcterms:W3CDTF">2019-12-06T17:13:26Z</dcterms:modified>
</cp:coreProperties>
</file>